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SECURITIES AND EXCHANGE COMMISSION</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FORM 8-K</w:t>
      </w:r>
    </w:p>
    <w:p>
      <w:pPr>
        <w:spacing w:after="0" w:line="198"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CURRENT REPORT</w:t>
      </w:r>
    </w:p>
    <w:p>
      <w:pPr>
        <w:spacing w:after="0" w:line="200"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Date of Report (Date of earliest event reported): May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2822575</wp:posOffset>
            </wp:positionH>
            <wp:positionV relativeFrom="paragraph">
              <wp:posOffset>137795</wp:posOffset>
            </wp:positionV>
            <wp:extent cx="1617345" cy="374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7345" cy="3740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0"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001-36695</w:t>
      </w:r>
    </w:p>
    <w:p>
      <w:pPr>
        <w:spacing w:after="0" w:line="189" w:lineRule="exact"/>
        <w:rPr>
          <w:sz w:val="24"/>
          <w:szCs w:val="24"/>
          <w:color w:val="auto"/>
        </w:rPr>
      </w:pPr>
    </w:p>
    <w:tbl>
      <w:tblPr>
        <w:tblLayout w:type="fixed"/>
        <w:tblInd w:w="904"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3500" w:type="dxa"/>
            <w:vAlign w:val="bottom"/>
            <w:gridSpan w:val="2"/>
          </w:tcPr>
          <w:p>
            <w:pPr>
              <w:jc w:val="center"/>
              <w:ind w:right="2880"/>
              <w:spacing w:after="0"/>
              <w:rPr>
                <w:sz w:val="20"/>
                <w:szCs w:val="20"/>
                <w:color w:val="auto"/>
              </w:rPr>
            </w:pPr>
            <w:r>
              <w:rPr>
                <w:rFonts w:ascii="Arial" w:cs="Arial" w:eastAsia="Arial" w:hAnsi="Arial"/>
                <w:sz w:val="16"/>
                <w:szCs w:val="16"/>
                <w:color w:val="auto"/>
                <w:w w:val="94"/>
              </w:rPr>
              <w:t>Maryland</w:t>
            </w:r>
          </w:p>
        </w:tc>
        <w:tc>
          <w:tcPr>
            <w:tcW w:w="3840" w:type="dxa"/>
            <w:vAlign w:val="bottom"/>
            <w:gridSpan w:val="3"/>
          </w:tcPr>
          <w:p>
            <w:pPr>
              <w:jc w:val="right"/>
              <w:ind w:right="920"/>
              <w:spacing w:after="0"/>
              <w:rPr>
                <w:sz w:val="20"/>
                <w:szCs w:val="20"/>
                <w:color w:val="auto"/>
              </w:rPr>
            </w:pPr>
            <w:r>
              <w:rPr>
                <w:rFonts w:ascii="Arial" w:cs="Arial" w:eastAsia="Arial" w:hAnsi="Arial"/>
                <w:sz w:val="16"/>
                <w:szCs w:val="16"/>
                <w:color w:val="auto"/>
              </w:rPr>
              <w:t>38-3941859</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8"/>
        </w:trPr>
        <w:tc>
          <w:tcPr>
            <w:tcW w:w="5140" w:type="dxa"/>
            <w:vAlign w:val="bottom"/>
            <w:gridSpan w:val="3"/>
          </w:tcPr>
          <w:p>
            <w:pPr>
              <w:jc w:val="center"/>
              <w:ind w:right="1220"/>
              <w:spacing w:after="0"/>
              <w:rPr>
                <w:sz w:val="20"/>
                <w:szCs w:val="20"/>
                <w:color w:val="auto"/>
              </w:rPr>
            </w:pPr>
            <w:r>
              <w:rPr>
                <w:rFonts w:ascii="Arial" w:cs="Arial" w:eastAsia="Arial" w:hAnsi="Arial"/>
                <w:sz w:val="16"/>
                <w:szCs w:val="16"/>
                <w:color w:val="auto"/>
                <w:w w:val="92"/>
              </w:rPr>
              <w:t>(State or Other Jurisdiction of Incorporation or Organization)</w:t>
            </w:r>
          </w:p>
        </w:tc>
        <w:tc>
          <w:tcPr>
            <w:tcW w:w="3840" w:type="dxa"/>
            <w:vAlign w:val="bottom"/>
            <w:gridSpan w:val="3"/>
          </w:tcPr>
          <w:p>
            <w:pPr>
              <w:jc w:val="center"/>
              <w:ind w:left="1140"/>
              <w:spacing w:after="0"/>
              <w:rPr>
                <w:sz w:val="20"/>
                <w:szCs w:val="20"/>
                <w:color w:val="auto"/>
              </w:rPr>
            </w:pPr>
            <w:r>
              <w:rPr>
                <w:rFonts w:ascii="Arial" w:cs="Arial" w:eastAsia="Arial" w:hAnsi="Arial"/>
                <w:sz w:val="16"/>
                <w:szCs w:val="16"/>
                <w:color w:val="auto"/>
                <w:w w:val="94"/>
              </w:rPr>
              <w:t>(I.R.S. Employer Identification Number)</w:t>
            </w:r>
          </w:p>
        </w:tc>
      </w:tr>
    </w:tbl>
    <w:p>
      <w:pPr>
        <w:spacing w:after="0" w:line="180" w:lineRule="exact"/>
        <w:rPr>
          <w:sz w:val="24"/>
          <w:szCs w:val="24"/>
          <w:color w:val="auto"/>
        </w:rPr>
      </w:pPr>
    </w:p>
    <w:p>
      <w:pPr>
        <w:jc w:val="center"/>
        <w:ind w:right="16"/>
        <w:spacing w:after="0"/>
        <w:rPr>
          <w:sz w:val="20"/>
          <w:szCs w:val="20"/>
          <w:color w:val="auto"/>
        </w:rPr>
      </w:pPr>
      <w:r>
        <w:rPr>
          <w:rFonts w:ascii="Arial" w:cs="Arial" w:eastAsia="Arial" w:hAnsi="Arial"/>
          <w:sz w:val="16"/>
          <w:szCs w:val="16"/>
          <w:u w:val="single" w:color="auto"/>
          <w:color w:val="auto"/>
        </w:rPr>
        <w:t>214 West First Street, Oswego, NY 13126</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6"/>
          <w:szCs w:val="16"/>
          <w:color w:val="auto"/>
        </w:rPr>
        <w:t>(Address of Principal Executive Office) (Zip Code)</w:t>
      </w:r>
    </w:p>
    <w:p>
      <w:pPr>
        <w:spacing w:after="0" w:line="188" w:lineRule="exact"/>
        <w:rPr>
          <w:sz w:val="24"/>
          <w:szCs w:val="24"/>
          <w:color w:val="auto"/>
        </w:rPr>
      </w:pPr>
    </w:p>
    <w:p>
      <w:pPr>
        <w:jc w:val="center"/>
        <w:ind w:right="16"/>
        <w:spacing w:after="0"/>
        <w:rPr>
          <w:sz w:val="20"/>
          <w:szCs w:val="20"/>
          <w:color w:val="auto"/>
        </w:rPr>
      </w:pPr>
      <w:r>
        <w:rPr>
          <w:rFonts w:ascii="Arial" w:cs="Arial" w:eastAsia="Arial" w:hAnsi="Arial"/>
          <w:sz w:val="16"/>
          <w:szCs w:val="16"/>
          <w:u w:val="single" w:color="auto"/>
          <w:color w:val="auto"/>
        </w:rPr>
        <w:t>(315) 343-0057</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6"/>
          <w:szCs w:val="16"/>
          <w:color w:val="auto"/>
        </w:rPr>
        <w:t>(Issuer's Telephone Number including area code)</w:t>
      </w:r>
    </w:p>
    <w:p>
      <w:pPr>
        <w:spacing w:after="0" w:line="188"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664" w:hanging="664"/>
        <w:spacing w:after="0"/>
        <w:tabs>
          <w:tab w:leader="none" w:pos="6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04" w:lineRule="exact"/>
        <w:rPr>
          <w:rFonts w:ascii="MS PGothic" w:cs="MS PGothic" w:eastAsia="MS PGothic" w:hAnsi="MS PGothic"/>
          <w:sz w:val="16"/>
          <w:szCs w:val="16"/>
          <w:color w:val="auto"/>
        </w:rPr>
      </w:pPr>
    </w:p>
    <w:p>
      <w:pPr>
        <w:ind w:left="664" w:hanging="664"/>
        <w:spacing w:after="0"/>
        <w:tabs>
          <w:tab w:leader="none" w:pos="6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240.14d-2(b))</w:t>
      </w:r>
    </w:p>
    <w:p>
      <w:pPr>
        <w:spacing w:after="0" w:line="104" w:lineRule="exact"/>
        <w:rPr>
          <w:rFonts w:ascii="MS PGothic" w:cs="MS PGothic" w:eastAsia="MS PGothic" w:hAnsi="MS PGothic"/>
          <w:sz w:val="16"/>
          <w:szCs w:val="16"/>
          <w:color w:val="auto"/>
        </w:rPr>
      </w:pPr>
    </w:p>
    <w:p>
      <w:pPr>
        <w:ind w:left="664" w:hanging="664"/>
        <w:spacing w:after="0"/>
        <w:tabs>
          <w:tab w:leader="none" w:pos="6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04" w:lineRule="exact"/>
        <w:rPr>
          <w:rFonts w:ascii="MS PGothic" w:cs="MS PGothic" w:eastAsia="MS PGothic" w:hAnsi="MS PGothic"/>
          <w:sz w:val="16"/>
          <w:szCs w:val="16"/>
          <w:color w:val="auto"/>
        </w:rPr>
      </w:pPr>
    </w:p>
    <w:p>
      <w:pPr>
        <w:ind w:left="664" w:hanging="664"/>
        <w:spacing w:after="0"/>
        <w:tabs>
          <w:tab w:leader="none" w:pos="6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4" w:right="40"/>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7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4" w:right="3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3" w:lineRule="exact"/>
        <w:rPr>
          <w:sz w:val="24"/>
          <w:szCs w:val="24"/>
          <w:color w:val="auto"/>
        </w:rPr>
      </w:pPr>
    </w:p>
    <w:p>
      <w:pPr>
        <w:ind w:left="4"/>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5" w:lineRule="exact"/>
        <w:rPr>
          <w:sz w:val="24"/>
          <w:szCs w:val="24"/>
          <w:color w:val="auto"/>
        </w:rPr>
      </w:pPr>
    </w:p>
    <w:tbl>
      <w:tblPr>
        <w:tblLayout w:type="fixed"/>
        <w:tblInd w:w="4" w:type="dxa"/>
        <w:tblCellMar>
          <w:top w:w="0" w:type="dxa"/>
          <w:left w:w="0" w:type="dxa"/>
          <w:bottom w:w="0" w:type="dxa"/>
          <w:right w:w="0" w:type="dxa"/>
        </w:tblCellMar>
      </w:tblPr>
      <w:tr>
        <w:trPr>
          <w:trHeight w:val="184"/>
        </w:trPr>
        <w:tc>
          <w:tcPr>
            <w:tcW w:w="2560" w:type="dxa"/>
            <w:vAlign w:val="bottom"/>
            <w:gridSpan w:val="3"/>
          </w:tcPr>
          <w:p>
            <w:pPr>
              <w:jc w:val="center"/>
              <w:spacing w:after="0"/>
              <w:rPr>
                <w:sz w:val="20"/>
                <w:szCs w:val="20"/>
                <w:color w:val="auto"/>
              </w:rPr>
            </w:pPr>
            <w:r>
              <w:rPr>
                <w:rFonts w:ascii="Arial" w:cs="Arial" w:eastAsia="Arial" w:hAnsi="Arial"/>
                <w:sz w:val="16"/>
                <w:szCs w:val="16"/>
                <w:color w:val="auto"/>
                <w:w w:val="90"/>
              </w:rPr>
              <w:t>Title of each class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right="440"/>
              <w:spacing w:after="0"/>
              <w:rPr>
                <w:sz w:val="20"/>
                <w:szCs w:val="20"/>
                <w:color w:val="auto"/>
              </w:rPr>
            </w:pPr>
            <w:r>
              <w:rPr>
                <w:rFonts w:ascii="Arial" w:cs="Arial" w:eastAsia="Arial" w:hAnsi="Arial"/>
                <w:sz w:val="16"/>
                <w:szCs w:val="16"/>
                <w:color w:val="auto"/>
                <w:w w:val="92"/>
              </w:rPr>
              <w:t>Trading</w:t>
            </w:r>
          </w:p>
        </w:tc>
        <w:tc>
          <w:tcPr>
            <w:tcW w:w="7620" w:type="dxa"/>
            <w:vAlign w:val="bottom"/>
            <w:gridSpan w:val="3"/>
          </w:tcPr>
          <w:p>
            <w:pPr>
              <w:jc w:val="center"/>
              <w:ind w:right="4060"/>
              <w:spacing w:after="0"/>
              <w:rPr>
                <w:sz w:val="20"/>
                <w:szCs w:val="20"/>
                <w:color w:val="auto"/>
              </w:rPr>
            </w:pPr>
            <w:r>
              <w:rPr>
                <w:rFonts w:ascii="Arial" w:cs="Arial" w:eastAsia="Arial" w:hAnsi="Arial"/>
                <w:sz w:val="16"/>
                <w:szCs w:val="16"/>
                <w:color w:val="auto"/>
                <w:w w:val="89"/>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4"/>
          </w:tcPr>
          <w:p>
            <w:pPr>
              <w:jc w:val="center"/>
              <w:ind w:right="360"/>
              <w:spacing w:after="0" w:line="172" w:lineRule="exact"/>
              <w:rPr>
                <w:sz w:val="20"/>
                <w:szCs w:val="20"/>
                <w:color w:val="auto"/>
              </w:rPr>
            </w:pPr>
            <w:r>
              <w:rPr>
                <w:rFonts w:ascii="Arial" w:cs="Arial" w:eastAsia="Arial" w:hAnsi="Arial"/>
                <w:sz w:val="16"/>
                <w:szCs w:val="16"/>
                <w:color w:val="auto"/>
                <w:w w:val="91"/>
              </w:rPr>
              <w:t>Symbol(s)</w:t>
            </w: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208"/>
        </w:trPr>
        <w:tc>
          <w:tcPr>
            <w:tcW w:w="2560" w:type="dxa"/>
            <w:vAlign w:val="bottom"/>
            <w:gridSpan w:val="3"/>
          </w:tcPr>
          <w:p>
            <w:pPr>
              <w:jc w:val="center"/>
              <w:spacing w:after="0"/>
              <w:rPr>
                <w:sz w:val="20"/>
                <w:szCs w:val="20"/>
                <w:color w:val="auto"/>
              </w:rPr>
            </w:pPr>
            <w:r>
              <w:rPr>
                <w:rFonts w:ascii="Arial" w:cs="Arial" w:eastAsia="Arial" w:hAnsi="Arial"/>
                <w:sz w:val="16"/>
                <w:szCs w:val="16"/>
                <w:color w:val="auto"/>
                <w:w w:val="90"/>
              </w:rPr>
              <w:t>Common Stock, $0.01 par value</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color w:val="auto"/>
                <w:w w:val="94"/>
              </w:rPr>
              <w:t>PBHC</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60" w:type="dxa"/>
            <w:vAlign w:val="bottom"/>
            <w:gridSpan w:val="2"/>
          </w:tcPr>
          <w:p>
            <w:pPr>
              <w:jc w:val="center"/>
              <w:ind w:right="4400"/>
              <w:spacing w:after="0"/>
              <w:rPr>
                <w:sz w:val="20"/>
                <w:szCs w:val="20"/>
                <w:color w:val="auto"/>
              </w:rPr>
            </w:pPr>
            <w:r>
              <w:rPr>
                <w:rFonts w:ascii="Arial" w:cs="Arial" w:eastAsia="Arial" w:hAnsi="Arial"/>
                <w:sz w:val="16"/>
                <w:szCs w:val="16"/>
                <w:color w:val="auto"/>
                <w:w w:val="92"/>
              </w:rPr>
              <w:t>The Nasdaq Stock Market LLC</w:t>
            </w:r>
          </w:p>
        </w:tc>
      </w:tr>
      <w:tr>
        <w:trPr>
          <w:trHeight w:val="1061"/>
        </w:trPr>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7256780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4"/>
          </w:cols>
          <w:pgMar w:left="236" w:top="211" w:right="19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 Regulation FD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Pathfinder Bancorp, Inc.’s Annual Meeting of Shareholders was held on May 9, 2019.</w:t>
      </w:r>
    </w:p>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A copy of the presentation that was presented at the Shareholders’ Meeting is attached as Exhibit 99.1 and being furnished to the SEC and shall not be deemed “filed” for any purpose.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 Financial Statements and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926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20"/>
        </w:trPr>
        <w:tc>
          <w:tcPr>
            <w:tcW w:w="7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84"/>
        </w:trPr>
        <w:tc>
          <w:tcPr>
            <w:tcW w:w="740" w:type="dxa"/>
            <w:vAlign w:val="bottom"/>
          </w:tcPr>
          <w:p>
            <w:pPr>
              <w:spacing w:after="0"/>
              <w:rPr>
                <w:sz w:val="20"/>
                <w:szCs w:val="20"/>
                <w:color w:val="auto"/>
              </w:rPr>
            </w:pPr>
            <w:r>
              <w:rPr>
                <w:rFonts w:ascii="Arial" w:cs="Arial" w:eastAsia="Arial" w:hAnsi="Arial"/>
                <w:sz w:val="16"/>
                <w:szCs w:val="16"/>
                <w:color w:val="auto"/>
              </w:rPr>
              <w:t>99.1</w:t>
            </w:r>
          </w:p>
        </w:tc>
        <w:tc>
          <w:tcPr>
            <w:tcW w:w="1460" w:type="dxa"/>
            <w:vAlign w:val="bottom"/>
          </w:tcPr>
          <w:p>
            <w:pPr>
              <w:spacing w:after="0"/>
              <w:rPr>
                <w:sz w:val="16"/>
                <w:szCs w:val="16"/>
                <w:color w:val="auto"/>
              </w:rPr>
            </w:pPr>
          </w:p>
        </w:tc>
        <w:tc>
          <w:tcPr>
            <w:tcW w:w="9260" w:type="dxa"/>
            <w:vAlign w:val="bottom"/>
            <w:gridSpan w:val="3"/>
          </w:tcPr>
          <w:p>
            <w:pPr>
              <w:spacing w:after="0"/>
              <w:rPr>
                <w:sz w:val="20"/>
                <w:szCs w:val="20"/>
                <w:color w:val="auto"/>
              </w:rPr>
            </w:pPr>
            <w:r>
              <w:rPr>
                <w:rFonts w:ascii="Arial" w:cs="Arial" w:eastAsia="Arial" w:hAnsi="Arial"/>
                <w:sz w:val="16"/>
                <w:szCs w:val="16"/>
                <w:color w:val="0000EE"/>
              </w:rPr>
              <w:t>Pathfinder Bancorp, Inc.’s Presentation to Shareholders</w:t>
            </w:r>
          </w:p>
        </w:tc>
      </w:tr>
      <w:tr>
        <w:trPr>
          <w:trHeight w:val="501"/>
        </w:trPr>
        <w:tc>
          <w:tcPr>
            <w:tcW w:w="7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40" w:type="dxa"/>
            <w:vAlign w:val="bottom"/>
            <w:tcBorders>
              <w:top w:val="single" w:sz="8" w:color="0000EE"/>
              <w:bottom w:val="single" w:sz="8" w:color="9A9A9A"/>
            </w:tcBorders>
          </w:tcPr>
          <w:p>
            <w:pPr>
              <w:spacing w:after="0"/>
              <w:rPr>
                <w:sz w:val="24"/>
                <w:szCs w:val="24"/>
                <w:color w:val="auto"/>
              </w:rPr>
            </w:pPr>
          </w:p>
        </w:tc>
        <w:tc>
          <w:tcPr>
            <w:tcW w:w="2800" w:type="dxa"/>
            <w:vAlign w:val="bottom"/>
            <w:tcBorders>
              <w:top w:val="single" w:sz="8" w:color="0000EE"/>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PATHFINDER BANCORP, INC.</w:t>
            </w:r>
          </w:p>
        </w:tc>
      </w:tr>
      <w:tr>
        <w:trPr>
          <w:trHeight w:val="408"/>
        </w:trPr>
        <w:tc>
          <w:tcPr>
            <w:tcW w:w="4040" w:type="dxa"/>
            <w:vAlign w:val="bottom"/>
            <w:gridSpan w:val="2"/>
          </w:tcPr>
          <w:p>
            <w:pPr>
              <w:spacing w:after="0"/>
              <w:rPr>
                <w:sz w:val="20"/>
                <w:szCs w:val="20"/>
                <w:color w:val="auto"/>
              </w:rPr>
            </w:pPr>
            <w:r>
              <w:rPr>
                <w:rFonts w:ascii="Arial" w:cs="Arial" w:eastAsia="Arial" w:hAnsi="Arial"/>
                <w:sz w:val="16"/>
                <w:szCs w:val="16"/>
                <w:color w:val="auto"/>
              </w:rPr>
              <w:t>Date:   May 9, 2019</w:t>
            </w:r>
          </w:p>
        </w:tc>
        <w:tc>
          <w:tcPr>
            <w:tcW w:w="7400" w:type="dxa"/>
            <w:vAlign w:val="bottom"/>
            <w:gridSpan w:val="2"/>
          </w:tcPr>
          <w:p>
            <w:pPr>
              <w:ind w:left="1780"/>
              <w:spacing w:after="0"/>
              <w:rPr>
                <w:sz w:val="20"/>
                <w:szCs w:val="20"/>
                <w:color w:val="auto"/>
              </w:rPr>
            </w:pPr>
            <w:r>
              <w:rPr>
                <w:rFonts w:ascii="Arial" w:cs="Arial" w:eastAsia="Arial" w:hAnsi="Arial"/>
                <w:sz w:val="16"/>
                <w:szCs w:val="16"/>
                <w:color w:val="auto"/>
              </w:rPr>
              <w:t>By:  /s/ Thomas W. Schneider</w:t>
            </w:r>
          </w:p>
        </w:tc>
      </w:tr>
      <w:tr>
        <w:trPr>
          <w:trHeight w:val="196"/>
        </w:trPr>
        <w:tc>
          <w:tcPr>
            <w:tcW w:w="540" w:type="dxa"/>
            <w:vAlign w:val="bottom"/>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Thomas W. Schneider</w:t>
            </w:r>
          </w:p>
        </w:tc>
      </w:tr>
      <w:tr>
        <w:trPr>
          <w:trHeight w:val="205"/>
        </w:trPr>
        <w:tc>
          <w:tcPr>
            <w:tcW w:w="5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123"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2019-12-02T21:46:13Z</dcterms:created>
  <dcterms:modified xsi:type="dcterms:W3CDTF">2019-12-02T21:46:13Z</dcterms:modified>
</cp:coreProperties>
</file>