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173990</wp:posOffset>
            </wp:positionV>
            <wp:extent cx="182562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562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001-36695</w:t>
      </w:r>
    </w:p>
    <w:p>
      <w:pPr>
        <w:spacing w:after="0" w:line="243" w:lineRule="exact"/>
        <w:rPr>
          <w:sz w:val="24"/>
          <w:szCs w:val="24"/>
          <w:color w:val="auto"/>
        </w:rPr>
      </w:pPr>
    </w:p>
    <w:tbl>
      <w:tblPr>
        <w:tblLayout w:type="fixed"/>
        <w:tblInd w:w="62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3540" w:type="dxa"/>
            <w:vAlign w:val="bottom"/>
            <w:gridSpan w:val="2"/>
          </w:tcPr>
          <w:p>
            <w:pPr>
              <w:jc w:val="center"/>
              <w:ind w:right="2840"/>
              <w:spacing w:after="0"/>
              <w:rPr>
                <w:sz w:val="20"/>
                <w:szCs w:val="20"/>
                <w:color w:val="auto"/>
              </w:rPr>
            </w:pPr>
            <w:r>
              <w:rPr>
                <w:rFonts w:ascii="Times New Roman" w:cs="Times New Roman" w:eastAsia="Times New Roman" w:hAnsi="Times New Roman"/>
                <w:sz w:val="18"/>
                <w:szCs w:val="18"/>
                <w:color w:val="auto"/>
                <w:w w:val="99"/>
              </w:rPr>
              <w:t>Maryland</w:t>
            </w:r>
          </w:p>
        </w:tc>
        <w:tc>
          <w:tcPr>
            <w:tcW w:w="390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38-3941859</w:t>
            </w:r>
          </w:p>
        </w:tc>
      </w:tr>
      <w:tr>
        <w:trPr>
          <w:trHeight w:val="20"/>
        </w:trPr>
        <w:tc>
          <w:tcPr>
            <w:tcW w:w="1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538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90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bl>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214 West First Street, Oswego, NY 13126</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 (Zip Code)</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(315) 343-0057</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(Issuer's Telephone Number including area code)</w:t>
      </w:r>
    </w:p>
    <w:p>
      <w:pPr>
        <w:spacing w:after="0" w:line="23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934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934085"/>
                    </a:xfrm>
                    <a:prstGeom prst="rect">
                      <a:avLst/>
                    </a:prstGeom>
                    <a:noFill/>
                  </pic:spPr>
                </pic:pic>
              </a:graphicData>
            </a:graphic>
          </wp:anchor>
        </w:drawing>
      </w:r>
    </w:p>
    <w:p>
      <w:pPr>
        <w:spacing w:after="0" w:line="290" w:lineRule="exact"/>
        <w:rPr>
          <w:sz w:val="24"/>
          <w:szCs w:val="24"/>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240.14d-2(b))</w:t>
      </w:r>
    </w:p>
    <w:p>
      <w:pPr>
        <w:spacing w:after="0" w:line="130" w:lineRule="exact"/>
        <w:rPr>
          <w:rFonts w:ascii="MS PGothic" w:cs="MS PGothic" w:eastAsia="MS PGothic" w:hAnsi="MS PGothic"/>
          <w:sz w:val="18"/>
          <w:szCs w:val="18"/>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9" w:lineRule="exact"/>
        <w:rPr>
          <w:sz w:val="24"/>
          <w:szCs w:val="24"/>
          <w:color w:val="auto"/>
        </w:rPr>
      </w:pPr>
    </w:p>
    <w:tbl>
      <w:tblPr>
        <w:tblLayout w:type="fixed"/>
        <w:tblInd w:w="72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440" w:type="dxa"/>
            <w:vAlign w:val="bottom"/>
          </w:tcPr>
          <w:p>
            <w:pPr>
              <w:spacing w:after="0"/>
              <w:rPr>
                <w:sz w:val="18"/>
                <w:szCs w:val="18"/>
                <w:color w:val="auto"/>
              </w:rPr>
            </w:pPr>
          </w:p>
        </w:tc>
        <w:tc>
          <w:tcPr>
            <w:tcW w:w="210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5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37"/>
        </w:trPr>
        <w:tc>
          <w:tcPr>
            <w:tcW w:w="326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10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rPr>
              <w:t>PBHC</w:t>
            </w:r>
          </w:p>
        </w:tc>
        <w:tc>
          <w:tcPr>
            <w:tcW w:w="720" w:type="dxa"/>
            <w:vAlign w:val="bottom"/>
          </w:tcPr>
          <w:p>
            <w:pPr>
              <w:spacing w:after="0"/>
              <w:rPr>
                <w:sz w:val="20"/>
                <w:szCs w:val="20"/>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48" w:lineRule="exact"/>
        <w:rPr>
          <w:sz w:val="24"/>
          <w:szCs w:val="24"/>
          <w:color w:val="auto"/>
        </w:rPr>
      </w:pPr>
    </w:p>
    <w:p>
      <w:pPr>
        <w:ind w:left="7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November 2, 2026, Pathfinder Bancorp, Inc. issued a press release disclosing its third quarter 2026 financial results. A copy of the press release is included as Exhibit 99.1 to this report.</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Item 2.02 to this Form 8-K and Exhibit 99.1 shall not be deemed filed for purposes of Section 18 of the Securities Exchange Act of 1934, nor shall it be deemed incorporated by reference in any filing under the Securities Act of 1933 or the Securities Exchange Act of 1934, except as shall be expressly set forth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320" w:type="dxa"/>
            <w:vAlign w:val="bottom"/>
          </w:tcPr>
          <w:p>
            <w:pPr>
              <w:spacing w:after="0"/>
              <w:rPr>
                <w:sz w:val="17"/>
                <w:szCs w:val="17"/>
                <w:color w:val="auto"/>
              </w:rPr>
            </w:pPr>
          </w:p>
        </w:tc>
        <w:tc>
          <w:tcPr>
            <w:tcW w:w="282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dated November 2, 2026</w:t>
            </w:r>
          </w:p>
        </w:tc>
        <w:tc>
          <w:tcPr>
            <w:tcW w:w="20" w:type="dxa"/>
            <w:vAlign w:val="bottom"/>
            <w:tcBorders>
              <w:bottom w:val="single" w:sz="8" w:color="0000EE"/>
            </w:tcBorders>
          </w:tcPr>
          <w:p>
            <w:pPr>
              <w:spacing w:after="0"/>
              <w:rPr>
                <w:sz w:val="17"/>
                <w:szCs w:val="17"/>
                <w:color w:val="auto"/>
              </w:rPr>
            </w:pPr>
          </w:p>
        </w:tc>
        <w:tc>
          <w:tcPr>
            <w:tcW w:w="6240" w:type="dxa"/>
            <w:vAlign w:val="bottom"/>
          </w:tcPr>
          <w:p>
            <w:pPr>
              <w:spacing w:after="0"/>
              <w:rPr>
                <w:sz w:val="17"/>
                <w:szCs w:val="17"/>
                <w:color w:val="auto"/>
              </w:rPr>
            </w:pPr>
          </w:p>
        </w:tc>
      </w:tr>
      <w:tr>
        <w:trPr>
          <w:trHeight w:val="23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320" w:type="dxa"/>
            <w:vAlign w:val="bottom"/>
          </w:tcPr>
          <w:p>
            <w:pPr>
              <w:spacing w:after="0"/>
              <w:rPr>
                <w:sz w:val="20"/>
                <w:szCs w:val="20"/>
                <w:color w:val="auto"/>
              </w:rPr>
            </w:pPr>
          </w:p>
        </w:tc>
        <w:tc>
          <w:tcPr>
            <w:tcW w:w="9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8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PATHFINDER BANCORP, INC.</w:t>
            </w:r>
          </w:p>
        </w:tc>
      </w:tr>
      <w:tr>
        <w:trPr>
          <w:trHeight w:val="43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2, 2026</w:t>
            </w:r>
          </w:p>
        </w:tc>
        <w:tc>
          <w:tcPr>
            <w:tcW w:w="726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By: /s/ James A. Dowd</w:t>
            </w:r>
          </w:p>
        </w:tc>
      </w:tr>
      <w:tr>
        <w:trPr>
          <w:trHeight w:val="191"/>
        </w:trPr>
        <w:tc>
          <w:tcPr>
            <w:tcW w:w="540" w:type="dxa"/>
            <w:vAlign w:val="bottom"/>
          </w:tcPr>
          <w:p>
            <w:pPr>
              <w:spacing w:after="0"/>
              <w:rPr>
                <w:sz w:val="16"/>
                <w:szCs w:val="16"/>
                <w:color w:val="auto"/>
              </w:rPr>
            </w:pPr>
          </w:p>
        </w:tc>
        <w:tc>
          <w:tcPr>
            <w:tcW w:w="3440" w:type="dxa"/>
            <w:vAlign w:val="bottom"/>
            <w:tcBorders>
              <w:top w:val="single" w:sz="8" w:color="auto"/>
            </w:tcBorders>
          </w:tcPr>
          <w:p>
            <w:pPr>
              <w:spacing w:after="0"/>
              <w:rPr>
                <w:sz w:val="16"/>
                <w:szCs w:val="16"/>
                <w:color w:val="auto"/>
              </w:rPr>
            </w:pPr>
          </w:p>
        </w:tc>
        <w:tc>
          <w:tcPr>
            <w:tcW w:w="210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James A. Dowd</w:t>
            </w:r>
          </w:p>
        </w:tc>
      </w:tr>
      <w:tr>
        <w:trPr>
          <w:trHeight w:val="234"/>
        </w:trPr>
        <w:tc>
          <w:tcPr>
            <w:tcW w:w="5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979"/>
        </w:trPr>
        <w:tc>
          <w:tcPr>
            <w:tcW w:w="54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i w:val="1"/>
          <w:iCs w:val="1"/>
          <w:color w:val="auto"/>
        </w:rPr>
        <w:t>Investor/Media Contacts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James A. Dowd, President, CEO</w:t>
      </w:r>
    </w:p>
    <w:p>
      <w:pPr>
        <w:spacing w:after="0" w:line="230" w:lineRule="auto"/>
        <w:rPr>
          <w:sz w:val="20"/>
          <w:szCs w:val="20"/>
          <w:color w:val="auto"/>
        </w:rPr>
      </w:pPr>
      <w:r>
        <w:rPr>
          <w:rFonts w:ascii="Times New Roman" w:cs="Times New Roman" w:eastAsia="Times New Roman" w:hAnsi="Times New Roman"/>
          <w:sz w:val="22"/>
          <w:szCs w:val="22"/>
          <w:color w:val="auto"/>
        </w:rPr>
        <w:t>Justin K. Bigham, Executive Vice President, CFO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Telephone: (315) 343-0057</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Pathfinder Bancorp, Inc. Announces Financial Results for the</w:t>
      </w:r>
    </w:p>
    <w:p>
      <w:pPr>
        <w:spacing w:after="0" w:line="4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Third Quarter of 2026</w:t>
      </w:r>
    </w:p>
    <w:p>
      <w:pPr>
        <w:spacing w:after="0" w:line="189" w:lineRule="exact"/>
        <w:rPr>
          <w:sz w:val="20"/>
          <w:szCs w:val="20"/>
          <w:color w:val="auto"/>
        </w:rPr>
      </w:pPr>
    </w:p>
    <w:p>
      <w:pPr>
        <w:ind w:left="160" w:right="140" w:firstLine="57"/>
        <w:spacing w:after="0" w:line="286" w:lineRule="auto"/>
        <w:rPr>
          <w:sz w:val="20"/>
          <w:szCs w:val="20"/>
          <w:color w:val="auto"/>
        </w:rPr>
      </w:pPr>
      <w:r>
        <w:rPr>
          <w:rFonts w:ascii="Times New Roman" w:cs="Times New Roman" w:eastAsia="Times New Roman" w:hAnsi="Times New Roman"/>
          <w:sz w:val="21"/>
          <w:szCs w:val="21"/>
          <w:i w:val="1"/>
          <w:iCs w:val="1"/>
          <w:color w:val="auto"/>
        </w:rPr>
        <w:t>Pathfinder reported earnings of $0.32 per diluted share, with continued progress resolving previously identified commercial credits, disciplined deposit pricing, a focus on relationship-based deposits, and sequential-quarter net interest income growth.</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OSWEGO, N.Y., November 2, 2026 (GLOBE NEWSWIRE) -- Pathfinder Bancorp, Inc. (“Pathfinder” or the “Company”) (NASDAQ: PBHC) announced its financial results for the third quarter ended September 30, 2026.</w:t>
      </w:r>
    </w:p>
    <w:p>
      <w:pPr>
        <w:spacing w:after="0" w:line="185"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The holding company for Pathfinder Bank (“the Bank”) reported net income of $2.1 million, or $0.32 per diluted share, in the third quarter of 2026, compared to $2.7 million, or $0.42 per diluted share, in the second quarter of 2026, and $626,000, or $0.10 per diluted share, in the third quarter of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Third Quarter 2026 Highlights and Key Developments</w:t>
      </w:r>
    </w:p>
    <w:p>
      <w:pPr>
        <w:spacing w:after="0" w:line="102" w:lineRule="exact"/>
        <w:rPr>
          <w:sz w:val="20"/>
          <w:szCs w:val="20"/>
          <w:color w:val="auto"/>
        </w:rPr>
      </w:pPr>
    </w:p>
    <w:p>
      <w:pPr>
        <w:jc w:val="both"/>
        <w:ind w:left="1020" w:hanging="503"/>
        <w:spacing w:after="0" w:line="244" w:lineRule="auto"/>
        <w:tabs>
          <w:tab w:leader="none" w:pos="10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quarter 2026 net income reflected provision expense of $231,000, attributed to quantitative and qualitative factor adjustments to the allowance for credit losses (“ACL”), compared to a provision benefit of $155,000 in the second quarter of 2026 and provision expense of $3.5 million in the third quarter of 2025.</w:t>
      </w:r>
    </w:p>
    <w:p>
      <w:pPr>
        <w:spacing w:after="0" w:line="65" w:lineRule="exact"/>
        <w:rPr>
          <w:rFonts w:ascii="Times New Roman" w:cs="Times New Roman" w:eastAsia="Times New Roman" w:hAnsi="Times New Roman"/>
          <w:sz w:val="22"/>
          <w:szCs w:val="22"/>
          <w:color w:val="auto"/>
        </w:rPr>
      </w:pPr>
    </w:p>
    <w:p>
      <w:pPr>
        <w:jc w:val="both"/>
        <w:ind w:left="1020" w:hanging="503"/>
        <w:spacing w:after="0" w:line="235" w:lineRule="auto"/>
        <w:tabs>
          <w:tab w:leader="none" w:pos="10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ACL, which reflects the risk-based reserve build undertaken in the second half of 2025 to absorb future loss resolution activity related to commercial individually analyzed loans ("IALs"), was $22.7 million, or 2.60% of total loans, on September 30, 2026, $26.9 million, or 3.03% of loans, on June 30, 2026, and $18.7 million, or 2.08%, on September 30, 2025. Specific reserves, including those previously established in conjunction with last year’s comprehensive commercial portfolio review, represented 57.4% of the ACL at the end of the third quarter of 2026. Net charge-offs (“NCOs”) were $4.3 million in the third quarter of 2026, driven primarily by commercial IALs and fully covered by previously established specific reserves. NCOs were $1.9 million in the second quarter of 2026 and $670,000 in the third quarter of 2025.</w:t>
      </w:r>
    </w:p>
    <w:p>
      <w:pPr>
        <w:spacing w:after="0" w:line="70" w:lineRule="exact"/>
        <w:rPr>
          <w:rFonts w:ascii="Times New Roman" w:cs="Times New Roman" w:eastAsia="Times New Roman" w:hAnsi="Times New Roman"/>
          <w:sz w:val="22"/>
          <w:szCs w:val="22"/>
          <w:color w:val="auto"/>
        </w:rPr>
      </w:pPr>
    </w:p>
    <w:p>
      <w:pPr>
        <w:jc w:val="both"/>
        <w:ind w:left="1020" w:hanging="503"/>
        <w:spacing w:after="0" w:line="244" w:lineRule="auto"/>
        <w:tabs>
          <w:tab w:leader="none" w:pos="10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Loans totaled $873.0 million at September 30, 2026, compared to $889.0 million at June 30, 2026, and $898.5 million at September 30, 2025. Commercial loans were $531.6 million or 60.9% of total loans at September 30, 2026, compared to $544.6 million at June 30, 2026 and $543.7 million at September 30, 2025.</w:t>
      </w:r>
    </w:p>
    <w:p>
      <w:pPr>
        <w:spacing w:after="0" w:line="65" w:lineRule="exact"/>
        <w:rPr>
          <w:rFonts w:ascii="Times New Roman" w:cs="Times New Roman" w:eastAsia="Times New Roman" w:hAnsi="Times New Roman"/>
          <w:sz w:val="22"/>
          <w:szCs w:val="22"/>
          <w:color w:val="auto"/>
        </w:rPr>
      </w:pPr>
    </w:p>
    <w:p>
      <w:pPr>
        <w:jc w:val="both"/>
        <w:ind w:left="1020" w:hanging="503"/>
        <w:spacing w:after="0" w:line="239" w:lineRule="auto"/>
        <w:tabs>
          <w:tab w:leader="none" w:pos="10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totaled $1.16 billion at September 30, 2026, compared to $1.17 billion at June 30, 2026, and $1.23 billion at September 30, 2025, reflecting intentional runoff of higher-cost time and brokered deposits, as well as municipal deposit seasonality. Core deposits were $957.1 million or 82.6% of total deposits on September 30, 2026, compared to $961.6 million on June 30, 2026, and $960.1 million on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4" w:name="page5"/>
    <w:bookmarkEnd w:id="4"/>
    <w:p>
      <w:pPr>
        <w:jc w:val="both"/>
        <w:ind w:left="1020" w:hanging="503"/>
        <w:spacing w:after="0" w:line="238" w:lineRule="auto"/>
        <w:tabs>
          <w:tab w:leader="none" w:pos="10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interest income was $10.7 million in the third quarter of 2026, compared to $10.5 million in the second quarter of 2026 and $11.6 million in the third quarter of 2025. Net interest margin (“NIM”) was 3.07% in the third quarter of 2026, compared to 3.08% in the second quarter of 2026 and 3.34% in the year-ago period. In the third quarter of 2025, prepayment penalty income contributed $260,000 and 7 basis points to net interest income and NIM, respectively.</w:t>
      </w:r>
    </w:p>
    <w:p>
      <w:pPr>
        <w:spacing w:after="0" w:line="68" w:lineRule="exact"/>
        <w:rPr>
          <w:rFonts w:ascii="Times New Roman" w:cs="Times New Roman" w:eastAsia="Times New Roman" w:hAnsi="Times New Roman"/>
          <w:sz w:val="22"/>
          <w:szCs w:val="22"/>
          <w:color w:val="auto"/>
        </w:rPr>
      </w:pPr>
    </w:p>
    <w:p>
      <w:pPr>
        <w:jc w:val="both"/>
        <w:ind w:left="1020" w:hanging="503"/>
        <w:spacing w:after="0" w:line="244" w:lineRule="auto"/>
        <w:tabs>
          <w:tab w:leader="none" w:pos="10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average cost of total deposits improved to 2.04% in the third quarter of 2026, down 3 basis points from the second quarter of 2026 and 24 basis points from the third quarter of 2025, while the average cost of interest-bearing deposits was 2.48%, unchanged from the linked quarter and down 23 basis points from the year-ago period.</w:t>
      </w:r>
    </w:p>
    <w:p>
      <w:pPr>
        <w:spacing w:after="0" w:line="65" w:lineRule="exact"/>
        <w:rPr>
          <w:rFonts w:ascii="Times New Roman" w:cs="Times New Roman" w:eastAsia="Times New Roman" w:hAnsi="Times New Roman"/>
          <w:sz w:val="22"/>
          <w:szCs w:val="22"/>
          <w:color w:val="auto"/>
        </w:rPr>
      </w:pPr>
    </w:p>
    <w:p>
      <w:pPr>
        <w:jc w:val="both"/>
        <w:ind w:left="1020" w:hanging="503"/>
        <w:spacing w:after="0" w:line="244" w:lineRule="auto"/>
        <w:tabs>
          <w:tab w:leader="none" w:pos="10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Noninterest expense was $9.4 million, or 2.51% of average assets on an annualized basis in the third quarter of 2026. Noninterest expense was $8.7 million or 2.39% of average assets in the second quarter of 2026 and $8.9 million or 2.40% of average assets in the third quarter of 2025.</w:t>
      </w:r>
    </w:p>
    <w:p>
      <w:pPr>
        <w:spacing w:after="0" w:line="65" w:lineRule="exact"/>
        <w:rPr>
          <w:rFonts w:ascii="Times New Roman" w:cs="Times New Roman" w:eastAsia="Times New Roman" w:hAnsi="Times New Roman"/>
          <w:sz w:val="22"/>
          <w:szCs w:val="22"/>
          <w:color w:val="auto"/>
        </w:rPr>
      </w:pPr>
    </w:p>
    <w:p>
      <w:pPr>
        <w:ind w:left="1020" w:hanging="503"/>
        <w:spacing w:after="0" w:line="284" w:lineRule="auto"/>
        <w:tabs>
          <w:tab w:leader="none" w:pos="10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efficiency ratio was 78.13% in the third quarter of 2026, compared to 74.26% in the second quarter of 2026 and 68.78% in the third quarter of 2025</w:t>
      </w:r>
      <w:r>
        <w:rPr>
          <w:rFonts w:ascii="Times New Roman" w:cs="Times New Roman" w:eastAsia="Times New Roman" w:hAnsi="Times New Roman"/>
          <w:sz w:val="14"/>
          <w:szCs w:val="14"/>
          <w:color w:val="auto"/>
        </w:rPr>
        <w:t>(1)</w:t>
      </w:r>
      <w:r>
        <w:rPr>
          <w:rFonts w:ascii="Times New Roman" w:cs="Times New Roman" w:eastAsia="Times New Roman" w:hAnsi="Times New Roman"/>
          <w:sz w:val="22"/>
          <w:szCs w:val="22"/>
          <w:color w:val="auto"/>
        </w:rPr>
        <w:t>.</w:t>
      </w:r>
    </w:p>
    <w:p>
      <w:pPr>
        <w:spacing w:after="0" w:line="22" w:lineRule="exact"/>
        <w:rPr>
          <w:rFonts w:ascii="Times New Roman" w:cs="Times New Roman" w:eastAsia="Times New Roman" w:hAnsi="Times New Roman"/>
          <w:sz w:val="22"/>
          <w:szCs w:val="22"/>
          <w:color w:val="auto"/>
        </w:rPr>
      </w:pPr>
    </w:p>
    <w:p>
      <w:pPr>
        <w:ind w:left="1020" w:hanging="503"/>
        <w:spacing w:after="0" w:line="284" w:lineRule="auto"/>
        <w:tabs>
          <w:tab w:leader="none" w:pos="10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Pre-tax, pre-provision (“PTPP”) net income was $2.6 million in the third quarter of 2026, compared to $3.0 million in the second quarter of 2026 and $4.1 million in the third quarter of 2025</w:t>
      </w:r>
      <w:r>
        <w:rPr>
          <w:rFonts w:ascii="Times New Roman" w:cs="Times New Roman" w:eastAsia="Times New Roman" w:hAnsi="Times New Roman"/>
          <w:sz w:val="14"/>
          <w:szCs w:val="14"/>
          <w:color w:val="auto"/>
        </w:rPr>
        <w:t>(1)</w:t>
      </w:r>
      <w:r>
        <w:rPr>
          <w:rFonts w:ascii="Times New Roman" w:cs="Times New Roman" w:eastAsia="Times New Roman" w:hAnsi="Times New Roman"/>
          <w:sz w:val="22"/>
          <w:szCs w:val="22"/>
          <w:color w:val="auto"/>
        </w:rPr>
        <w:t>.</w:t>
      </w:r>
    </w:p>
    <w:p>
      <w:pPr>
        <w:spacing w:after="0" w:line="22" w:lineRule="exact"/>
        <w:rPr>
          <w:rFonts w:ascii="Times New Roman" w:cs="Times New Roman" w:eastAsia="Times New Roman" w:hAnsi="Times New Roman"/>
          <w:sz w:val="22"/>
          <w:szCs w:val="22"/>
          <w:color w:val="auto"/>
        </w:rPr>
      </w:pPr>
    </w:p>
    <w:p>
      <w:pPr>
        <w:ind w:left="1020" w:hanging="503"/>
        <w:spacing w:after="0" w:line="258" w:lineRule="auto"/>
        <w:tabs>
          <w:tab w:leader="none" w:pos="10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Quarterly cash dividends payable to common stockholders of $0.10 per share were declared on September 28, 2026 and are payable on November 6, 2026.</w:t>
      </w:r>
    </w:p>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“Third quarter results demonstrate continued execution of our strategy for strengthening our relationship-focused community bank,” President and Chief Executive Officer James Dowd said. “Credit performance continued to reflect the orderly resolution of previously identified commercial credits, with net charge-offs fully covered by specific reserves previously established for those exposures. In addition, recent investments in seasoned commercial banking talent have already introduced Pathfinder to growing numbers of proven borrowers and sponsors, providing a new pipeline of commercial real estate loan production that we expect to begin funding in the fourth quarter. We also remain encouraged by our region’s economic momentum, with construction well underway for the largest semiconductor manufacturing facility in the United States near two of our existing branches, as well as this month’s announcement that New York State and Micron Technology have started the process of injecting $500 million into Central New York housing, education, workforce development, and community investments through the Green CHIPS Community Investment Fund.”</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Dowd added, “Our focus on Pathfinder’s valuable core deposit franchise was also evident in the third quarter. Even as we facilitate intentional runoff of higher-cost non-relationship accounts, Pathfinder maintained its leading deposit market share position among all local banks serving Oswego and Onondaga counties combined. With core deposits representing over 82% of all deposits, and six consecutive quarters of reductions in our average cost of total deposits, Pathfinder is well positioned for a rising rate environment. While we are not immune to the upward pressure the industry is widely expected to see in deposit costs, we believe Pathfinder’s market position, customer relationships, and pricing discipline provide a solid foundation for building on our core deposit base going forward.”</w:t>
      </w:r>
    </w:p>
    <w:p>
      <w:pPr>
        <w:spacing w:after="0" w:line="198"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Non-GAAP financial metric. See “Notes on Non-GAAP Financial Measures” and non-GAAP reconciliation included herein for the most directly comparable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i w:val="1"/>
          <w:iCs w:val="1"/>
          <w:color w:val="auto"/>
        </w:rPr>
        <w:t>Net Interest Income and Net Interest Margin</w:t>
      </w:r>
    </w:p>
    <w:p>
      <w:pPr>
        <w:spacing w:after="0" w:line="2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1"/>
          <w:szCs w:val="21"/>
          <w:color w:val="auto"/>
        </w:rPr>
        <w:t>Net interest income in the third quarter of 2026 reflected a full three months' benefit of the reallocation of underutilized liquidity into the available-for-sale (“AFS”) securities portfolio, which was primarily undertaken late in the second quarter of 2026.</w:t>
      </w:r>
    </w:p>
    <w:p>
      <w:pPr>
        <w:spacing w:after="0" w:line="1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Third quarter 2026 net interest income was $10.7 million, an increase of $175,000, or 1.7%, from the second quarter of 2026. An increase in total interest and dividend income of $576,000 in the third quarter of 2026, from the linked quarter, was primarily attributed to a $27.3 million increase in average earning assets, as well as an average yield increase of 6 basis points on all interest-earning assets. A 13 basis points increase in average loan yields in the third quarter of 2026, from the linked quarter, was primarily attributable to new originations of commercial real estate loans at higher rates, which offset the impact of portfolio runoff from maturities and payoffs, in addition to the transfer of two commercial relationships to nonperforming status in the third quarter of 2026. A 3 basis points increase in taxable securities average yield in the third quarter of 2026, from the linked quarter, reflected a $36.6 million increase in average taxable investment securities balances resulting from AFS securities purchases. During the third quarter of 2026, compared to the linked quarter, average balances of federal funds sold and interest-earning deposits increased by $5.2 million, while average balances of loans and tax-exempt securities declined by $14.0 million and $500,000, respectively. An increase in total interest expense in the third quarter of 2026, from the linked quarter, of $401,000 was primarily attributed to a $682,000 increase in interest on borrowings that were utilized to support recent AFS securities purchases, which more than offset a $293,000 reduction in interest paid on deposits. During the third quarter of 2026, compared to the linked quarter, the 10 basis points increase in the average cost of total interest-bearing liabilities included increases of 16 basis points in the average cost of borrowings and 16 basis points in the average cost of subordinated debt, while the average cost of interest-bearing deposits remained unchanged.</w:t>
      </w:r>
    </w:p>
    <w:p>
      <w:pPr>
        <w:spacing w:after="0" w:line="2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Third quarter 2026 NIM was 3.07%, compared to 3.08% in the linked quarter. The 1 basis point decrease from the linked quarter primarily resulted from an increase in the cost of borrowings, which more than offset stable interest-bearing deposit costs and higher earning asset yields.</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Third quarter 2026 net interest income was $10.7 million, a decrease of $889,000 or 7.7%, from the year-ago period when the Company benefited from $260,000 in loan and investment prepayment penalty income. A decrease in total interest and dividend income of $1.1 million in the third quarter of 2026, from the year-ago period, was primarily attributed to a $20.8 million decline in average loan balances and an average yield decrease of 34 basis points on all interest-earning assets, as well as the elevated loan and investment prepayment income recorded in the third quarter of 2025. Average loan yields decreased 37 basis points from the year-ago period, driven by maturities and payoffs of higher-yielding loans, and elevated nonperforming loans for which specific reserves were established as appropriate prior to the third quarter of 2026. A 16 basis points decrease in taxable securities average yield in the third quarter of 2026, from the year-ago period, reflected payoffs of higher-yielding taxable securities in conjunction with higher average balances from recent AFS securities purchases. In addition, comparing the third quarter of 2026 to the year-ago period, the average balance of taxable securities increased by $25.6 million while average balances of loans and tax-exempt securities declined by $20.8 million and $1.4 million, respectively. Compared to the year-ago period, third quarter 2026 income from loan interest, tax-exempt securities, and federal funds sold and interest earning deposits decreased by $1.1 million, $84,000 and $15,000, respectively, while income from taxable securities and dividends increased by $71,000 and $56,000, respectively. A decrease in total interest expense in the third quarter of 2026, from the year-ago period, of $203,000 was attributed to a $1.1 million decrease in interest paid on deposits, partially offset by a $692,000 increase in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6" w:name="page7"/>
    <w:bookmarkEnd w:id="6"/>
    <w:p>
      <w:pPr>
        <w:jc w:val="both"/>
        <w:spacing w:after="0" w:line="238" w:lineRule="auto"/>
        <w:rPr>
          <w:sz w:val="20"/>
          <w:szCs w:val="20"/>
          <w:color w:val="auto"/>
        </w:rPr>
      </w:pPr>
      <w:r>
        <w:rPr>
          <w:rFonts w:ascii="Times New Roman" w:cs="Times New Roman" w:eastAsia="Times New Roman" w:hAnsi="Times New Roman"/>
          <w:sz w:val="22"/>
          <w:szCs w:val="22"/>
          <w:color w:val="auto"/>
        </w:rPr>
        <w:t>on borrowings that were utilized to support recent AFS securities purchases. During the third quarter of 2026, compared to the year-ago period, the 5 basis points decline in the average cost of total interest-bearing liabilities included increases of 13 basis points in the average cost of borrowings and 231 basis points in the average cost of subordinated debt that reset from bearing fixed to floating-rate interest after October 15, 2025, as well as a decrease of 23 basis points in the average cost of interest-bearing deposits.</w:t>
      </w: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Third quarter 2026 NIM was 3.07%, compared to 3.34% in the year-ago period. The decrease of 27 basis points reflected a decline in earning asset yields and an increase in borrowing costs that more than offset lower interest-bearing deposit costs, as well as third quarter 2025 NIM that benefited by 7 basis points from elevated loan and investment prepayment penalty income.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Noninterest Income</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Noninterest income totaled $1.4 million in the third quarter of 2026, compared to $1.2 million in the second quarter of 2026, and $1.5 million in the third quarter of 2025.</w:t>
      </w:r>
    </w:p>
    <w:p>
      <w:pPr>
        <w:spacing w:after="0" w:line="20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Compared to the linked quarter, third quarter 2026 noninterest income reflected increases of $11,000 in debit card interchange fees and $10,000 in service charges on deposit accounts, as well as decreases of $49,000 in earnings and gain on bank owned life insurance (“BOLI”) and $4,000 in loan servicing fees. In addition, compared to the linked quarter, third quarter 2026 noninterest income reflected increases of $39,000 in net realized gains on sales and redemptions of investment securities and $1,000 in gains on sales of loans and foreclosed real estate. Net unrealized gains on marketable equity securities, which include three limited partnership equity method investments, remains a variable contributor to noninterest income, increasing $125,000 in the third quarter of 2026 from the linked quarter.</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Compared to the year-ago period, third quarter 2026 noninterest income reflected decreases of $49,000 in loan servicing fees, $18,000 in debit card interchange fees, $13,000 in service charges on deposit accounts, and $5,000 in earnings and gains on BOLI attributed to a $32,000 net death benefit recorded in the third quarter of 2025. In addition, compared to the year-ago period, third quarter 2026 noninterest income included an increase of $51,000 in net realized gains on sales and redemptions of investment securities and a $25,000 decrease in gains on sales of loans and foreclosed real estate. Net unrealized gains on marketable equity securities, which include three limited partnership equity method investments, remains a variable contributor to noninterest income, decreasing $73,000 in the third quarter of 2026 from the year-ago period.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Noninterest Expense</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Noninterest expense totaled $9.4 million in the third quarter of 2026, compared to $8.7 million in the second quarter of 2026 and $8.9 million in the third quarter of 2025.</w:t>
      </w:r>
    </w:p>
    <w:p>
      <w:pPr>
        <w:spacing w:after="0" w:line="20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Salaries and benefits expense was $5.6 million in the third quarter of 2026, increasing $958,000 from the linked quarter and $606,000 from the year-ago quarter. The increase from comparable periods reflects selective senior hires including client-facing commercial banking talent, and moderate increases in salaries. Comparisons to prior periods were also affected by non-cash compensation-related costs, partially offset by the favorable impact of non-operating recoveries from medical claim refunds under the Company's self-insured health plan.</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Building and occupancy expense was $1.4 million in the third quarter of 2026, decreasing $29,000 from the linked quarter and $48,000 from the year-ago quarter. The decreases from the linked and year-ago quarters reflected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448310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7" w:name="page8"/>
    <w:bookmarkEnd w:id="7"/>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lower facility-related maintenance and repair expenses, including ATM servicing, branch maintenance and various property improvement activities.</w:t>
      </w:r>
    </w:p>
    <w:p>
      <w:pPr>
        <w:spacing w:after="0" w:line="185"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Data processing expense was $705,000 in the third quarter of 2026, decreasing $69,000 from the linked quarter and increasing $64,000 from the year-ago period. The decrease from the linked quarter reflected lower data, ATM, and other technology maintenance costs. The increase from the year-ago period primarily reflected higher technology maintenance costs.</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Other noninterest expenses were $301,000 in the third quarter of 2026, decreasing $313,000 from the linked quarter and $301,000 from the year-ago quarter. The decreases from both the linked and year-ago quarters were primarily attributable to non-cash compensation-related costs.</w:t>
      </w:r>
    </w:p>
    <w:p>
      <w:pPr>
        <w:spacing w:after="0" w:line="2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As a percentage of average assets, annualized noninterest expense represented 2.51% in the third quarter of 2026, compared to 2.39% and 2.40% in the linked and year-ago periods. The efficiency ratio was 78.13% in the third quarter of 2026, compared to</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74.26% and 68.78% in the linked and year-ago periods, respectively</w:t>
      </w:r>
      <w:r>
        <w:rPr>
          <w:rFonts w:ascii="Times New Roman" w:cs="Times New Roman" w:eastAsia="Times New Roman" w:hAnsi="Times New Roman"/>
          <w:sz w:val="14"/>
          <w:szCs w:val="14"/>
          <w:color w:val="auto"/>
        </w:rPr>
        <w:t>(2)</w:t>
      </w:r>
      <w:r>
        <w:rPr>
          <w:rFonts w:ascii="Times New Roman" w:cs="Times New Roman" w:eastAsia="Times New Roman" w:hAnsi="Times New Roman"/>
          <w:sz w:val="22"/>
          <w:szCs w:val="22"/>
          <w:color w:val="auto"/>
        </w:rPr>
        <w:t>. While noninterest expense reflects strategic investments in personnel and growth initiatives, the efficiency ratio was elevated in the first nine months of 2026, primarily due to lower revenue when compared to the prior-year period, which the Company views as temporary.</w:t>
      </w:r>
    </w:p>
    <w:p>
      <w:pPr>
        <w:spacing w:after="0" w:line="192" w:lineRule="exact"/>
        <w:rPr>
          <w:sz w:val="20"/>
          <w:szCs w:val="20"/>
          <w:color w:val="auto"/>
        </w:rPr>
      </w:pPr>
    </w:p>
    <w:p>
      <w:pPr>
        <w:ind w:left="160" w:hanging="152"/>
        <w:spacing w:after="0"/>
        <w:tabs>
          <w:tab w:leader="none" w:pos="160" w:val="left"/>
        </w:tabs>
        <w:numPr>
          <w:ilvl w:val="0"/>
          <w:numId w:val="5"/>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Non-GAAP financial metric. See “Notes on Non-GAAP Financial Measures” and non-GAAP reconciliation included herein for the most directly comparable financial measures.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Net Income</w:t>
      </w:r>
    </w:p>
    <w:p>
      <w:pPr>
        <w:spacing w:after="0" w:line="2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Net income was $2.1 million, or $0.33 per basic share and $0.32 per diluted share, in the third quarter of 2026, compared to $2.7 million, or $0.42 per basic and diluted share, in the second quarter of 2026, and $626,000, or $0.10 per basic and diluted share, in the third quarter of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Statement of Financial Condition</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As of September 30, 2026, the Company’s statement of financial condition reflects total assets of $1.49 billion, compared to $1.49 billion on June 30, 2026, and $1.47 billion on September 30, 2025.</w:t>
      </w:r>
    </w:p>
    <w:p>
      <w:pPr>
        <w:spacing w:after="0" w:line="20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Loans totaled $873.0 million on September 30, 2026, decreasing $16.0 million or 1.8% during the third quarter of 2026 and $25.5 million or 2.8% from one year prior. Consumer and residential loans totaled $342.1 million on September 30, 2026, decreasing $3.1 million or 0.9% during the third quarter of 2026 and $14.1 million or 4.0% from one year prior. Commercial loans totaled $531.6 million on September 30, 2026, decreasing $13.0 million or 2.4% during the third quarter of 2026 and $12.1 million or 2.2% from one year prior.</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Investment securities totaled $465.6 million on September 30, 2026, decreasing $11.9 million or 2.5% during the third quarter of 2026 and increasing $28.6 million or 6.6% from one year prior. The increase from September 30, 2025 was primarily due to the purchase of AFS securities late in the second quarter of 2026, enabling the Company to generate incremental earnings while preserving the flexibility to use core deposits to fund future loan growth, even as the held-to maturity (“HTM”) portfolio experienced runoff from maturities, calls, and paydowns.</w:t>
      </w: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With respect to liabilities, deposits totaled $1.16 billion on September 30, 2026, decreasing $15.8 million or 1.3% during the third quarter of 2026 and $66.6 million or 5.4% from one year prior, as the Bank utilizes deliberate pricing and account management to facilitate intentional runoff of higher-cost brokered deposits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8" w:name="page9"/>
    <w:bookmarkEnd w:id="8"/>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non-relationship time deposits. The decrease from the prior three and twelve months was primarily due to reductions in brokered and time deposits, which were partially offset by growth in MMDA balances. The decrease also reflected municipal deposit seasonality.</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Core deposits totaled $957.1 million, or 82.62% of total deposits, on September 30, 2026, decreasing $4.5 million or 0.5% during the third quarter of 2026 and $3.0 million or 0.3% from one year prior.</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Borrowings were utilized in the third quarter of 2026 to fund purchases of AFS securities at rates below those of wholesale funding alternatives, including brokered deposits. As a result, borrowings grew to $155.5 million on September 30, 2026, increasing $22.2 million during the third quarter of 2026 and $98.9 million from one year prior.</w:t>
      </w:r>
    </w:p>
    <w:p>
      <w:pPr>
        <w:spacing w:after="0" w:line="20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Shareholders’ equity totaled $118.8 million on September 30, 2026, decreasing $7.0 million or 5.6% during the third quarter of 2026 and $7.6 million or 6.0% from one year prior. The decrease from June 30, 2026 primarily reflected an $8.7 million increase in accumulated other comprehensive loss (“AOCL”), driven by the decline in fair value of AFS mortgage-backed securities in a rising interest rate environment, which was partially offset by favorable interest rate hedging activity, as well as a $1.4 million increase in retained earnings and a $277,000 increase in additional paid in capital.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Asset Quality</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Company’s asset quality metrics reflect ongoing efforts the Bank is undertaking as part of its commitment to continuously improve its credit risk management approach.</w:t>
      </w:r>
    </w:p>
    <w:p>
      <w:pPr>
        <w:spacing w:after="0" w:line="20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Company believes it is sufficiently collateralized and reserved, with an ACL of $22.7 million on September 30, 2026, compared to $26.9 million on June 30, 2026, and $18.7 million on September 30, 2025. During the third quarter of 2026, the Company charged off $3.7 million in commercial loans with unique risk characteristics ("LURCs") that had been identified through last year's comprehensive commercial portfolio review. The charge-off was fully covered by previously established ACL reserves. As a percentage of total loans, the ACL represented 2.60% on September 30, 2026, 3.03% on June 30, 2026, and 2.08% on September 30, 2025.</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ACL continues to reflect the $11.4 million risk-based reserve build recorded at the end of 2025, following a forward-looking assessment of LURCs identified through a comprehensive review of approximately 90% of the Bank’s commercial portfolio. Specific reserves, including those established in conjunction with 2025’s comprehensive commercial portfolio review, represented 57.4% of the Company’s ACL at the end of the third quarter of 2026.</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Individually analyzed loans (“IALs”) including LURCs totaled $73.5 million on September 30, 2026, improving from $78.6 million on June 30, 2026. At the end of the third quarter of 2026, LURCs consisted of 70% commercial real estate (“CRE”)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loans, which had a weighted average loan-to-value (“LTV”) ratio of 66%</w:t>
      </w:r>
      <w:r>
        <w:rPr>
          <w:rFonts w:ascii="Times New Roman" w:cs="Times New Roman" w:eastAsia="Times New Roman" w:hAnsi="Times New Roman"/>
          <w:sz w:val="14"/>
          <w:szCs w:val="14"/>
          <w:color w:val="auto"/>
        </w:rPr>
        <w:t>(3)</w:t>
      </w:r>
      <w:r>
        <w:rPr>
          <w:rFonts w:ascii="Times New Roman" w:cs="Times New Roman" w:eastAsia="Times New Roman" w:hAnsi="Times New Roman"/>
          <w:sz w:val="22"/>
          <w:szCs w:val="22"/>
          <w:color w:val="auto"/>
        </w:rPr>
        <w:t>.</w:t>
      </w:r>
    </w:p>
    <w:p>
      <w:pPr>
        <w:spacing w:after="0" w:line="2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Nonperforming loan (“NPL”) levels may fluctuate near term as IALs progress through resolution activities. NPLs were $30.3 million, or 3.47% of total loans, on September 30, 2026, compared to $35.7 million, or 4.02% of total loans on June 30, 2026, and $23.3 million or 2.59% of total loans on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594995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9" w:name="page10"/>
    <w:bookmarkEnd w:id="9"/>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recorded third quarter 2026 NCOs of $4.3 million, or an annualized 1.96% of average loans, primarily related to previously identified commercial IALs and charged against reserves established in prior periods, with gross charge-offs partially offset by $197,000 in recoveries.</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Provision for credit loss expense was $231,000 in the third quarter of 2026, attributed primarily to quantitative and qualitative factor adjustments to the ACL. A credit loss provision benefit of $155,000 was recorded in the second quarter of 2026 and the provision for credit loss expense was $3.5 million in the third quarter of 2025.</w:t>
      </w:r>
    </w:p>
    <w:p>
      <w:pPr>
        <w:spacing w:after="0" w:line="217" w:lineRule="exact"/>
        <w:rPr>
          <w:sz w:val="20"/>
          <w:szCs w:val="20"/>
          <w:color w:val="auto"/>
        </w:rPr>
      </w:pPr>
    </w:p>
    <w:p>
      <w:pPr>
        <w:jc w:val="both"/>
        <w:ind w:firstLine="8"/>
        <w:spacing w:after="0" w:line="216" w:lineRule="auto"/>
        <w:tabs>
          <w:tab w:leader="none" w:pos="158" w:val="left"/>
        </w:tabs>
        <w:numPr>
          <w:ilvl w:val="0"/>
          <w:numId w:val="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Weighted average LTV is the loan principal balance as a percentage of book balance for commercial real estate (CRE) individually analyzed loans, excluding two loans with LTVs &gt;100% based on collateral that is expected to be sold to new owners or sponsors intending to reposition these transitional or value-add properties. Collateral values are determined using most-recent appraisals, purchase offers, auction bids, broker opinions, and business financials.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Liquidity</w:t>
      </w:r>
    </w:p>
    <w:p>
      <w:pPr>
        <w:spacing w:after="0" w:line="2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Company has diligently ensured a strong liquidity profile as of September 30, 2026 to meet its ongoing financial obligations. The Bank’s liquidity management, as evaluated by its cash reserves and operational cash flows from loan repayments and investment securities, remains robust and is effectively managed by the institution’s leadership.</w:t>
      </w:r>
    </w:p>
    <w:p>
      <w:pPr>
        <w:spacing w:after="0" w:line="20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Bank’s analysis indicates that expected cash inflows from loans and investment securities are more than sufficient to meet all projected financial obligations. Total deposits were $1.16 billion on September 30, 2026, compared to $1.17 billion on June 30, 2026, and $1.23 billion on September 30, 2025. Core deposits, as a percentage of total deposits, represented 82.62% on September 30, 2026, compared to 81.89% on June 30, 2026, and 78.37% on September 30, 2025. The Bank continues to implement strategic initiatives to enhance its core deposit franchise, including targeted marketing campaigns and customer engagement programs aimed at deepening banking relationships and enhancing deposit stability.</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On September 30, 2026, the Bank had an available additional funding capacity of $90.6 million with the Federal Home Loan Bank of New York and $31.2 million with the Federal Reserve Bank, which complements its liquidity reserves. Moreover, the Bank maintains additional unused credit lines totaling $15.0 million, which provide a buffer for additional funding needs. These facilities, including access to the Federal Reserve’s Discount Window, are part of a comprehensive liquidity strategy that ensures flexibility and readiness to respond to any funding requirements.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Cash Dividend Declared</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On September 28, 2026, Pathfinder’s Board of Directors declared a cash dividend of $0.10 per share for holders of both voting common and non-voting common stock.</w:t>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Shareholders registered by October 16, 2026 will be eligible for the dividend, which is scheduled for disbursement on November 6, 2026. This distribution aligns with Pathfinder Bancorp’s philosophy of consistent and reliable delivery of shareholder value.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Evaluating the Company’s market performance, the closing stock price as of September 30, 2026 stood at $16.88 per share. This positions the annualized dividend yield at 2.37%.</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About Pathfinder Bancorp,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0" w:name="page11"/>
    <w:bookmarkEnd w:id="10"/>
    <w:p>
      <w:pPr>
        <w:jc w:val="both"/>
        <w:spacing w:after="0" w:line="238" w:lineRule="auto"/>
        <w:rPr>
          <w:sz w:val="20"/>
          <w:szCs w:val="20"/>
          <w:color w:val="auto"/>
        </w:rPr>
      </w:pPr>
      <w:r>
        <w:rPr>
          <w:rFonts w:ascii="Times New Roman" w:cs="Times New Roman" w:eastAsia="Times New Roman" w:hAnsi="Times New Roman"/>
          <w:sz w:val="22"/>
          <w:szCs w:val="22"/>
          <w:color w:val="auto"/>
        </w:rPr>
        <w:t>Pathfinder Bancorp, Inc. (NASDAQ: PBHC) is the bank holding company for Pathfinder Bank, which serves Central New York customers throughout Oswego, Syracuse, and their neighboring communities. Strategically located branches, as well as diversified consumer, mortgage, and commercial loan portfolios, reflect the state-chartered Bank’s commitment to in-market relationships and local customer service. The Company also offers investment services to individuals and businesses. More information is available at pathfinderbank.com and ir.pathfinderbank.com.</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Forward-Looking Statements</w:t>
      </w:r>
    </w:p>
    <w:p>
      <w:pPr>
        <w:spacing w:after="0" w:line="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Certain statements contained herein are “forward looking statements” within the meaning of Section 27A of the Securities Act of 1933 and Section 21E of the Securities Exchange Act of 1934. These forward-looking statements concern the financial condition, results of operations, plans, objectives, future performance and business of the Company and its subsidiaries, including, but not limited to, the Bank, and include statements regarding future credit costs and asset quality; the resolution of previously identified commercial credits; the adequacy of the allowance for credit losses; loan growth and anticipated commercial loan originations; deposit levels, deposit mix and deposit pricing; funding costs and access to funding; and the potential effects of economic conditions, interest rates and regional economic development on the Company’s business.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Forward-looking statements are generally identified by use of the words “believe,” “expect,” “intend,” “anticipate,” “estimate,” “project” or similar expressions, or future or conditional verbs, such as “will,” “would,” “should,” “could,” or “may.” These forward-looking statements are based on current beliefs and expectations of the Company’s and the Bank’s management and are inherently subject to significant business, economic, competitive and regulatory uncertainties and contingencies, many of which are beyond the Company’s and the Bank’s control. In addition, these forward-looking statements are subject to assumptions with respect to future business strategies and decisions that are subject to change.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Actual results may differ materially from those expressed or implied by the forward-looking statements as a result of numerous factors. Although it is not possible to identify all factors that may cause actual results to differ, such factors include, but are not limited to: risks related to the real estate and economic environment, particularly in the market areas in which the Company and the Bank operate; fiscal and monetary policies of the U.S. Government; inflation; changes in prevailing interest rates; changes in government regulations affecting financial institutions, including regulatory compliance costs and capital requirements; the risk that actual credit losses, borrower performance, collateral values, or loan migration patterns differ from management’s forward-looking estimates or assumptions; fluctuations in the adequacy of the allowance for credit losses; decreases in deposit levels or changes in deposit mix that may necessitate increased borrowing to fund loans and investments; access to wholesale or other funding sources; operational risks including, cybersecurity, fraud, model risk and natural disasters; credit risk management; volatility or adverse trends in the securities markets that could affect the value of the Company’s investment portfolio or broader financial conditions; and the risk that the Company may not be successful in the implementation of its business strategy.</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Additional factors that could cause actual results to differ materially are described in the Company’s Annual Report on Form 10-K and other periodic filings with the Securities and Exchange Commission (“SEC”), which are available at the SEC’s website, www.sec.gov. While the Company believes it has identified and discussed the material risks affecting its business, there may be additional risks and uncertainties not currently known or considered immaterial that could affect the forward-looking statements made herein.</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Given these risks and uncertainties, investors should not place undue reliance on forward-looking statements as predictions of future results. Any forward-looking statement speaks only as of the date on which it is made, and the Company undertakes no obligation to update or revise any forward-looking statement, whether as a result of new information, future events, or otherwise, except as required by applicable law.</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Notes on Non-GAAP Financial Measures</w:t>
      </w:r>
    </w:p>
    <w:p>
      <w:pPr>
        <w:spacing w:after="0" w:line="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release contains certain non-GAAP financial measures, including, but not limited to the efficiency ratio, pre-tax, pre-provision net income, tangible common equity, tangible book value per share, and return on average tangible common equity. For purposes of SEC Regulation G, a non-GAAP financial measure is a numerical measure of a registrant’s historical or future financial performance, financial position, or cash flows that excludes amounts, or is subject to adjustments that have the effect of excluding amounts, that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1" w:name="page12"/>
    <w:bookmarkEnd w:id="11"/>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included in the most directly comparable measure calculated and presented in accordance with generally accepted accounting principles in the United States (“GAAP”), or includes amounts, or is subject to adjustments that have the effect of including amounts, that are excluded from the most directly comparable GAAP measure.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Company believes these non-GAAP financial measures provide useful information to investors by assisting in the evaluation of the Company’s operating performance, operating efficiency, financial condition, and trends, and by facilitating comparisons with prior periods and with peer institutions. In particular, management uses these measures to assess expense control relative to revenue generation, underlying profitability excluding certain non-recurring or non-operational items, and capital strength on a basis that it believes is meaningful for internal planning and external analysis.</w:t>
      </w:r>
    </w:p>
    <w:p>
      <w:pPr>
        <w:spacing w:after="0" w:line="18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These non-GAAP measures should not be considered a substitute for, or superior to, financial measures calculated in accordance with GAAP and should be considered only in conjunction with the Company’s GAAP financial results.</w:t>
      </w:r>
    </w:p>
    <w:p>
      <w:pPr>
        <w:spacing w:after="0" w:line="158"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Pursuant to the requirements of SEC Regulation G, the Company has provided reconciliations of the non-GAAP financial measures to the most directly comparable GAAP financial measures within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580390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2" w:name="page13"/>
    <w:bookmarkEnd w:id="12"/>
    <w:p>
      <w:pPr>
        <w:spacing w:after="0"/>
        <w:rPr>
          <w:sz w:val="20"/>
          <w:szCs w:val="20"/>
          <w:color w:val="auto"/>
        </w:rPr>
      </w:pPr>
      <w:r>
        <w:rPr>
          <w:rFonts w:ascii="Arial" w:cs="Arial" w:eastAsia="Arial" w:hAnsi="Arial"/>
          <w:sz w:val="15"/>
          <w:szCs w:val="15"/>
          <w:b w:val="1"/>
          <w:bCs w:val="1"/>
          <w:color w:val="auto"/>
        </w:rPr>
        <w:t>PATHFINDER BANCORP, INC.</w:t>
      </w:r>
    </w:p>
    <w:p>
      <w:pPr>
        <w:spacing w:after="0" w:line="233" w:lineRule="auto"/>
        <w:rPr>
          <w:sz w:val="20"/>
          <w:szCs w:val="20"/>
          <w:color w:val="auto"/>
        </w:rPr>
      </w:pPr>
      <w:r>
        <w:rPr>
          <w:rFonts w:ascii="Arial" w:cs="Arial" w:eastAsia="Arial" w:hAnsi="Arial"/>
          <w:sz w:val="15"/>
          <w:szCs w:val="15"/>
          <w:b w:val="1"/>
          <w:bCs w:val="1"/>
          <w:color w:val="auto"/>
        </w:rPr>
        <w:t>Selected Financial Information (Unaudited)</w:t>
      </w:r>
    </w:p>
    <w:p>
      <w:pPr>
        <w:spacing w:after="0"/>
        <w:rPr>
          <w:sz w:val="20"/>
          <w:szCs w:val="20"/>
          <w:color w:val="auto"/>
        </w:rPr>
      </w:pPr>
      <w:r>
        <w:rPr>
          <w:rFonts w:ascii="Arial" w:cs="Arial" w:eastAsia="Arial" w:hAnsi="Arial"/>
          <w:sz w:val="15"/>
          <w:szCs w:val="15"/>
          <w:color w:val="auto"/>
        </w:rPr>
        <w:t>(Dollars in thousands,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2026</w:t>
            </w: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2025</w:t>
            </w: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5080" w:type="dxa"/>
            <w:vAlign w:val="bottom"/>
            <w:vMerge w:val="restart"/>
          </w:tcPr>
          <w:p>
            <w:pPr>
              <w:spacing w:after="0"/>
              <w:rPr>
                <w:sz w:val="20"/>
                <w:szCs w:val="20"/>
                <w:color w:val="auto"/>
              </w:rPr>
            </w:pPr>
            <w:r>
              <w:rPr>
                <w:rFonts w:ascii="Arial" w:cs="Arial" w:eastAsia="Arial" w:hAnsi="Arial"/>
                <w:sz w:val="15"/>
                <w:szCs w:val="15"/>
                <w:b w:val="1"/>
                <w:bCs w:val="1"/>
                <w:color w:val="auto"/>
              </w:rPr>
              <w:t>SELECTED BALANCE SHEET DATA:</w:t>
            </w:r>
          </w:p>
        </w:tc>
        <w:tc>
          <w:tcPr>
            <w:tcW w:w="2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right"/>
              <w:ind w:right="360"/>
              <w:spacing w:after="0" w:line="136" w:lineRule="exact"/>
              <w:rPr>
                <w:sz w:val="20"/>
                <w:szCs w:val="20"/>
                <w:color w:val="auto"/>
              </w:rPr>
            </w:pPr>
            <w:r>
              <w:rPr>
                <w:rFonts w:ascii="Arial" w:cs="Arial" w:eastAsia="Arial" w:hAnsi="Arial"/>
                <w:sz w:val="15"/>
                <w:szCs w:val="15"/>
                <w:b w:val="1"/>
                <w:bCs w:val="1"/>
                <w:color w:val="auto"/>
              </w:rPr>
              <w:t>September</w:t>
            </w:r>
          </w:p>
        </w:tc>
        <w:tc>
          <w:tcPr>
            <w:tcW w:w="180" w:type="dxa"/>
            <w:vAlign w:val="bottom"/>
          </w:tcPr>
          <w:p>
            <w:pPr>
              <w:spacing w:after="0"/>
              <w:rPr>
                <w:sz w:val="11"/>
                <w:szCs w:val="11"/>
                <w:color w:val="auto"/>
              </w:rPr>
            </w:pPr>
          </w:p>
        </w:tc>
        <w:tc>
          <w:tcPr>
            <w:tcW w:w="88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June 30,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March 31,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84"/>
              <w:spacing w:after="0" w:line="136" w:lineRule="exact"/>
              <w:rPr>
                <w:sz w:val="20"/>
                <w:szCs w:val="20"/>
                <w:color w:val="auto"/>
              </w:rPr>
            </w:pPr>
            <w:r>
              <w:rPr>
                <w:rFonts w:ascii="Arial" w:cs="Arial" w:eastAsia="Arial" w:hAnsi="Arial"/>
                <w:sz w:val="15"/>
                <w:szCs w:val="15"/>
                <w:b w:val="1"/>
                <w:bCs w:val="1"/>
                <w:color w:val="auto"/>
              </w:rPr>
              <w:t>December</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84"/>
              <w:spacing w:after="0" w:line="136" w:lineRule="exact"/>
              <w:rPr>
                <w:sz w:val="20"/>
                <w:szCs w:val="20"/>
                <w:color w:val="auto"/>
              </w:rPr>
            </w:pPr>
            <w:r>
              <w:rPr>
                <w:rFonts w:ascii="Arial" w:cs="Arial" w:eastAsia="Arial" w:hAnsi="Arial"/>
                <w:sz w:val="15"/>
                <w:szCs w:val="15"/>
                <w:b w:val="1"/>
                <w:bCs w:val="1"/>
                <w:color w:val="auto"/>
              </w:rPr>
              <w:t>September</w:t>
            </w:r>
          </w:p>
        </w:tc>
        <w:tc>
          <w:tcPr>
            <w:tcW w:w="0" w:type="dxa"/>
            <w:vAlign w:val="bottom"/>
          </w:tcPr>
          <w:p>
            <w:pPr>
              <w:spacing w:after="0"/>
              <w:rPr>
                <w:sz w:val="1"/>
                <w:szCs w:val="1"/>
                <w:color w:val="auto"/>
              </w:rPr>
            </w:pPr>
          </w:p>
        </w:tc>
      </w:tr>
      <w:tr>
        <w:trPr>
          <w:trHeight w:val="181"/>
        </w:trPr>
        <w:tc>
          <w:tcPr>
            <w:tcW w:w="508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30,</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31,</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30,</w:t>
            </w:r>
          </w:p>
        </w:tc>
        <w:tc>
          <w:tcPr>
            <w:tcW w:w="0" w:type="dxa"/>
            <w:vAlign w:val="bottom"/>
          </w:tcPr>
          <w:p>
            <w:pPr>
              <w:spacing w:after="0"/>
              <w:rPr>
                <w:sz w:val="1"/>
                <w:szCs w:val="1"/>
                <w:color w:val="auto"/>
              </w:rPr>
            </w:pPr>
          </w:p>
        </w:tc>
      </w:tr>
      <w:tr>
        <w:trPr>
          <w:trHeight w:val="155"/>
        </w:trPr>
        <w:tc>
          <w:tcPr>
            <w:tcW w:w="5280" w:type="dxa"/>
            <w:vAlign w:val="bottom"/>
            <w:gridSpan w:val="2"/>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ASSETS:</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8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Cash and due from banks</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980" w:type="dxa"/>
            <w:vAlign w:val="bottom"/>
          </w:tcPr>
          <w:p>
            <w:pPr>
              <w:jc w:val="right"/>
              <w:ind w:right="64"/>
              <w:spacing w:after="0" w:line="162" w:lineRule="exact"/>
              <w:rPr>
                <w:sz w:val="20"/>
                <w:szCs w:val="20"/>
                <w:color w:val="auto"/>
              </w:rPr>
            </w:pPr>
            <w:r>
              <w:rPr>
                <w:rFonts w:ascii="Arial" w:cs="Arial" w:eastAsia="Arial" w:hAnsi="Arial"/>
                <w:sz w:val="15"/>
                <w:szCs w:val="15"/>
                <w:color w:val="auto"/>
              </w:rPr>
              <w:t>17,452</w:t>
            </w:r>
          </w:p>
        </w:tc>
        <w:tc>
          <w:tcPr>
            <w:tcW w:w="180" w:type="dxa"/>
            <w:vAlign w:val="bottom"/>
          </w:tcPr>
          <w:p>
            <w:pPr>
              <w:spacing w:after="0"/>
              <w:rPr>
                <w:sz w:val="14"/>
                <w:szCs w:val="14"/>
                <w:color w:val="auto"/>
              </w:rPr>
            </w:pPr>
          </w:p>
        </w:tc>
        <w:tc>
          <w:tcPr>
            <w:tcW w:w="180" w:type="dxa"/>
            <w:vAlign w:val="bottom"/>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8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11,402</w:t>
            </w:r>
          </w:p>
        </w:tc>
        <w:tc>
          <w:tcPr>
            <w:tcW w:w="32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13,915</w:t>
            </w:r>
          </w:p>
        </w:tc>
        <w:tc>
          <w:tcPr>
            <w:tcW w:w="30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11,521</w:t>
            </w:r>
          </w:p>
        </w:tc>
        <w:tc>
          <w:tcPr>
            <w:tcW w:w="2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19,317</w:t>
            </w:r>
          </w:p>
        </w:tc>
        <w:tc>
          <w:tcPr>
            <w:tcW w:w="0" w:type="dxa"/>
            <w:vAlign w:val="bottom"/>
          </w:tcPr>
          <w:p>
            <w:pPr>
              <w:spacing w:after="0"/>
              <w:rPr>
                <w:sz w:val="1"/>
                <w:szCs w:val="1"/>
                <w:color w:val="auto"/>
              </w:rPr>
            </w:pPr>
          </w:p>
        </w:tc>
      </w:tr>
      <w:tr>
        <w:trPr>
          <w:trHeight w:val="162"/>
        </w:trPr>
        <w:tc>
          <w:tcPr>
            <w:tcW w:w="5080" w:type="dxa"/>
            <w:vAlign w:val="bottom"/>
            <w:tcBorders>
              <w:bottom w:val="single" w:sz="8" w:color="auto"/>
            </w:tcBorders>
            <w:shd w:val="clear" w:color="auto" w:fill="CFF0FC"/>
          </w:tcPr>
          <w:p>
            <w:pPr>
              <w:ind w:left="60"/>
              <w:spacing w:after="0" w:line="162" w:lineRule="exact"/>
              <w:rPr>
                <w:sz w:val="20"/>
                <w:szCs w:val="20"/>
                <w:color w:val="auto"/>
              </w:rPr>
            </w:pPr>
            <w:r>
              <w:rPr>
                <w:rFonts w:ascii="Arial" w:cs="Arial" w:eastAsia="Arial" w:hAnsi="Arial"/>
                <w:sz w:val="15"/>
                <w:szCs w:val="15"/>
                <w:color w:val="auto"/>
              </w:rPr>
              <w:t>Interest-earning deposits</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24,243</w:t>
            </w:r>
          </w:p>
        </w:tc>
        <w:tc>
          <w:tcPr>
            <w:tcW w:w="1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14,648</w:t>
            </w:r>
          </w:p>
        </w:tc>
        <w:tc>
          <w:tcPr>
            <w:tcW w:w="1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25,244</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19,649</w:t>
            </w:r>
          </w:p>
        </w:tc>
        <w:tc>
          <w:tcPr>
            <w:tcW w:w="1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21,255</w:t>
            </w:r>
          </w:p>
        </w:tc>
        <w:tc>
          <w:tcPr>
            <w:tcW w:w="0" w:type="dxa"/>
            <w:vAlign w:val="bottom"/>
          </w:tcPr>
          <w:p>
            <w:pPr>
              <w:spacing w:after="0"/>
              <w:rPr>
                <w:sz w:val="1"/>
                <w:szCs w:val="1"/>
                <w:color w:val="auto"/>
              </w:rPr>
            </w:pPr>
          </w:p>
        </w:tc>
      </w:tr>
      <w:tr>
        <w:trPr>
          <w:trHeight w:val="156"/>
        </w:trPr>
        <w:tc>
          <w:tcPr>
            <w:tcW w:w="5080" w:type="dxa"/>
            <w:vAlign w:val="bottom"/>
            <w:tcBorders>
              <w:bottom w:val="single" w:sz="8" w:color="auto"/>
            </w:tcBorders>
          </w:tcPr>
          <w:p>
            <w:pPr>
              <w:ind w:left="100"/>
              <w:spacing w:after="0" w:line="156" w:lineRule="exact"/>
              <w:rPr>
                <w:sz w:val="20"/>
                <w:szCs w:val="20"/>
                <w:color w:val="auto"/>
              </w:rPr>
            </w:pPr>
            <w:r>
              <w:rPr>
                <w:rFonts w:ascii="Arial" w:cs="Arial" w:eastAsia="Arial" w:hAnsi="Arial"/>
                <w:sz w:val="15"/>
                <w:szCs w:val="15"/>
                <w:color w:val="auto"/>
              </w:rPr>
              <w:t>Total cash and cash equivalents</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rPr>
              <w:t>41,695</w:t>
            </w: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26,050</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39,159</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31,170</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40,572</w:t>
            </w:r>
          </w:p>
        </w:tc>
        <w:tc>
          <w:tcPr>
            <w:tcW w:w="0" w:type="dxa"/>
            <w:vAlign w:val="bottom"/>
          </w:tcPr>
          <w:p>
            <w:pPr>
              <w:spacing w:after="0"/>
              <w:rPr>
                <w:sz w:val="1"/>
                <w:szCs w:val="1"/>
                <w:color w:val="auto"/>
              </w:rPr>
            </w:pPr>
          </w:p>
        </w:tc>
      </w:tr>
      <w:tr>
        <w:trPr>
          <w:trHeight w:val="155"/>
        </w:trPr>
        <w:tc>
          <w:tcPr>
            <w:tcW w:w="5280" w:type="dxa"/>
            <w:vAlign w:val="bottom"/>
            <w:gridSpan w:val="2"/>
            <w:shd w:val="clear" w:color="auto" w:fill="CFF0FC"/>
          </w:tcPr>
          <w:p>
            <w:pPr>
              <w:ind w:left="60"/>
              <w:spacing w:after="0" w:line="156" w:lineRule="exact"/>
              <w:rPr>
                <w:sz w:val="20"/>
                <w:szCs w:val="20"/>
                <w:color w:val="auto"/>
              </w:rPr>
            </w:pPr>
            <w:r>
              <w:rPr>
                <w:rFonts w:ascii="Arial" w:cs="Arial" w:eastAsia="Arial" w:hAnsi="Arial"/>
                <w:sz w:val="15"/>
                <w:szCs w:val="15"/>
                <w:color w:val="auto"/>
              </w:rPr>
              <w:t>Available-for-sale securities, at fair value</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64"/>
              <w:spacing w:after="0" w:line="156" w:lineRule="exact"/>
              <w:rPr>
                <w:sz w:val="20"/>
                <w:szCs w:val="20"/>
                <w:color w:val="auto"/>
              </w:rPr>
            </w:pPr>
            <w:r>
              <w:rPr>
                <w:rFonts w:ascii="Arial" w:cs="Arial" w:eastAsia="Arial" w:hAnsi="Arial"/>
                <w:sz w:val="15"/>
                <w:szCs w:val="15"/>
                <w:color w:val="auto"/>
              </w:rPr>
              <w:t>359,991</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366,147</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272,971</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276,815</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294,457</w:t>
            </w:r>
          </w:p>
        </w:tc>
        <w:tc>
          <w:tcPr>
            <w:tcW w:w="0" w:type="dxa"/>
            <w:vAlign w:val="bottom"/>
          </w:tcPr>
          <w:p>
            <w:pPr>
              <w:spacing w:after="0"/>
              <w:rPr>
                <w:sz w:val="1"/>
                <w:szCs w:val="1"/>
                <w:color w:val="auto"/>
              </w:rPr>
            </w:pPr>
          </w:p>
        </w:tc>
      </w:tr>
      <w:tr>
        <w:trPr>
          <w:trHeight w:val="162"/>
        </w:trPr>
        <w:tc>
          <w:tcPr>
            <w:tcW w:w="528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Held-to-maturity securities, at amortized cost</w:t>
            </w:r>
          </w:p>
        </w:tc>
        <w:tc>
          <w:tcPr>
            <w:tcW w:w="100" w:type="dxa"/>
            <w:vAlign w:val="bottom"/>
          </w:tcPr>
          <w:p>
            <w:pPr>
              <w:spacing w:after="0"/>
              <w:rPr>
                <w:sz w:val="14"/>
                <w:szCs w:val="14"/>
                <w:color w:val="auto"/>
              </w:rPr>
            </w:pPr>
          </w:p>
        </w:tc>
        <w:tc>
          <w:tcPr>
            <w:tcW w:w="980" w:type="dxa"/>
            <w:vAlign w:val="bottom"/>
          </w:tcPr>
          <w:p>
            <w:pPr>
              <w:jc w:val="right"/>
              <w:ind w:right="64"/>
              <w:spacing w:after="0" w:line="162" w:lineRule="exact"/>
              <w:rPr>
                <w:sz w:val="20"/>
                <w:szCs w:val="20"/>
                <w:color w:val="auto"/>
              </w:rPr>
            </w:pPr>
            <w:r>
              <w:rPr>
                <w:rFonts w:ascii="Arial" w:cs="Arial" w:eastAsia="Arial" w:hAnsi="Arial"/>
                <w:sz w:val="15"/>
                <w:szCs w:val="15"/>
                <w:color w:val="auto"/>
              </w:rPr>
              <w:t>105,629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111,371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122,432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130,324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142,538</w:t>
            </w:r>
          </w:p>
        </w:tc>
        <w:tc>
          <w:tcPr>
            <w:tcW w:w="0" w:type="dxa"/>
            <w:vAlign w:val="bottom"/>
          </w:tcPr>
          <w:p>
            <w:pPr>
              <w:spacing w:after="0"/>
              <w:rPr>
                <w:sz w:val="1"/>
                <w:szCs w:val="1"/>
                <w:color w:val="auto"/>
              </w:rPr>
            </w:pPr>
          </w:p>
        </w:tc>
      </w:tr>
      <w:tr>
        <w:trPr>
          <w:trHeight w:val="162"/>
        </w:trPr>
        <w:tc>
          <w:tcPr>
            <w:tcW w:w="5280" w:type="dxa"/>
            <w:vAlign w:val="bottom"/>
            <w:gridSpan w:val="2"/>
            <w:shd w:val="clear" w:color="auto" w:fill="CFF0FC"/>
          </w:tcPr>
          <w:p>
            <w:pPr>
              <w:ind w:left="60"/>
              <w:spacing w:after="0" w:line="162" w:lineRule="exact"/>
              <w:rPr>
                <w:sz w:val="20"/>
                <w:szCs w:val="20"/>
                <w:color w:val="auto"/>
              </w:rPr>
            </w:pPr>
            <w:r>
              <w:rPr>
                <w:rFonts w:ascii="Arial" w:cs="Arial" w:eastAsia="Arial" w:hAnsi="Arial"/>
                <w:sz w:val="15"/>
                <w:szCs w:val="15"/>
                <w:color w:val="auto"/>
              </w:rPr>
              <w:t>Marketable equity securities, at fair value</w:t>
            </w: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6,739</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6,213</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6,207</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6,034</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5,352</w:t>
            </w:r>
          </w:p>
        </w:tc>
        <w:tc>
          <w:tcPr>
            <w:tcW w:w="0" w:type="dxa"/>
            <w:vAlign w:val="bottom"/>
          </w:tcPr>
          <w:p>
            <w:pPr>
              <w:spacing w:after="0"/>
              <w:rPr>
                <w:sz w:val="1"/>
                <w:szCs w:val="1"/>
                <w:color w:val="auto"/>
              </w:rPr>
            </w:pPr>
          </w:p>
        </w:tc>
      </w:tr>
      <w:tr>
        <w:trPr>
          <w:trHeight w:val="162"/>
        </w:trPr>
        <w:tc>
          <w:tcPr>
            <w:tcW w:w="5080" w:type="dxa"/>
            <w:vAlign w:val="bottom"/>
            <w:tcBorders>
              <w:bottom w:val="single" w:sz="8" w:color="auto"/>
            </w:tcBorders>
          </w:tcPr>
          <w:p>
            <w:pPr>
              <w:ind w:left="60"/>
              <w:spacing w:after="0" w:line="162" w:lineRule="exact"/>
              <w:rPr>
                <w:sz w:val="20"/>
                <w:szCs w:val="20"/>
                <w:color w:val="auto"/>
              </w:rPr>
            </w:pPr>
            <w:r>
              <w:rPr>
                <w:rFonts w:ascii="Arial" w:cs="Arial" w:eastAsia="Arial" w:hAnsi="Arial"/>
                <w:sz w:val="15"/>
                <w:szCs w:val="15"/>
                <w:color w:val="auto"/>
              </w:rPr>
              <w:t>Federal Home Loan Bank stock, at cost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4"/>
              <w:spacing w:after="0" w:line="162" w:lineRule="exact"/>
              <w:rPr>
                <w:sz w:val="20"/>
                <w:szCs w:val="20"/>
                <w:color w:val="auto"/>
              </w:rPr>
            </w:pPr>
            <w:r>
              <w:rPr>
                <w:rFonts w:ascii="Arial" w:cs="Arial" w:eastAsia="Arial" w:hAnsi="Arial"/>
                <w:sz w:val="15"/>
                <w:szCs w:val="15"/>
                <w:color w:val="auto"/>
              </w:rPr>
              <w:t>7,033</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6,935</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2,169</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2,560</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3,488</w:t>
            </w:r>
          </w:p>
        </w:tc>
        <w:tc>
          <w:tcPr>
            <w:tcW w:w="0" w:type="dxa"/>
            <w:vAlign w:val="bottom"/>
          </w:tcPr>
          <w:p>
            <w:pPr>
              <w:spacing w:after="0"/>
              <w:rPr>
                <w:sz w:val="1"/>
                <w:szCs w:val="1"/>
                <w:color w:val="auto"/>
              </w:rPr>
            </w:pPr>
          </w:p>
        </w:tc>
      </w:tr>
      <w:tr>
        <w:trPr>
          <w:trHeight w:val="155"/>
        </w:trPr>
        <w:tc>
          <w:tcPr>
            <w:tcW w:w="5080" w:type="dxa"/>
            <w:vAlign w:val="bottom"/>
            <w:tcBorders>
              <w:bottom w:val="single" w:sz="8" w:color="auto"/>
            </w:tcBorders>
            <w:shd w:val="clear" w:color="auto" w:fill="CFF0FC"/>
          </w:tcPr>
          <w:p>
            <w:pPr>
              <w:ind w:left="100"/>
              <w:spacing w:after="0" w:line="156" w:lineRule="exact"/>
              <w:rPr>
                <w:sz w:val="20"/>
                <w:szCs w:val="20"/>
                <w:color w:val="auto"/>
              </w:rPr>
            </w:pPr>
            <w:r>
              <w:rPr>
                <w:rFonts w:ascii="Arial" w:cs="Arial" w:eastAsia="Arial" w:hAnsi="Arial"/>
                <w:sz w:val="15"/>
                <w:szCs w:val="15"/>
                <w:color w:val="auto"/>
              </w:rPr>
              <w:t>Total investments</w:t>
            </w:r>
          </w:p>
        </w:tc>
        <w:tc>
          <w:tcPr>
            <w:tcW w:w="2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Arial" w:cs="Arial" w:eastAsia="Arial" w:hAnsi="Arial"/>
                <w:sz w:val="15"/>
                <w:szCs w:val="15"/>
                <w:color w:val="auto"/>
              </w:rPr>
              <w:t>479,392</w:t>
            </w:r>
          </w:p>
        </w:tc>
        <w:tc>
          <w:tcPr>
            <w:tcW w:w="1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490,666</w:t>
            </w:r>
          </w:p>
        </w:tc>
        <w:tc>
          <w:tcPr>
            <w:tcW w:w="1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403,779</w:t>
            </w:r>
          </w:p>
        </w:tc>
        <w:tc>
          <w:tcPr>
            <w:tcW w:w="1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415,733</w:t>
            </w:r>
          </w:p>
        </w:tc>
        <w:tc>
          <w:tcPr>
            <w:tcW w:w="1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445,835</w:t>
            </w:r>
          </w:p>
        </w:tc>
        <w:tc>
          <w:tcPr>
            <w:tcW w:w="0" w:type="dxa"/>
            <w:vAlign w:val="bottom"/>
          </w:tcPr>
          <w:p>
            <w:pPr>
              <w:spacing w:after="0"/>
              <w:rPr>
                <w:sz w:val="1"/>
                <w:szCs w:val="1"/>
                <w:color w:val="auto"/>
              </w:rPr>
            </w:pPr>
          </w:p>
        </w:tc>
      </w:tr>
      <w:tr>
        <w:trPr>
          <w:trHeight w:val="156"/>
        </w:trPr>
        <w:tc>
          <w:tcPr>
            <w:tcW w:w="5280" w:type="dxa"/>
            <w:vAlign w:val="bottom"/>
            <w:gridSpan w:val="2"/>
          </w:tcPr>
          <w:p>
            <w:pPr>
              <w:ind w:left="60"/>
              <w:spacing w:after="0" w:line="156" w:lineRule="exact"/>
              <w:rPr>
                <w:sz w:val="20"/>
                <w:szCs w:val="20"/>
                <w:color w:val="auto"/>
              </w:rPr>
            </w:pPr>
            <w:r>
              <w:rPr>
                <w:rFonts w:ascii="Arial" w:cs="Arial" w:eastAsia="Arial" w:hAnsi="Arial"/>
                <w:sz w:val="15"/>
                <w:szCs w:val="15"/>
                <w:color w:val="auto"/>
              </w:rPr>
              <w:t>Loans held -for-sale</w:t>
            </w:r>
          </w:p>
        </w:tc>
        <w:tc>
          <w:tcPr>
            <w:tcW w:w="100" w:type="dxa"/>
            <w:vAlign w:val="bottom"/>
          </w:tcPr>
          <w:p>
            <w:pPr>
              <w:spacing w:after="0"/>
              <w:rPr>
                <w:sz w:val="13"/>
                <w:szCs w:val="13"/>
                <w:color w:val="auto"/>
              </w:rPr>
            </w:pPr>
          </w:p>
        </w:tc>
        <w:tc>
          <w:tcPr>
            <w:tcW w:w="980" w:type="dxa"/>
            <w:vAlign w:val="bottom"/>
          </w:tcPr>
          <w:p>
            <w:pPr>
              <w:jc w:val="right"/>
              <w:ind w:right="64"/>
              <w:spacing w:after="0" w:line="156" w:lineRule="exact"/>
              <w:rPr>
                <w:sz w:val="20"/>
                <w:szCs w:val="20"/>
                <w:color w:val="auto"/>
              </w:rPr>
            </w:pPr>
            <w:r>
              <w:rPr>
                <w:rFonts w:ascii="Arial" w:cs="Arial" w:eastAsia="Arial" w:hAnsi="Arial"/>
                <w:sz w:val="15"/>
                <w:szCs w:val="15"/>
                <w:color w:val="auto"/>
              </w:rPr>
              <w:t>5,700</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44"/>
              <w:spacing w:after="0" w:line="156" w:lineRule="exact"/>
              <w:rPr>
                <w:sz w:val="20"/>
                <w:szCs w:val="20"/>
                <w:color w:val="auto"/>
              </w:rPr>
            </w:pPr>
            <w:r>
              <w:rPr>
                <w:rFonts w:ascii="Arial" w:cs="Arial" w:eastAsia="Arial" w:hAnsi="Arial"/>
                <w:sz w:val="15"/>
                <w:szCs w:val="15"/>
                <w:color w:val="auto"/>
              </w:rPr>
              <w:t>5,700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44"/>
              <w:spacing w:after="0" w:line="156" w:lineRule="exact"/>
              <w:rPr>
                <w:sz w:val="20"/>
                <w:szCs w:val="20"/>
                <w:color w:val="auto"/>
              </w:rPr>
            </w:pPr>
            <w:r>
              <w:rPr>
                <w:rFonts w:ascii="Arial" w:cs="Arial" w:eastAsia="Arial" w:hAnsi="Arial"/>
                <w:sz w:val="15"/>
                <w:szCs w:val="15"/>
                <w:color w:val="auto"/>
              </w:rPr>
              <w:t>5,700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44"/>
              <w:spacing w:after="0" w:line="156" w:lineRule="exact"/>
              <w:rPr>
                <w:sz w:val="20"/>
                <w:szCs w:val="20"/>
                <w:color w:val="auto"/>
              </w:rPr>
            </w:pPr>
            <w:r>
              <w:rPr>
                <w:rFonts w:ascii="Arial" w:cs="Arial" w:eastAsia="Arial" w:hAnsi="Arial"/>
                <w:sz w:val="15"/>
                <w:szCs w:val="15"/>
                <w:color w:val="auto"/>
              </w:rPr>
              <w:t>5,900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44"/>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5280" w:type="dxa"/>
            <w:vAlign w:val="bottom"/>
            <w:gridSpan w:val="2"/>
            <w:shd w:val="clear" w:color="auto" w:fill="CFF0FC"/>
          </w:tcPr>
          <w:p>
            <w:pPr>
              <w:ind w:left="60"/>
              <w:spacing w:after="0" w:line="162" w:lineRule="exact"/>
              <w:rPr>
                <w:sz w:val="20"/>
                <w:szCs w:val="20"/>
                <w:color w:val="auto"/>
              </w:rPr>
            </w:pPr>
            <w:r>
              <w:rPr>
                <w:rFonts w:ascii="Arial" w:cs="Arial" w:eastAsia="Arial" w:hAnsi="Arial"/>
                <w:sz w:val="15"/>
                <w:szCs w:val="15"/>
                <w:color w:val="auto"/>
              </w:rPr>
              <w:t>Loans, net of deferred fees</w:t>
            </w: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873,002</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888,975</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895,202</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896,670</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898,520</w:t>
            </w:r>
          </w:p>
        </w:tc>
        <w:tc>
          <w:tcPr>
            <w:tcW w:w="0" w:type="dxa"/>
            <w:vAlign w:val="bottom"/>
          </w:tcPr>
          <w:p>
            <w:pPr>
              <w:spacing w:after="0"/>
              <w:rPr>
                <w:sz w:val="1"/>
                <w:szCs w:val="1"/>
                <w:color w:val="auto"/>
              </w:rPr>
            </w:pPr>
          </w:p>
        </w:tc>
      </w:tr>
      <w:tr>
        <w:trPr>
          <w:trHeight w:val="162"/>
        </w:trPr>
        <w:tc>
          <w:tcPr>
            <w:tcW w:w="5080" w:type="dxa"/>
            <w:vAlign w:val="bottom"/>
            <w:tcBorders>
              <w:bottom w:val="single" w:sz="8" w:color="auto"/>
            </w:tcBorders>
          </w:tcPr>
          <w:p>
            <w:pPr>
              <w:ind w:left="60"/>
              <w:spacing w:after="0" w:line="162" w:lineRule="exact"/>
              <w:rPr>
                <w:sz w:val="20"/>
                <w:szCs w:val="20"/>
                <w:color w:val="auto"/>
              </w:rPr>
            </w:pPr>
            <w:r>
              <w:rPr>
                <w:rFonts w:ascii="Arial" w:cs="Arial" w:eastAsia="Arial" w:hAnsi="Arial"/>
                <w:sz w:val="15"/>
                <w:szCs w:val="15"/>
                <w:color w:val="auto"/>
              </w:rPr>
              <w:t>Less: Allowance for credit losses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4"/>
              <w:spacing w:after="0" w:line="162" w:lineRule="exact"/>
              <w:rPr>
                <w:sz w:val="20"/>
                <w:szCs w:val="20"/>
                <w:color w:val="auto"/>
              </w:rPr>
            </w:pPr>
            <w:r>
              <w:rPr>
                <w:rFonts w:ascii="Arial" w:cs="Arial" w:eastAsia="Arial" w:hAnsi="Arial"/>
                <w:sz w:val="15"/>
                <w:szCs w:val="15"/>
                <w:color w:val="auto"/>
              </w:rPr>
              <w:t>22,737</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26,920</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28,966</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29,436</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18,654</w:t>
            </w:r>
          </w:p>
        </w:tc>
        <w:tc>
          <w:tcPr>
            <w:tcW w:w="0" w:type="dxa"/>
            <w:vAlign w:val="bottom"/>
          </w:tcPr>
          <w:p>
            <w:pPr>
              <w:spacing w:after="0"/>
              <w:rPr>
                <w:sz w:val="1"/>
                <w:szCs w:val="1"/>
                <w:color w:val="auto"/>
              </w:rPr>
            </w:pPr>
          </w:p>
        </w:tc>
      </w:tr>
      <w:tr>
        <w:trPr>
          <w:trHeight w:val="156"/>
        </w:trPr>
        <w:tc>
          <w:tcPr>
            <w:tcW w:w="5080" w:type="dxa"/>
            <w:vAlign w:val="bottom"/>
            <w:tcBorders>
              <w:bottom w:val="single" w:sz="8" w:color="auto"/>
            </w:tcBorders>
            <w:shd w:val="clear" w:color="auto" w:fill="CFF0FC"/>
          </w:tcPr>
          <w:p>
            <w:pPr>
              <w:ind w:left="100"/>
              <w:spacing w:after="0" w:line="156" w:lineRule="exact"/>
              <w:rPr>
                <w:sz w:val="20"/>
                <w:szCs w:val="20"/>
                <w:color w:val="auto"/>
              </w:rPr>
            </w:pPr>
            <w:r>
              <w:rPr>
                <w:rFonts w:ascii="Arial" w:cs="Arial" w:eastAsia="Arial" w:hAnsi="Arial"/>
                <w:sz w:val="15"/>
                <w:szCs w:val="15"/>
                <w:color w:val="auto"/>
              </w:rPr>
              <w:t>Loans receivable, net</w:t>
            </w:r>
          </w:p>
        </w:tc>
        <w:tc>
          <w:tcPr>
            <w:tcW w:w="2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Arial" w:cs="Arial" w:eastAsia="Arial" w:hAnsi="Arial"/>
                <w:sz w:val="15"/>
                <w:szCs w:val="15"/>
                <w:color w:val="auto"/>
              </w:rPr>
              <w:t>850,265</w:t>
            </w:r>
          </w:p>
        </w:tc>
        <w:tc>
          <w:tcPr>
            <w:tcW w:w="1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862,055</w:t>
            </w:r>
          </w:p>
        </w:tc>
        <w:tc>
          <w:tcPr>
            <w:tcW w:w="1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866,236</w:t>
            </w:r>
          </w:p>
        </w:tc>
        <w:tc>
          <w:tcPr>
            <w:tcW w:w="1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867,234</w:t>
            </w:r>
          </w:p>
        </w:tc>
        <w:tc>
          <w:tcPr>
            <w:tcW w:w="1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879,866</w:t>
            </w:r>
          </w:p>
        </w:tc>
        <w:tc>
          <w:tcPr>
            <w:tcW w:w="0" w:type="dxa"/>
            <w:vAlign w:val="bottom"/>
          </w:tcPr>
          <w:p>
            <w:pPr>
              <w:spacing w:after="0"/>
              <w:rPr>
                <w:sz w:val="1"/>
                <w:szCs w:val="1"/>
                <w:color w:val="auto"/>
              </w:rPr>
            </w:pPr>
          </w:p>
        </w:tc>
      </w:tr>
      <w:tr>
        <w:trPr>
          <w:trHeight w:val="156"/>
        </w:trPr>
        <w:tc>
          <w:tcPr>
            <w:tcW w:w="5280" w:type="dxa"/>
            <w:vAlign w:val="bottom"/>
            <w:gridSpan w:val="2"/>
          </w:tcPr>
          <w:p>
            <w:pPr>
              <w:ind w:left="60"/>
              <w:spacing w:after="0" w:line="156" w:lineRule="exact"/>
              <w:rPr>
                <w:sz w:val="20"/>
                <w:szCs w:val="20"/>
                <w:color w:val="auto"/>
              </w:rPr>
            </w:pPr>
            <w:r>
              <w:rPr>
                <w:rFonts w:ascii="Arial" w:cs="Arial" w:eastAsia="Arial" w:hAnsi="Arial"/>
                <w:sz w:val="15"/>
                <w:szCs w:val="15"/>
                <w:color w:val="auto"/>
              </w:rPr>
              <w:t>Premises and equipment, net</w:t>
            </w:r>
          </w:p>
        </w:tc>
        <w:tc>
          <w:tcPr>
            <w:tcW w:w="100" w:type="dxa"/>
            <w:vAlign w:val="bottom"/>
          </w:tcPr>
          <w:p>
            <w:pPr>
              <w:spacing w:after="0"/>
              <w:rPr>
                <w:sz w:val="13"/>
                <w:szCs w:val="13"/>
                <w:color w:val="auto"/>
              </w:rPr>
            </w:pPr>
          </w:p>
        </w:tc>
        <w:tc>
          <w:tcPr>
            <w:tcW w:w="980" w:type="dxa"/>
            <w:vAlign w:val="bottom"/>
          </w:tcPr>
          <w:p>
            <w:pPr>
              <w:jc w:val="right"/>
              <w:ind w:right="64"/>
              <w:spacing w:after="0" w:line="156" w:lineRule="exact"/>
              <w:rPr>
                <w:sz w:val="20"/>
                <w:szCs w:val="20"/>
                <w:color w:val="auto"/>
              </w:rPr>
            </w:pPr>
            <w:r>
              <w:rPr>
                <w:rFonts w:ascii="Arial" w:cs="Arial" w:eastAsia="Arial" w:hAnsi="Arial"/>
                <w:sz w:val="15"/>
                <w:szCs w:val="15"/>
                <w:color w:val="auto"/>
              </w:rPr>
              <w:t>17,540</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44"/>
              <w:spacing w:after="0" w:line="156" w:lineRule="exact"/>
              <w:rPr>
                <w:sz w:val="20"/>
                <w:szCs w:val="20"/>
                <w:color w:val="auto"/>
              </w:rPr>
            </w:pPr>
            <w:r>
              <w:rPr>
                <w:rFonts w:ascii="Arial" w:cs="Arial" w:eastAsia="Arial" w:hAnsi="Arial"/>
                <w:sz w:val="15"/>
                <w:szCs w:val="15"/>
                <w:color w:val="auto"/>
              </w:rPr>
              <w:t>17,669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44"/>
              <w:spacing w:after="0" w:line="156" w:lineRule="exact"/>
              <w:rPr>
                <w:sz w:val="20"/>
                <w:szCs w:val="20"/>
                <w:color w:val="auto"/>
              </w:rPr>
            </w:pPr>
            <w:r>
              <w:rPr>
                <w:rFonts w:ascii="Arial" w:cs="Arial" w:eastAsia="Arial" w:hAnsi="Arial"/>
                <w:sz w:val="15"/>
                <w:szCs w:val="15"/>
                <w:color w:val="auto"/>
              </w:rPr>
              <w:t>17,882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44"/>
              <w:spacing w:after="0" w:line="156" w:lineRule="exact"/>
              <w:rPr>
                <w:sz w:val="20"/>
                <w:szCs w:val="20"/>
                <w:color w:val="auto"/>
              </w:rPr>
            </w:pPr>
            <w:r>
              <w:rPr>
                <w:rFonts w:ascii="Arial" w:cs="Arial" w:eastAsia="Arial" w:hAnsi="Arial"/>
                <w:sz w:val="15"/>
                <w:szCs w:val="15"/>
                <w:color w:val="auto"/>
              </w:rPr>
              <w:t>18,008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44"/>
              <w:spacing w:after="0" w:line="156" w:lineRule="exact"/>
              <w:rPr>
                <w:sz w:val="20"/>
                <w:szCs w:val="20"/>
                <w:color w:val="auto"/>
              </w:rPr>
            </w:pPr>
            <w:r>
              <w:rPr>
                <w:rFonts w:ascii="Arial" w:cs="Arial" w:eastAsia="Arial" w:hAnsi="Arial"/>
                <w:sz w:val="15"/>
                <w:szCs w:val="15"/>
                <w:color w:val="auto"/>
              </w:rPr>
              <w:t>18,760</w:t>
            </w:r>
          </w:p>
        </w:tc>
        <w:tc>
          <w:tcPr>
            <w:tcW w:w="0" w:type="dxa"/>
            <w:vAlign w:val="bottom"/>
          </w:tcPr>
          <w:p>
            <w:pPr>
              <w:spacing w:after="0"/>
              <w:rPr>
                <w:sz w:val="1"/>
                <w:szCs w:val="1"/>
                <w:color w:val="auto"/>
              </w:rPr>
            </w:pPr>
          </w:p>
        </w:tc>
      </w:tr>
      <w:tr>
        <w:trPr>
          <w:trHeight w:val="162"/>
        </w:trPr>
        <w:tc>
          <w:tcPr>
            <w:tcW w:w="5280" w:type="dxa"/>
            <w:vAlign w:val="bottom"/>
            <w:gridSpan w:val="2"/>
            <w:shd w:val="clear" w:color="auto" w:fill="CFF0FC"/>
          </w:tcPr>
          <w:p>
            <w:pPr>
              <w:ind w:left="60"/>
              <w:spacing w:after="0" w:line="162" w:lineRule="exact"/>
              <w:rPr>
                <w:sz w:val="20"/>
                <w:szCs w:val="20"/>
                <w:color w:val="auto"/>
              </w:rPr>
            </w:pPr>
            <w:r>
              <w:rPr>
                <w:rFonts w:ascii="Arial" w:cs="Arial" w:eastAsia="Arial" w:hAnsi="Arial"/>
                <w:sz w:val="15"/>
                <w:szCs w:val="15"/>
                <w:color w:val="auto"/>
              </w:rPr>
              <w:t>Operating lease right-of-use assets</w:t>
            </w: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1,019</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1,046</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1,072</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1,098</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1,124</w:t>
            </w:r>
          </w:p>
        </w:tc>
        <w:tc>
          <w:tcPr>
            <w:tcW w:w="0" w:type="dxa"/>
            <w:vAlign w:val="bottom"/>
          </w:tcPr>
          <w:p>
            <w:pPr>
              <w:spacing w:after="0"/>
              <w:rPr>
                <w:sz w:val="1"/>
                <w:szCs w:val="1"/>
                <w:color w:val="auto"/>
              </w:rPr>
            </w:pPr>
          </w:p>
        </w:tc>
      </w:tr>
      <w:tr>
        <w:trPr>
          <w:trHeight w:val="162"/>
        </w:trPr>
        <w:tc>
          <w:tcPr>
            <w:tcW w:w="528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Finance lease right-of-use assets</w:t>
            </w:r>
          </w:p>
        </w:tc>
        <w:tc>
          <w:tcPr>
            <w:tcW w:w="100" w:type="dxa"/>
            <w:vAlign w:val="bottom"/>
          </w:tcPr>
          <w:p>
            <w:pPr>
              <w:spacing w:after="0"/>
              <w:rPr>
                <w:sz w:val="14"/>
                <w:szCs w:val="14"/>
                <w:color w:val="auto"/>
              </w:rPr>
            </w:pPr>
          </w:p>
        </w:tc>
        <w:tc>
          <w:tcPr>
            <w:tcW w:w="980" w:type="dxa"/>
            <w:vAlign w:val="bottom"/>
          </w:tcPr>
          <w:p>
            <w:pPr>
              <w:jc w:val="right"/>
              <w:ind w:right="64"/>
              <w:spacing w:after="0" w:line="162" w:lineRule="exact"/>
              <w:rPr>
                <w:sz w:val="20"/>
                <w:szCs w:val="20"/>
                <w:color w:val="auto"/>
              </w:rPr>
            </w:pPr>
            <w:r>
              <w:rPr>
                <w:rFonts w:ascii="Arial" w:cs="Arial" w:eastAsia="Arial" w:hAnsi="Arial"/>
                <w:sz w:val="15"/>
                <w:szCs w:val="15"/>
                <w:color w:val="auto"/>
              </w:rPr>
              <w:t>15,291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15,489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15,687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15,885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16,082</w:t>
            </w:r>
          </w:p>
        </w:tc>
        <w:tc>
          <w:tcPr>
            <w:tcW w:w="0" w:type="dxa"/>
            <w:vAlign w:val="bottom"/>
          </w:tcPr>
          <w:p>
            <w:pPr>
              <w:spacing w:after="0"/>
              <w:rPr>
                <w:sz w:val="1"/>
                <w:szCs w:val="1"/>
                <w:color w:val="auto"/>
              </w:rPr>
            </w:pPr>
          </w:p>
        </w:tc>
      </w:tr>
      <w:tr>
        <w:trPr>
          <w:trHeight w:val="162"/>
        </w:trPr>
        <w:tc>
          <w:tcPr>
            <w:tcW w:w="5280" w:type="dxa"/>
            <w:vAlign w:val="bottom"/>
            <w:gridSpan w:val="2"/>
            <w:shd w:val="clear" w:color="auto" w:fill="CFF0FC"/>
          </w:tcPr>
          <w:p>
            <w:pPr>
              <w:ind w:left="60"/>
              <w:spacing w:after="0" w:line="162" w:lineRule="exact"/>
              <w:rPr>
                <w:sz w:val="20"/>
                <w:szCs w:val="20"/>
                <w:color w:val="auto"/>
              </w:rPr>
            </w:pPr>
            <w:r>
              <w:rPr>
                <w:rFonts w:ascii="Arial" w:cs="Arial" w:eastAsia="Arial" w:hAnsi="Arial"/>
                <w:sz w:val="15"/>
                <w:szCs w:val="15"/>
                <w:color w:val="auto"/>
              </w:rPr>
              <w:t>Accrued interest receivable</w:t>
            </w: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6,231</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6,511</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5,832</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6,328</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6,498</w:t>
            </w:r>
          </w:p>
        </w:tc>
        <w:tc>
          <w:tcPr>
            <w:tcW w:w="0" w:type="dxa"/>
            <w:vAlign w:val="bottom"/>
          </w:tcPr>
          <w:p>
            <w:pPr>
              <w:spacing w:after="0"/>
              <w:rPr>
                <w:sz w:val="1"/>
                <w:szCs w:val="1"/>
                <w:color w:val="auto"/>
              </w:rPr>
            </w:pPr>
          </w:p>
        </w:tc>
      </w:tr>
      <w:tr>
        <w:trPr>
          <w:trHeight w:val="162"/>
        </w:trPr>
        <w:tc>
          <w:tcPr>
            <w:tcW w:w="528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Foreclosed real estate</w:t>
            </w:r>
          </w:p>
        </w:tc>
        <w:tc>
          <w:tcPr>
            <w:tcW w:w="100" w:type="dxa"/>
            <w:vAlign w:val="bottom"/>
          </w:tcPr>
          <w:p>
            <w:pPr>
              <w:spacing w:after="0"/>
              <w:rPr>
                <w:sz w:val="14"/>
                <w:szCs w:val="14"/>
                <w:color w:val="auto"/>
              </w:rPr>
            </w:pPr>
          </w:p>
        </w:tc>
        <w:tc>
          <w:tcPr>
            <w:tcW w:w="980" w:type="dxa"/>
            <w:vAlign w:val="bottom"/>
          </w:tcPr>
          <w:p>
            <w:pPr>
              <w:jc w:val="right"/>
              <w:ind w:right="64"/>
              <w:spacing w:after="0" w:line="162" w:lineRule="exact"/>
              <w:rPr>
                <w:sz w:val="20"/>
                <w:szCs w:val="20"/>
                <w:color w:val="auto"/>
              </w:rPr>
            </w:pPr>
            <w:r>
              <w:rPr>
                <w:rFonts w:ascii="Arial" w:cs="Arial" w:eastAsia="Arial" w:hAnsi="Arial"/>
                <w:sz w:val="15"/>
                <w:szCs w:val="15"/>
                <w:color w:val="auto"/>
              </w:rPr>
              <w:t>83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137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137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137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162"/>
        </w:trPr>
        <w:tc>
          <w:tcPr>
            <w:tcW w:w="5280" w:type="dxa"/>
            <w:vAlign w:val="bottom"/>
            <w:gridSpan w:val="2"/>
            <w:shd w:val="clear" w:color="auto" w:fill="CFF0FC"/>
          </w:tcPr>
          <w:p>
            <w:pPr>
              <w:ind w:left="60"/>
              <w:spacing w:after="0" w:line="162" w:lineRule="exact"/>
              <w:rPr>
                <w:sz w:val="20"/>
                <w:szCs w:val="20"/>
                <w:color w:val="auto"/>
              </w:rPr>
            </w:pPr>
            <w:r>
              <w:rPr>
                <w:rFonts w:ascii="Arial" w:cs="Arial" w:eastAsia="Arial" w:hAnsi="Arial"/>
                <w:sz w:val="15"/>
                <w:szCs w:val="15"/>
                <w:color w:val="auto"/>
              </w:rPr>
              <w:t>Intangible assets, net</w:t>
            </w: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4,891</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5,048</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5,205</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5,362</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5,518</w:t>
            </w:r>
          </w:p>
        </w:tc>
        <w:tc>
          <w:tcPr>
            <w:tcW w:w="0" w:type="dxa"/>
            <w:vAlign w:val="bottom"/>
          </w:tcPr>
          <w:p>
            <w:pPr>
              <w:spacing w:after="0"/>
              <w:rPr>
                <w:sz w:val="1"/>
                <w:szCs w:val="1"/>
                <w:color w:val="auto"/>
              </w:rPr>
            </w:pPr>
          </w:p>
        </w:tc>
      </w:tr>
      <w:tr>
        <w:trPr>
          <w:trHeight w:val="162"/>
        </w:trPr>
        <w:tc>
          <w:tcPr>
            <w:tcW w:w="528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Goodwill</w:t>
            </w:r>
          </w:p>
        </w:tc>
        <w:tc>
          <w:tcPr>
            <w:tcW w:w="100" w:type="dxa"/>
            <w:vAlign w:val="bottom"/>
          </w:tcPr>
          <w:p>
            <w:pPr>
              <w:spacing w:after="0"/>
              <w:rPr>
                <w:sz w:val="14"/>
                <w:szCs w:val="14"/>
                <w:color w:val="auto"/>
              </w:rPr>
            </w:pPr>
          </w:p>
        </w:tc>
        <w:tc>
          <w:tcPr>
            <w:tcW w:w="980" w:type="dxa"/>
            <w:vAlign w:val="bottom"/>
          </w:tcPr>
          <w:p>
            <w:pPr>
              <w:jc w:val="right"/>
              <w:ind w:right="64"/>
              <w:spacing w:after="0" w:line="162" w:lineRule="exact"/>
              <w:rPr>
                <w:sz w:val="20"/>
                <w:szCs w:val="20"/>
                <w:color w:val="auto"/>
              </w:rPr>
            </w:pPr>
            <w:r>
              <w:rPr>
                <w:rFonts w:ascii="Arial" w:cs="Arial" w:eastAsia="Arial" w:hAnsi="Arial"/>
                <w:sz w:val="15"/>
                <w:szCs w:val="15"/>
                <w:color w:val="auto"/>
              </w:rPr>
              <w:t>5,056</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5,056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5,056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5,056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44"/>
              <w:spacing w:after="0" w:line="162" w:lineRule="exact"/>
              <w:rPr>
                <w:sz w:val="20"/>
                <w:szCs w:val="20"/>
                <w:color w:val="auto"/>
              </w:rPr>
            </w:pPr>
            <w:r>
              <w:rPr>
                <w:rFonts w:ascii="Arial" w:cs="Arial" w:eastAsia="Arial" w:hAnsi="Arial"/>
                <w:sz w:val="15"/>
                <w:szCs w:val="15"/>
                <w:color w:val="auto"/>
              </w:rPr>
              <w:t>5,056</w:t>
            </w:r>
          </w:p>
        </w:tc>
        <w:tc>
          <w:tcPr>
            <w:tcW w:w="0" w:type="dxa"/>
            <w:vAlign w:val="bottom"/>
          </w:tcPr>
          <w:p>
            <w:pPr>
              <w:spacing w:after="0"/>
              <w:rPr>
                <w:sz w:val="1"/>
                <w:szCs w:val="1"/>
                <w:color w:val="auto"/>
              </w:rPr>
            </w:pPr>
          </w:p>
        </w:tc>
      </w:tr>
      <w:tr>
        <w:trPr>
          <w:trHeight w:val="162"/>
        </w:trPr>
        <w:tc>
          <w:tcPr>
            <w:tcW w:w="5280" w:type="dxa"/>
            <w:vAlign w:val="bottom"/>
            <w:gridSpan w:val="2"/>
            <w:shd w:val="clear" w:color="auto" w:fill="CFF0FC"/>
          </w:tcPr>
          <w:p>
            <w:pPr>
              <w:ind w:left="60"/>
              <w:spacing w:after="0" w:line="162" w:lineRule="exact"/>
              <w:rPr>
                <w:sz w:val="20"/>
                <w:szCs w:val="20"/>
                <w:color w:val="auto"/>
              </w:rPr>
            </w:pPr>
            <w:r>
              <w:rPr>
                <w:rFonts w:ascii="Arial" w:cs="Arial" w:eastAsia="Arial" w:hAnsi="Arial"/>
                <w:sz w:val="15"/>
                <w:szCs w:val="15"/>
                <w:color w:val="auto"/>
              </w:rPr>
              <w:t>Bank owned life insurance</w:t>
            </w: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31,952</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31,671</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31,631</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31,374</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31,145</w:t>
            </w:r>
          </w:p>
        </w:tc>
        <w:tc>
          <w:tcPr>
            <w:tcW w:w="0" w:type="dxa"/>
            <w:vAlign w:val="bottom"/>
          </w:tcPr>
          <w:p>
            <w:pPr>
              <w:spacing w:after="0"/>
              <w:rPr>
                <w:sz w:val="1"/>
                <w:szCs w:val="1"/>
                <w:color w:val="auto"/>
              </w:rPr>
            </w:pPr>
          </w:p>
        </w:tc>
      </w:tr>
      <w:tr>
        <w:trPr>
          <w:trHeight w:val="162"/>
        </w:trPr>
        <w:tc>
          <w:tcPr>
            <w:tcW w:w="5080" w:type="dxa"/>
            <w:vAlign w:val="bottom"/>
            <w:tcBorders>
              <w:bottom w:val="single" w:sz="8" w:color="auto"/>
            </w:tcBorders>
          </w:tcPr>
          <w:p>
            <w:pPr>
              <w:ind w:left="60"/>
              <w:spacing w:after="0" w:line="162" w:lineRule="exact"/>
              <w:rPr>
                <w:sz w:val="20"/>
                <w:szCs w:val="20"/>
                <w:color w:val="auto"/>
              </w:rPr>
            </w:pPr>
            <w:r>
              <w:rPr>
                <w:rFonts w:ascii="Arial" w:cs="Arial" w:eastAsia="Arial" w:hAnsi="Arial"/>
                <w:sz w:val="15"/>
                <w:szCs w:val="15"/>
                <w:color w:val="auto"/>
              </w:rPr>
              <w:t>Other assets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4"/>
              <w:spacing w:after="0" w:line="162" w:lineRule="exact"/>
              <w:rPr>
                <w:sz w:val="20"/>
                <w:szCs w:val="20"/>
                <w:color w:val="auto"/>
              </w:rPr>
            </w:pPr>
            <w:r>
              <w:rPr>
                <w:rFonts w:ascii="Arial" w:cs="Arial" w:eastAsia="Arial" w:hAnsi="Arial"/>
                <w:sz w:val="15"/>
                <w:szCs w:val="15"/>
                <w:color w:val="auto"/>
              </w:rPr>
              <w:t>32,494</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25,405</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24,606</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23,351</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21,675</w:t>
            </w:r>
          </w:p>
        </w:tc>
        <w:tc>
          <w:tcPr>
            <w:tcW w:w="0" w:type="dxa"/>
            <w:vAlign w:val="bottom"/>
          </w:tcPr>
          <w:p>
            <w:pPr>
              <w:spacing w:after="0"/>
              <w:rPr>
                <w:sz w:val="1"/>
                <w:szCs w:val="1"/>
                <w:color w:val="auto"/>
              </w:rPr>
            </w:pPr>
          </w:p>
        </w:tc>
      </w:tr>
      <w:tr>
        <w:trPr>
          <w:trHeight w:val="195"/>
        </w:trPr>
        <w:tc>
          <w:tcPr>
            <w:tcW w:w="5280" w:type="dxa"/>
            <w:vAlign w:val="bottom"/>
            <w:gridSpan w:val="2"/>
            <w:shd w:val="clear" w:color="auto" w:fill="CFF0FC"/>
          </w:tcPr>
          <w:p>
            <w:pPr>
              <w:spacing w:after="0" w:line="156" w:lineRule="exact"/>
              <w:rPr>
                <w:sz w:val="20"/>
                <w:szCs w:val="20"/>
                <w:color w:val="auto"/>
              </w:rPr>
            </w:pPr>
            <w:r>
              <w:rPr>
                <w:rFonts w:ascii="Arial" w:cs="Arial" w:eastAsia="Arial" w:hAnsi="Arial"/>
                <w:sz w:val="15"/>
                <w:szCs w:val="15"/>
                <w:color w:val="auto"/>
              </w:rPr>
              <w:t>Total assets</w:t>
            </w:r>
          </w:p>
        </w:tc>
        <w:tc>
          <w:tcPr>
            <w:tcW w:w="10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64"/>
              <w:spacing w:after="0" w:line="156" w:lineRule="exact"/>
              <w:rPr>
                <w:sz w:val="20"/>
                <w:szCs w:val="20"/>
                <w:color w:val="auto"/>
              </w:rPr>
            </w:pPr>
            <w:r>
              <w:rPr>
                <w:rFonts w:ascii="Arial" w:cs="Arial" w:eastAsia="Arial" w:hAnsi="Arial"/>
                <w:sz w:val="15"/>
                <w:szCs w:val="15"/>
                <w:color w:val="auto"/>
              </w:rPr>
              <w:t>1,491,609</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4"/>
              <w:spacing w:after="0" w:line="156" w:lineRule="exact"/>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1,492,503</w:t>
            </w:r>
          </w:p>
        </w:tc>
        <w:tc>
          <w:tcPr>
            <w:tcW w:w="320" w:type="dxa"/>
            <w:vAlign w:val="bottom"/>
            <w:gridSpan w:val="2"/>
            <w:shd w:val="clear" w:color="auto" w:fill="CFF0FC"/>
          </w:tcPr>
          <w:p>
            <w:pPr>
              <w:jc w:val="right"/>
              <w:ind w:right="60"/>
              <w:spacing w:after="0" w:line="156" w:lineRule="exact"/>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1,421,982</w:t>
            </w:r>
          </w:p>
        </w:tc>
        <w:tc>
          <w:tcPr>
            <w:tcW w:w="300" w:type="dxa"/>
            <w:vAlign w:val="bottom"/>
            <w:gridSpan w:val="2"/>
            <w:shd w:val="clear" w:color="auto" w:fill="CFF0FC"/>
          </w:tcPr>
          <w:p>
            <w:pPr>
              <w:jc w:val="right"/>
              <w:ind w:right="20"/>
              <w:spacing w:after="0" w:line="156" w:lineRule="exact"/>
              <w:rPr>
                <w:sz w:val="20"/>
                <w:szCs w:val="20"/>
                <w:color w:val="auto"/>
              </w:rPr>
            </w:pPr>
            <w:r>
              <w:rPr>
                <w:rFonts w:ascii="Arial" w:cs="Arial" w:eastAsia="Arial" w:hAnsi="Arial"/>
                <w:sz w:val="15"/>
                <w:szCs w:val="15"/>
                <w:color w:val="auto"/>
              </w:rPr>
              <w:t>$</w:t>
            </w:r>
          </w:p>
        </w:tc>
        <w:tc>
          <w:tcPr>
            <w:tcW w:w="920" w:type="dxa"/>
            <w:vAlign w:val="bottom"/>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1,426,636</w:t>
            </w:r>
          </w:p>
        </w:tc>
        <w:tc>
          <w:tcPr>
            <w:tcW w:w="26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1,472,268</w:t>
            </w:r>
          </w:p>
        </w:tc>
        <w:tc>
          <w:tcPr>
            <w:tcW w:w="0" w:type="dxa"/>
            <w:vAlign w:val="bottom"/>
          </w:tcPr>
          <w:p>
            <w:pPr>
              <w:spacing w:after="0"/>
              <w:rPr>
                <w:sz w:val="1"/>
                <w:szCs w:val="1"/>
                <w:color w:val="auto"/>
              </w:rPr>
            </w:pPr>
          </w:p>
        </w:tc>
      </w:tr>
      <w:tr>
        <w:trPr>
          <w:trHeight w:val="143"/>
        </w:trPr>
        <w:tc>
          <w:tcPr>
            <w:tcW w:w="508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80" w:type="dxa"/>
            <w:vAlign w:val="bottom"/>
            <w:gridSpan w:val="2"/>
            <w:shd w:val="clear" w:color="auto" w:fill="CFF0FC"/>
          </w:tcPr>
          <w:p>
            <w:pPr>
              <w:spacing w:after="0" w:line="162" w:lineRule="exact"/>
              <w:rPr>
                <w:sz w:val="20"/>
                <w:szCs w:val="20"/>
                <w:color w:val="auto"/>
              </w:rPr>
            </w:pPr>
            <w:r>
              <w:rPr>
                <w:rFonts w:ascii="Arial" w:cs="Arial" w:eastAsia="Arial" w:hAnsi="Arial"/>
                <w:sz w:val="15"/>
                <w:szCs w:val="15"/>
                <w:b w:val="1"/>
                <w:bCs w:val="1"/>
                <w:color w:val="auto"/>
              </w:rPr>
              <w:t>LIABILITIES AND SHAREHOLDERS' EQUITY:</w:t>
            </w: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Deposits:</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gridSpan w:val="2"/>
            <w:shd w:val="clear" w:color="auto" w:fill="CFF0FC"/>
          </w:tcPr>
          <w:p>
            <w:pPr>
              <w:ind w:left="100"/>
              <w:spacing w:after="0" w:line="162" w:lineRule="exact"/>
              <w:rPr>
                <w:sz w:val="20"/>
                <w:szCs w:val="20"/>
                <w:color w:val="auto"/>
              </w:rPr>
            </w:pPr>
            <w:r>
              <w:rPr>
                <w:rFonts w:ascii="Arial" w:cs="Arial" w:eastAsia="Arial" w:hAnsi="Arial"/>
                <w:sz w:val="15"/>
                <w:szCs w:val="15"/>
                <w:color w:val="auto"/>
              </w:rPr>
              <w:t>Interest-bearing deposits</w:t>
            </w:r>
          </w:p>
        </w:tc>
        <w:tc>
          <w:tcPr>
            <w:tcW w:w="10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883,481</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879,727</w:t>
            </w:r>
          </w:p>
        </w:tc>
        <w:tc>
          <w:tcPr>
            <w:tcW w:w="320" w:type="dxa"/>
            <w:vAlign w:val="bottom"/>
            <w:gridSpan w:val="2"/>
            <w:shd w:val="clear" w:color="auto" w:fill="CFF0FC"/>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917,967</w:t>
            </w:r>
          </w:p>
        </w:tc>
        <w:tc>
          <w:tcPr>
            <w:tcW w:w="300" w:type="dxa"/>
            <w:vAlign w:val="bottom"/>
            <w:gridSpan w:val="2"/>
            <w:shd w:val="clear" w:color="auto" w:fill="CFF0FC"/>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2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885,558</w:t>
            </w:r>
          </w:p>
        </w:tc>
        <w:tc>
          <w:tcPr>
            <w:tcW w:w="26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906,844</w:t>
            </w:r>
          </w:p>
        </w:tc>
        <w:tc>
          <w:tcPr>
            <w:tcW w:w="0" w:type="dxa"/>
            <w:vAlign w:val="bottom"/>
          </w:tcPr>
          <w:p>
            <w:pPr>
              <w:spacing w:after="0"/>
              <w:rPr>
                <w:sz w:val="1"/>
                <w:szCs w:val="1"/>
                <w:color w:val="auto"/>
              </w:rPr>
            </w:pPr>
          </w:p>
        </w:tc>
      </w:tr>
      <w:tr>
        <w:trPr>
          <w:trHeight w:val="162"/>
        </w:trPr>
        <w:tc>
          <w:tcPr>
            <w:tcW w:w="528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Noninterest-bearing deposits</w:t>
            </w:r>
          </w:p>
        </w:tc>
        <w:tc>
          <w:tcPr>
            <w:tcW w:w="100" w:type="dxa"/>
            <w:vAlign w:val="bottom"/>
          </w:tcPr>
          <w:p>
            <w:pPr>
              <w:spacing w:after="0"/>
              <w:rPr>
                <w:sz w:val="14"/>
                <w:szCs w:val="14"/>
                <w:color w:val="auto"/>
              </w:rPr>
            </w:pPr>
          </w:p>
        </w:tc>
        <w:tc>
          <w:tcPr>
            <w:tcW w:w="980" w:type="dxa"/>
            <w:vAlign w:val="bottom"/>
          </w:tcPr>
          <w:p>
            <w:pPr>
              <w:jc w:val="right"/>
              <w:ind w:right="64"/>
              <w:spacing w:after="0" w:line="162" w:lineRule="exact"/>
              <w:rPr>
                <w:sz w:val="20"/>
                <w:szCs w:val="20"/>
                <w:color w:val="auto"/>
              </w:rPr>
            </w:pPr>
            <w:r>
              <w:rPr>
                <w:rFonts w:ascii="Arial" w:cs="Arial" w:eastAsia="Arial" w:hAnsi="Arial"/>
                <w:sz w:val="15"/>
                <w:szCs w:val="15"/>
                <w:color w:val="auto"/>
              </w:rPr>
              <w:t>203,694</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213,563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206,635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196,377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196,299</w:t>
            </w:r>
          </w:p>
        </w:tc>
        <w:tc>
          <w:tcPr>
            <w:tcW w:w="0" w:type="dxa"/>
            <w:vAlign w:val="bottom"/>
          </w:tcPr>
          <w:p>
            <w:pPr>
              <w:spacing w:after="0"/>
              <w:rPr>
                <w:sz w:val="1"/>
                <w:szCs w:val="1"/>
                <w:color w:val="auto"/>
              </w:rPr>
            </w:pPr>
          </w:p>
        </w:tc>
      </w:tr>
      <w:tr>
        <w:trPr>
          <w:trHeight w:val="162"/>
        </w:trPr>
        <w:tc>
          <w:tcPr>
            <w:tcW w:w="5080" w:type="dxa"/>
            <w:vAlign w:val="bottom"/>
            <w:tcBorders>
              <w:bottom w:val="single" w:sz="8" w:color="auto"/>
            </w:tcBorders>
            <w:shd w:val="clear" w:color="auto" w:fill="CFF0FC"/>
          </w:tcPr>
          <w:p>
            <w:pPr>
              <w:ind w:left="100"/>
              <w:spacing w:after="0" w:line="162" w:lineRule="exact"/>
              <w:rPr>
                <w:sz w:val="20"/>
                <w:szCs w:val="20"/>
                <w:color w:val="auto"/>
              </w:rPr>
            </w:pPr>
            <w:r>
              <w:rPr>
                <w:rFonts w:ascii="Arial" w:cs="Arial" w:eastAsia="Arial" w:hAnsi="Arial"/>
                <w:sz w:val="15"/>
                <w:szCs w:val="15"/>
                <w:color w:val="auto"/>
              </w:rPr>
              <w:t>Brokered deposits</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71,336</w:t>
            </w:r>
          </w:p>
        </w:tc>
        <w:tc>
          <w:tcPr>
            <w:tcW w:w="1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80,979</w:t>
            </w:r>
          </w:p>
        </w:tc>
        <w:tc>
          <w:tcPr>
            <w:tcW w:w="1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87,125</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101,913</w:t>
            </w:r>
          </w:p>
        </w:tc>
        <w:tc>
          <w:tcPr>
            <w:tcW w:w="1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121,938</w:t>
            </w:r>
          </w:p>
        </w:tc>
        <w:tc>
          <w:tcPr>
            <w:tcW w:w="0" w:type="dxa"/>
            <w:vAlign w:val="bottom"/>
          </w:tcPr>
          <w:p>
            <w:pPr>
              <w:spacing w:after="0"/>
              <w:rPr>
                <w:sz w:val="1"/>
                <w:szCs w:val="1"/>
                <w:color w:val="auto"/>
              </w:rPr>
            </w:pPr>
          </w:p>
        </w:tc>
      </w:tr>
      <w:tr>
        <w:trPr>
          <w:trHeight w:val="156"/>
        </w:trPr>
        <w:tc>
          <w:tcPr>
            <w:tcW w:w="508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5"/>
                <w:szCs w:val="15"/>
                <w:color w:val="auto"/>
              </w:rPr>
              <w:t>Total deposits</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rPr>
              <w:t>1,158,511</w:t>
            </w: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1,174,269</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1,211,727</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1,183,848</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1,225,081</w:t>
            </w:r>
          </w:p>
        </w:tc>
        <w:tc>
          <w:tcPr>
            <w:tcW w:w="0" w:type="dxa"/>
            <w:vAlign w:val="bottom"/>
          </w:tcPr>
          <w:p>
            <w:pPr>
              <w:spacing w:after="0"/>
              <w:rPr>
                <w:sz w:val="1"/>
                <w:szCs w:val="1"/>
                <w:color w:val="auto"/>
              </w:rPr>
            </w:pPr>
          </w:p>
        </w:tc>
      </w:tr>
      <w:tr>
        <w:trPr>
          <w:trHeight w:val="155"/>
        </w:trPr>
        <w:tc>
          <w:tcPr>
            <w:tcW w:w="5280" w:type="dxa"/>
            <w:vAlign w:val="bottom"/>
            <w:gridSpan w:val="2"/>
            <w:shd w:val="clear" w:color="auto" w:fill="CFF0FC"/>
          </w:tcPr>
          <w:p>
            <w:pPr>
              <w:ind w:left="60"/>
              <w:spacing w:after="0" w:line="156" w:lineRule="exact"/>
              <w:rPr>
                <w:sz w:val="20"/>
                <w:szCs w:val="20"/>
                <w:color w:val="auto"/>
              </w:rPr>
            </w:pPr>
            <w:r>
              <w:rPr>
                <w:rFonts w:ascii="Arial" w:cs="Arial" w:eastAsia="Arial" w:hAnsi="Arial"/>
                <w:sz w:val="15"/>
                <w:szCs w:val="15"/>
                <w:color w:val="auto"/>
              </w:rPr>
              <w:t>Short-term borrowings</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64"/>
              <w:spacing w:after="0" w:line="156" w:lineRule="exact"/>
              <w:rPr>
                <w:sz w:val="20"/>
                <w:szCs w:val="20"/>
                <w:color w:val="auto"/>
              </w:rPr>
            </w:pPr>
            <w:r>
              <w:rPr>
                <w:rFonts w:ascii="Arial" w:cs="Arial" w:eastAsia="Arial" w:hAnsi="Arial"/>
                <w:sz w:val="15"/>
                <w:szCs w:val="15"/>
                <w:color w:val="auto"/>
              </w:rPr>
              <w:t>150,000</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125,000</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15,000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44,000</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38,000</w:t>
            </w:r>
          </w:p>
        </w:tc>
        <w:tc>
          <w:tcPr>
            <w:tcW w:w="0" w:type="dxa"/>
            <w:vAlign w:val="bottom"/>
          </w:tcPr>
          <w:p>
            <w:pPr>
              <w:spacing w:after="0"/>
              <w:rPr>
                <w:sz w:val="1"/>
                <w:szCs w:val="1"/>
                <w:color w:val="auto"/>
              </w:rPr>
            </w:pPr>
          </w:p>
        </w:tc>
      </w:tr>
      <w:tr>
        <w:trPr>
          <w:trHeight w:val="162"/>
        </w:trPr>
        <w:tc>
          <w:tcPr>
            <w:tcW w:w="528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Long-term borrowings</w:t>
            </w:r>
          </w:p>
        </w:tc>
        <w:tc>
          <w:tcPr>
            <w:tcW w:w="100" w:type="dxa"/>
            <w:vAlign w:val="bottom"/>
          </w:tcPr>
          <w:p>
            <w:pPr>
              <w:spacing w:after="0"/>
              <w:rPr>
                <w:sz w:val="14"/>
                <w:szCs w:val="14"/>
                <w:color w:val="auto"/>
              </w:rPr>
            </w:pPr>
          </w:p>
        </w:tc>
        <w:tc>
          <w:tcPr>
            <w:tcW w:w="980" w:type="dxa"/>
            <w:vAlign w:val="bottom"/>
          </w:tcPr>
          <w:p>
            <w:pPr>
              <w:jc w:val="right"/>
              <w:ind w:right="64"/>
              <w:spacing w:after="0" w:line="162" w:lineRule="exact"/>
              <w:rPr>
                <w:sz w:val="20"/>
                <w:szCs w:val="20"/>
                <w:color w:val="auto"/>
              </w:rPr>
            </w:pPr>
            <w:r>
              <w:rPr>
                <w:rFonts w:ascii="Arial" w:cs="Arial" w:eastAsia="Arial" w:hAnsi="Arial"/>
                <w:sz w:val="15"/>
                <w:szCs w:val="15"/>
                <w:color w:val="auto"/>
              </w:rPr>
              <w:t>5,549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8,374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12,374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14,074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18,702</w:t>
            </w:r>
          </w:p>
        </w:tc>
        <w:tc>
          <w:tcPr>
            <w:tcW w:w="0" w:type="dxa"/>
            <w:vAlign w:val="bottom"/>
          </w:tcPr>
          <w:p>
            <w:pPr>
              <w:spacing w:after="0"/>
              <w:rPr>
                <w:sz w:val="1"/>
                <w:szCs w:val="1"/>
                <w:color w:val="auto"/>
              </w:rPr>
            </w:pPr>
          </w:p>
        </w:tc>
      </w:tr>
      <w:tr>
        <w:trPr>
          <w:trHeight w:val="162"/>
        </w:trPr>
        <w:tc>
          <w:tcPr>
            <w:tcW w:w="5280" w:type="dxa"/>
            <w:vAlign w:val="bottom"/>
            <w:gridSpan w:val="2"/>
            <w:shd w:val="clear" w:color="auto" w:fill="CFF0FC"/>
          </w:tcPr>
          <w:p>
            <w:pPr>
              <w:ind w:left="60"/>
              <w:spacing w:after="0" w:line="162" w:lineRule="exact"/>
              <w:rPr>
                <w:sz w:val="20"/>
                <w:szCs w:val="20"/>
                <w:color w:val="auto"/>
              </w:rPr>
            </w:pPr>
            <w:r>
              <w:rPr>
                <w:rFonts w:ascii="Arial" w:cs="Arial" w:eastAsia="Arial" w:hAnsi="Arial"/>
                <w:sz w:val="15"/>
                <w:szCs w:val="15"/>
                <w:color w:val="auto"/>
              </w:rPr>
              <w:t>Subordinated debt</w:t>
            </w: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30,155</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30,155</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30,155</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30,155</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30,258</w:t>
            </w:r>
          </w:p>
        </w:tc>
        <w:tc>
          <w:tcPr>
            <w:tcW w:w="0" w:type="dxa"/>
            <w:vAlign w:val="bottom"/>
          </w:tcPr>
          <w:p>
            <w:pPr>
              <w:spacing w:after="0"/>
              <w:rPr>
                <w:sz w:val="1"/>
                <w:szCs w:val="1"/>
                <w:color w:val="auto"/>
              </w:rPr>
            </w:pPr>
          </w:p>
        </w:tc>
      </w:tr>
      <w:tr>
        <w:trPr>
          <w:trHeight w:val="162"/>
        </w:trPr>
        <w:tc>
          <w:tcPr>
            <w:tcW w:w="528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Accrued interest payable</w:t>
            </w:r>
          </w:p>
        </w:tc>
        <w:tc>
          <w:tcPr>
            <w:tcW w:w="100" w:type="dxa"/>
            <w:vAlign w:val="bottom"/>
          </w:tcPr>
          <w:p>
            <w:pPr>
              <w:spacing w:after="0"/>
              <w:rPr>
                <w:sz w:val="14"/>
                <w:szCs w:val="14"/>
                <w:color w:val="auto"/>
              </w:rPr>
            </w:pPr>
          </w:p>
        </w:tc>
        <w:tc>
          <w:tcPr>
            <w:tcW w:w="980" w:type="dxa"/>
            <w:vAlign w:val="bottom"/>
          </w:tcPr>
          <w:p>
            <w:pPr>
              <w:jc w:val="right"/>
              <w:ind w:right="64"/>
              <w:spacing w:after="0" w:line="162" w:lineRule="exact"/>
              <w:rPr>
                <w:sz w:val="20"/>
                <w:szCs w:val="20"/>
                <w:color w:val="auto"/>
              </w:rPr>
            </w:pPr>
            <w:r>
              <w:rPr>
                <w:rFonts w:ascii="Arial" w:cs="Arial" w:eastAsia="Arial" w:hAnsi="Arial"/>
                <w:sz w:val="15"/>
                <w:szCs w:val="15"/>
                <w:color w:val="auto"/>
              </w:rPr>
              <w:t>278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469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451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424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1,134</w:t>
            </w:r>
          </w:p>
        </w:tc>
        <w:tc>
          <w:tcPr>
            <w:tcW w:w="0" w:type="dxa"/>
            <w:vAlign w:val="bottom"/>
          </w:tcPr>
          <w:p>
            <w:pPr>
              <w:spacing w:after="0"/>
              <w:rPr>
                <w:sz w:val="1"/>
                <w:szCs w:val="1"/>
                <w:color w:val="auto"/>
              </w:rPr>
            </w:pPr>
          </w:p>
        </w:tc>
      </w:tr>
      <w:tr>
        <w:trPr>
          <w:trHeight w:val="162"/>
        </w:trPr>
        <w:tc>
          <w:tcPr>
            <w:tcW w:w="5280" w:type="dxa"/>
            <w:vAlign w:val="bottom"/>
            <w:gridSpan w:val="2"/>
            <w:shd w:val="clear" w:color="auto" w:fill="CFF0FC"/>
          </w:tcPr>
          <w:p>
            <w:pPr>
              <w:ind w:left="60"/>
              <w:spacing w:after="0" w:line="162" w:lineRule="exact"/>
              <w:rPr>
                <w:sz w:val="20"/>
                <w:szCs w:val="20"/>
                <w:color w:val="auto"/>
              </w:rPr>
            </w:pPr>
            <w:r>
              <w:rPr>
                <w:rFonts w:ascii="Arial" w:cs="Arial" w:eastAsia="Arial" w:hAnsi="Arial"/>
                <w:sz w:val="15"/>
                <w:szCs w:val="15"/>
                <w:color w:val="auto"/>
              </w:rPr>
              <w:t>Operating lease liabilities</w:t>
            </w: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1,236</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1,259</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1,282</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1,304</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1,326</w:t>
            </w:r>
          </w:p>
        </w:tc>
        <w:tc>
          <w:tcPr>
            <w:tcW w:w="0" w:type="dxa"/>
            <w:vAlign w:val="bottom"/>
          </w:tcPr>
          <w:p>
            <w:pPr>
              <w:spacing w:after="0"/>
              <w:rPr>
                <w:sz w:val="1"/>
                <w:szCs w:val="1"/>
                <w:color w:val="auto"/>
              </w:rPr>
            </w:pPr>
          </w:p>
        </w:tc>
      </w:tr>
      <w:tr>
        <w:trPr>
          <w:trHeight w:val="162"/>
        </w:trPr>
        <w:tc>
          <w:tcPr>
            <w:tcW w:w="528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Finance lease liabilities</w:t>
            </w:r>
          </w:p>
        </w:tc>
        <w:tc>
          <w:tcPr>
            <w:tcW w:w="100" w:type="dxa"/>
            <w:vAlign w:val="bottom"/>
          </w:tcPr>
          <w:p>
            <w:pPr>
              <w:spacing w:after="0"/>
              <w:rPr>
                <w:sz w:val="14"/>
                <w:szCs w:val="14"/>
                <w:color w:val="auto"/>
              </w:rPr>
            </w:pPr>
          </w:p>
        </w:tc>
        <w:tc>
          <w:tcPr>
            <w:tcW w:w="980" w:type="dxa"/>
            <w:vAlign w:val="bottom"/>
          </w:tcPr>
          <w:p>
            <w:pPr>
              <w:jc w:val="right"/>
              <w:ind w:right="64"/>
              <w:spacing w:after="0" w:line="162" w:lineRule="exact"/>
              <w:rPr>
                <w:sz w:val="20"/>
                <w:szCs w:val="20"/>
                <w:color w:val="auto"/>
              </w:rPr>
            </w:pPr>
            <w:r>
              <w:rPr>
                <w:rFonts w:ascii="Arial" w:cs="Arial" w:eastAsia="Arial" w:hAnsi="Arial"/>
                <w:sz w:val="15"/>
                <w:szCs w:val="15"/>
                <w:color w:val="auto"/>
              </w:rPr>
              <w:t>16,108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16,201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16,295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16,390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16,479</w:t>
            </w:r>
          </w:p>
        </w:tc>
        <w:tc>
          <w:tcPr>
            <w:tcW w:w="0" w:type="dxa"/>
            <w:vAlign w:val="bottom"/>
          </w:tcPr>
          <w:p>
            <w:pPr>
              <w:spacing w:after="0"/>
              <w:rPr>
                <w:sz w:val="1"/>
                <w:szCs w:val="1"/>
                <w:color w:val="auto"/>
              </w:rPr>
            </w:pPr>
          </w:p>
        </w:tc>
      </w:tr>
      <w:tr>
        <w:trPr>
          <w:trHeight w:val="162"/>
        </w:trPr>
        <w:tc>
          <w:tcPr>
            <w:tcW w:w="5080" w:type="dxa"/>
            <w:vAlign w:val="bottom"/>
            <w:tcBorders>
              <w:bottom w:val="single" w:sz="8" w:color="auto"/>
            </w:tcBorders>
            <w:shd w:val="clear" w:color="auto" w:fill="CFF0FC"/>
          </w:tcPr>
          <w:p>
            <w:pPr>
              <w:ind w:left="60"/>
              <w:spacing w:after="0" w:line="162" w:lineRule="exact"/>
              <w:rPr>
                <w:sz w:val="20"/>
                <w:szCs w:val="20"/>
                <w:color w:val="auto"/>
              </w:rPr>
            </w:pPr>
            <w:r>
              <w:rPr>
                <w:rFonts w:ascii="Arial" w:cs="Arial" w:eastAsia="Arial" w:hAnsi="Arial"/>
                <w:sz w:val="15"/>
                <w:szCs w:val="15"/>
                <w:color w:val="auto"/>
              </w:rPr>
              <w:t>Other liabilities</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11,007</w:t>
            </w:r>
          </w:p>
        </w:tc>
        <w:tc>
          <w:tcPr>
            <w:tcW w:w="1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11,032</w:t>
            </w:r>
          </w:p>
        </w:tc>
        <w:tc>
          <w:tcPr>
            <w:tcW w:w="1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11,115</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13,990</w:t>
            </w:r>
          </w:p>
        </w:tc>
        <w:tc>
          <w:tcPr>
            <w:tcW w:w="1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14,949</w:t>
            </w:r>
          </w:p>
        </w:tc>
        <w:tc>
          <w:tcPr>
            <w:tcW w:w="0" w:type="dxa"/>
            <w:vAlign w:val="bottom"/>
          </w:tcPr>
          <w:p>
            <w:pPr>
              <w:spacing w:after="0"/>
              <w:rPr>
                <w:sz w:val="1"/>
                <w:szCs w:val="1"/>
                <w:color w:val="auto"/>
              </w:rPr>
            </w:pPr>
          </w:p>
        </w:tc>
      </w:tr>
      <w:tr>
        <w:trPr>
          <w:trHeight w:val="156"/>
        </w:trPr>
        <w:tc>
          <w:tcPr>
            <w:tcW w:w="5080" w:type="dxa"/>
            <w:vAlign w:val="bottom"/>
            <w:tcBorders>
              <w:bottom w:val="single" w:sz="8" w:color="auto"/>
            </w:tcBorders>
          </w:tcPr>
          <w:p>
            <w:pPr>
              <w:ind w:left="100"/>
              <w:spacing w:after="0" w:line="156" w:lineRule="exact"/>
              <w:rPr>
                <w:sz w:val="20"/>
                <w:szCs w:val="20"/>
                <w:color w:val="auto"/>
              </w:rPr>
            </w:pPr>
            <w:r>
              <w:rPr>
                <w:rFonts w:ascii="Arial" w:cs="Arial" w:eastAsia="Arial" w:hAnsi="Arial"/>
                <w:sz w:val="15"/>
                <w:szCs w:val="15"/>
                <w:color w:val="auto"/>
              </w:rPr>
              <w:t>Total liabilities</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rPr>
              <w:t>1,372,844</w:t>
            </w: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1,366,759</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1,298,399</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1,304,185</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1,345,929</w:t>
            </w:r>
          </w:p>
        </w:tc>
        <w:tc>
          <w:tcPr>
            <w:tcW w:w="0" w:type="dxa"/>
            <w:vAlign w:val="bottom"/>
          </w:tcPr>
          <w:p>
            <w:pPr>
              <w:spacing w:after="0"/>
              <w:rPr>
                <w:sz w:val="1"/>
                <w:szCs w:val="1"/>
                <w:color w:val="auto"/>
              </w:rPr>
            </w:pPr>
          </w:p>
        </w:tc>
      </w:tr>
      <w:tr>
        <w:trPr>
          <w:trHeight w:val="155"/>
        </w:trPr>
        <w:tc>
          <w:tcPr>
            <w:tcW w:w="5280" w:type="dxa"/>
            <w:vAlign w:val="bottom"/>
            <w:gridSpan w:val="2"/>
            <w:shd w:val="clear" w:color="auto" w:fill="CFF0FC"/>
          </w:tcPr>
          <w:p>
            <w:pPr>
              <w:ind w:left="60"/>
              <w:spacing w:after="0" w:line="156" w:lineRule="exact"/>
              <w:rPr>
                <w:sz w:val="20"/>
                <w:szCs w:val="20"/>
                <w:color w:val="auto"/>
              </w:rPr>
            </w:pPr>
            <w:r>
              <w:rPr>
                <w:rFonts w:ascii="Arial" w:cs="Arial" w:eastAsia="Arial" w:hAnsi="Arial"/>
                <w:sz w:val="15"/>
                <w:szCs w:val="15"/>
                <w:color w:val="auto"/>
              </w:rPr>
              <w:t>Shareholders' equity:</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8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Voting common stock shares issued and outstanding</w:t>
            </w:r>
          </w:p>
        </w:tc>
        <w:tc>
          <w:tcPr>
            <w:tcW w:w="100" w:type="dxa"/>
            <w:vAlign w:val="bottom"/>
          </w:tcPr>
          <w:p>
            <w:pPr>
              <w:spacing w:after="0"/>
              <w:rPr>
                <w:sz w:val="14"/>
                <w:szCs w:val="14"/>
                <w:color w:val="auto"/>
              </w:rPr>
            </w:pPr>
          </w:p>
        </w:tc>
        <w:tc>
          <w:tcPr>
            <w:tcW w:w="980" w:type="dxa"/>
            <w:vAlign w:val="bottom"/>
          </w:tcPr>
          <w:p>
            <w:pPr>
              <w:jc w:val="right"/>
              <w:ind w:right="64"/>
              <w:spacing w:after="0" w:line="162" w:lineRule="exact"/>
              <w:rPr>
                <w:sz w:val="20"/>
                <w:szCs w:val="20"/>
                <w:color w:val="auto"/>
              </w:rPr>
            </w:pPr>
            <w:r>
              <w:rPr>
                <w:rFonts w:ascii="Arial" w:cs="Arial" w:eastAsia="Arial" w:hAnsi="Arial"/>
                <w:sz w:val="15"/>
                <w:szCs w:val="15"/>
                <w:color w:val="auto"/>
              </w:rPr>
              <w:t>4,898,360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4,898,360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4,876,213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4,805,361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44"/>
              <w:spacing w:after="0" w:line="162" w:lineRule="exact"/>
              <w:rPr>
                <w:sz w:val="20"/>
                <w:szCs w:val="20"/>
                <w:color w:val="auto"/>
              </w:rPr>
            </w:pPr>
            <w:r>
              <w:rPr>
                <w:rFonts w:ascii="Arial" w:cs="Arial" w:eastAsia="Arial" w:hAnsi="Arial"/>
                <w:sz w:val="15"/>
                <w:szCs w:val="15"/>
                <w:color w:val="auto"/>
              </w:rPr>
              <w:t>4,794,225</w:t>
            </w:r>
          </w:p>
        </w:tc>
        <w:tc>
          <w:tcPr>
            <w:tcW w:w="0" w:type="dxa"/>
            <w:vAlign w:val="bottom"/>
          </w:tcPr>
          <w:p>
            <w:pPr>
              <w:spacing w:after="0"/>
              <w:rPr>
                <w:sz w:val="1"/>
                <w:szCs w:val="1"/>
                <w:color w:val="auto"/>
              </w:rPr>
            </w:pPr>
          </w:p>
        </w:tc>
      </w:tr>
      <w:tr>
        <w:trPr>
          <w:trHeight w:val="162"/>
        </w:trPr>
        <w:tc>
          <w:tcPr>
            <w:tcW w:w="5280" w:type="dxa"/>
            <w:vAlign w:val="bottom"/>
            <w:gridSpan w:val="2"/>
            <w:shd w:val="clear" w:color="auto" w:fill="CFF0FC"/>
          </w:tcPr>
          <w:p>
            <w:pPr>
              <w:ind w:left="100"/>
              <w:spacing w:after="0" w:line="162" w:lineRule="exact"/>
              <w:rPr>
                <w:sz w:val="20"/>
                <w:szCs w:val="20"/>
                <w:color w:val="auto"/>
              </w:rPr>
            </w:pPr>
            <w:r>
              <w:rPr>
                <w:rFonts w:ascii="Arial" w:cs="Arial" w:eastAsia="Arial" w:hAnsi="Arial"/>
                <w:sz w:val="15"/>
                <w:szCs w:val="15"/>
                <w:color w:val="auto"/>
              </w:rPr>
              <w:t>Voting common stock</w:t>
            </w:r>
          </w:p>
        </w:tc>
        <w:tc>
          <w:tcPr>
            <w:tcW w:w="10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49</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49</w:t>
            </w:r>
          </w:p>
        </w:tc>
        <w:tc>
          <w:tcPr>
            <w:tcW w:w="320" w:type="dxa"/>
            <w:vAlign w:val="bottom"/>
            <w:gridSpan w:val="2"/>
            <w:shd w:val="clear" w:color="auto" w:fill="CFF0FC"/>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49</w:t>
            </w:r>
          </w:p>
        </w:tc>
        <w:tc>
          <w:tcPr>
            <w:tcW w:w="300" w:type="dxa"/>
            <w:vAlign w:val="bottom"/>
            <w:gridSpan w:val="2"/>
            <w:shd w:val="clear" w:color="auto" w:fill="CFF0FC"/>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92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48</w:t>
            </w:r>
          </w:p>
        </w:tc>
        <w:tc>
          <w:tcPr>
            <w:tcW w:w="26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162"/>
        </w:trPr>
        <w:tc>
          <w:tcPr>
            <w:tcW w:w="528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Non-voting common stock</w:t>
            </w:r>
          </w:p>
        </w:tc>
        <w:tc>
          <w:tcPr>
            <w:tcW w:w="100" w:type="dxa"/>
            <w:vAlign w:val="bottom"/>
          </w:tcPr>
          <w:p>
            <w:pPr>
              <w:spacing w:after="0"/>
              <w:rPr>
                <w:sz w:val="14"/>
                <w:szCs w:val="14"/>
                <w:color w:val="auto"/>
              </w:rPr>
            </w:pPr>
          </w:p>
        </w:tc>
        <w:tc>
          <w:tcPr>
            <w:tcW w:w="980" w:type="dxa"/>
            <w:vAlign w:val="bottom"/>
          </w:tcPr>
          <w:p>
            <w:pPr>
              <w:jc w:val="right"/>
              <w:ind w:right="64"/>
              <w:spacing w:after="0" w:line="162" w:lineRule="exact"/>
              <w:rPr>
                <w:sz w:val="20"/>
                <w:szCs w:val="20"/>
                <w:color w:val="auto"/>
              </w:rPr>
            </w:pPr>
            <w:r>
              <w:rPr>
                <w:rFonts w:ascii="Arial" w:cs="Arial" w:eastAsia="Arial" w:hAnsi="Arial"/>
                <w:sz w:val="15"/>
                <w:szCs w:val="15"/>
                <w:color w:val="auto"/>
              </w:rPr>
              <w:t>14</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62"/>
        </w:trPr>
        <w:tc>
          <w:tcPr>
            <w:tcW w:w="5280" w:type="dxa"/>
            <w:vAlign w:val="bottom"/>
            <w:gridSpan w:val="2"/>
            <w:shd w:val="clear" w:color="auto" w:fill="CFF0FC"/>
          </w:tcPr>
          <w:p>
            <w:pPr>
              <w:ind w:left="100"/>
              <w:spacing w:after="0" w:line="162" w:lineRule="exact"/>
              <w:rPr>
                <w:sz w:val="20"/>
                <w:szCs w:val="20"/>
                <w:color w:val="auto"/>
              </w:rPr>
            </w:pPr>
            <w:r>
              <w:rPr>
                <w:rFonts w:ascii="Arial" w:cs="Arial" w:eastAsia="Arial" w:hAnsi="Arial"/>
                <w:sz w:val="15"/>
                <w:szCs w:val="15"/>
                <w:color w:val="auto"/>
              </w:rPr>
              <w:t>Additional paid in capital</w:t>
            </w: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55,901</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55,624</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55,095</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54,390</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53,974</w:t>
            </w:r>
          </w:p>
        </w:tc>
        <w:tc>
          <w:tcPr>
            <w:tcW w:w="0" w:type="dxa"/>
            <w:vAlign w:val="bottom"/>
          </w:tcPr>
          <w:p>
            <w:pPr>
              <w:spacing w:after="0"/>
              <w:rPr>
                <w:sz w:val="1"/>
                <w:szCs w:val="1"/>
                <w:color w:val="auto"/>
              </w:rPr>
            </w:pPr>
          </w:p>
        </w:tc>
      </w:tr>
      <w:tr>
        <w:trPr>
          <w:trHeight w:val="162"/>
        </w:trPr>
        <w:tc>
          <w:tcPr>
            <w:tcW w:w="528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Retained earnings</w:t>
            </w:r>
          </w:p>
        </w:tc>
        <w:tc>
          <w:tcPr>
            <w:tcW w:w="100" w:type="dxa"/>
            <w:vAlign w:val="bottom"/>
          </w:tcPr>
          <w:p>
            <w:pPr>
              <w:spacing w:after="0"/>
              <w:rPr>
                <w:sz w:val="14"/>
                <w:szCs w:val="14"/>
                <w:color w:val="auto"/>
              </w:rPr>
            </w:pPr>
          </w:p>
        </w:tc>
        <w:tc>
          <w:tcPr>
            <w:tcW w:w="980" w:type="dxa"/>
            <w:vAlign w:val="bottom"/>
          </w:tcPr>
          <w:p>
            <w:pPr>
              <w:jc w:val="right"/>
              <w:ind w:right="64"/>
              <w:spacing w:after="0" w:line="162" w:lineRule="exact"/>
              <w:rPr>
                <w:sz w:val="20"/>
                <w:szCs w:val="20"/>
                <w:color w:val="auto"/>
              </w:rPr>
            </w:pPr>
            <w:r>
              <w:rPr>
                <w:rFonts w:ascii="Arial" w:cs="Arial" w:eastAsia="Arial" w:hAnsi="Arial"/>
                <w:sz w:val="15"/>
                <w:szCs w:val="15"/>
                <w:color w:val="auto"/>
              </w:rPr>
              <w:t>78,622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77,180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75,140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73,366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44"/>
              <w:spacing w:after="0" w:line="162" w:lineRule="exact"/>
              <w:rPr>
                <w:sz w:val="20"/>
                <w:szCs w:val="20"/>
                <w:color w:val="auto"/>
              </w:rPr>
            </w:pPr>
            <w:r>
              <w:rPr>
                <w:rFonts w:ascii="Arial" w:cs="Arial" w:eastAsia="Arial" w:hAnsi="Arial"/>
                <w:sz w:val="15"/>
                <w:szCs w:val="15"/>
                <w:color w:val="auto"/>
              </w:rPr>
              <w:t>79,560</w:t>
            </w:r>
          </w:p>
        </w:tc>
        <w:tc>
          <w:tcPr>
            <w:tcW w:w="0" w:type="dxa"/>
            <w:vAlign w:val="bottom"/>
          </w:tcPr>
          <w:p>
            <w:pPr>
              <w:spacing w:after="0"/>
              <w:rPr>
                <w:sz w:val="1"/>
                <w:szCs w:val="1"/>
                <w:color w:val="auto"/>
              </w:rPr>
            </w:pPr>
          </w:p>
        </w:tc>
      </w:tr>
      <w:tr>
        <w:trPr>
          <w:trHeight w:val="162"/>
        </w:trPr>
        <w:tc>
          <w:tcPr>
            <w:tcW w:w="5080" w:type="dxa"/>
            <w:vAlign w:val="bottom"/>
            <w:tcBorders>
              <w:bottom w:val="single" w:sz="8" w:color="auto"/>
            </w:tcBorders>
            <w:shd w:val="clear" w:color="auto" w:fill="CFF0FC"/>
          </w:tcPr>
          <w:p>
            <w:pPr>
              <w:ind w:left="100"/>
              <w:spacing w:after="0" w:line="162" w:lineRule="exact"/>
              <w:rPr>
                <w:sz w:val="20"/>
                <w:szCs w:val="20"/>
                <w:color w:val="auto"/>
              </w:rPr>
            </w:pPr>
            <w:r>
              <w:rPr>
                <w:rFonts w:ascii="Arial" w:cs="Arial" w:eastAsia="Arial" w:hAnsi="Arial"/>
                <w:sz w:val="15"/>
                <w:szCs w:val="15"/>
                <w:color w:val="auto"/>
              </w:rPr>
              <w:t>Accumulated other comprehensive loss</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4"/>
              <w:spacing w:after="0" w:line="162" w:lineRule="exact"/>
              <w:rPr>
                <w:sz w:val="20"/>
                <w:szCs w:val="20"/>
                <w:color w:val="auto"/>
              </w:rPr>
            </w:pPr>
            <w:r>
              <w:rPr>
                <w:rFonts w:ascii="Arial" w:cs="Arial" w:eastAsia="Arial" w:hAnsi="Arial"/>
                <w:sz w:val="15"/>
                <w:szCs w:val="15"/>
                <w:color w:val="auto"/>
              </w:rPr>
              <w:t>(15,821)</w:t>
            </w:r>
          </w:p>
        </w:tc>
        <w:tc>
          <w:tcPr>
            <w:tcW w:w="1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(7,123)</w:t>
            </w:r>
          </w:p>
        </w:tc>
        <w:tc>
          <w:tcPr>
            <w:tcW w:w="1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(6,715)</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(5,367)</w:t>
            </w:r>
          </w:p>
        </w:tc>
        <w:tc>
          <w:tcPr>
            <w:tcW w:w="1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(7,257)</w:t>
            </w:r>
          </w:p>
        </w:tc>
        <w:tc>
          <w:tcPr>
            <w:tcW w:w="0" w:type="dxa"/>
            <w:vAlign w:val="bottom"/>
          </w:tcPr>
          <w:p>
            <w:pPr>
              <w:spacing w:after="0"/>
              <w:rPr>
                <w:sz w:val="1"/>
                <w:szCs w:val="1"/>
                <w:color w:val="auto"/>
              </w:rPr>
            </w:pPr>
          </w:p>
        </w:tc>
      </w:tr>
      <w:tr>
        <w:trPr>
          <w:trHeight w:val="156"/>
        </w:trPr>
        <w:tc>
          <w:tcPr>
            <w:tcW w:w="5080" w:type="dxa"/>
            <w:vAlign w:val="bottom"/>
            <w:tcBorders>
              <w:bottom w:val="single" w:sz="8" w:color="auto"/>
            </w:tcBorders>
          </w:tcPr>
          <w:p>
            <w:pPr>
              <w:ind w:left="60"/>
              <w:spacing w:after="0" w:line="156" w:lineRule="exact"/>
              <w:rPr>
                <w:sz w:val="20"/>
                <w:szCs w:val="20"/>
                <w:color w:val="auto"/>
              </w:rPr>
            </w:pPr>
            <w:r>
              <w:rPr>
                <w:rFonts w:ascii="Arial" w:cs="Arial" w:eastAsia="Arial" w:hAnsi="Arial"/>
                <w:sz w:val="15"/>
                <w:szCs w:val="15"/>
                <w:color w:val="auto"/>
              </w:rPr>
              <w:t>Total shareholders' equity</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rPr>
              <w:t>118,765</w:t>
            </w: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125,744</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123,583</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122,451</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126,339</w:t>
            </w:r>
          </w:p>
        </w:tc>
        <w:tc>
          <w:tcPr>
            <w:tcW w:w="0" w:type="dxa"/>
            <w:vAlign w:val="bottom"/>
          </w:tcPr>
          <w:p>
            <w:pPr>
              <w:spacing w:after="0"/>
              <w:rPr>
                <w:sz w:val="1"/>
                <w:szCs w:val="1"/>
                <w:color w:val="auto"/>
              </w:rPr>
            </w:pPr>
          </w:p>
        </w:tc>
      </w:tr>
      <w:tr>
        <w:trPr>
          <w:trHeight w:val="175"/>
        </w:trPr>
        <w:tc>
          <w:tcPr>
            <w:tcW w:w="508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Total liabilities and shareholders' equity</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64"/>
              <w:spacing w:after="0" w:line="156" w:lineRule="exact"/>
              <w:rPr>
                <w:sz w:val="20"/>
                <w:szCs w:val="20"/>
                <w:color w:val="auto"/>
              </w:rPr>
            </w:pPr>
            <w:r>
              <w:rPr>
                <w:rFonts w:ascii="Arial" w:cs="Arial" w:eastAsia="Arial" w:hAnsi="Arial"/>
                <w:sz w:val="15"/>
                <w:szCs w:val="15"/>
                <w:color w:val="auto"/>
              </w:rPr>
              <w:t>1,491,609</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4"/>
              <w:spacing w:after="0" w:line="156" w:lineRule="exact"/>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1,492,503</w:t>
            </w:r>
          </w:p>
        </w:tc>
        <w:tc>
          <w:tcPr>
            <w:tcW w:w="320" w:type="dxa"/>
            <w:vAlign w:val="bottom"/>
            <w:gridSpan w:val="2"/>
            <w:shd w:val="clear" w:color="auto" w:fill="CFF0FC"/>
          </w:tcPr>
          <w:p>
            <w:pPr>
              <w:jc w:val="right"/>
              <w:ind w:right="60"/>
              <w:spacing w:after="0" w:line="156" w:lineRule="exact"/>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1,421,982</w:t>
            </w:r>
          </w:p>
        </w:tc>
        <w:tc>
          <w:tcPr>
            <w:tcW w:w="300" w:type="dxa"/>
            <w:vAlign w:val="bottom"/>
            <w:gridSpan w:val="2"/>
            <w:shd w:val="clear" w:color="auto" w:fill="CFF0FC"/>
          </w:tcPr>
          <w:p>
            <w:pPr>
              <w:jc w:val="right"/>
              <w:ind w:right="20"/>
              <w:spacing w:after="0" w:line="156" w:lineRule="exact"/>
              <w:rPr>
                <w:sz w:val="20"/>
                <w:szCs w:val="20"/>
                <w:color w:val="auto"/>
              </w:rPr>
            </w:pPr>
            <w:r>
              <w:rPr>
                <w:rFonts w:ascii="Arial" w:cs="Arial" w:eastAsia="Arial" w:hAnsi="Arial"/>
                <w:sz w:val="15"/>
                <w:szCs w:val="15"/>
                <w:color w:val="auto"/>
              </w:rPr>
              <w:t>$</w:t>
            </w:r>
          </w:p>
        </w:tc>
        <w:tc>
          <w:tcPr>
            <w:tcW w:w="920" w:type="dxa"/>
            <w:vAlign w:val="bottom"/>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1,426,636</w:t>
            </w:r>
          </w:p>
        </w:tc>
        <w:tc>
          <w:tcPr>
            <w:tcW w:w="26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1,472,268</w:t>
            </w:r>
          </w:p>
        </w:tc>
        <w:tc>
          <w:tcPr>
            <w:tcW w:w="0" w:type="dxa"/>
            <w:vAlign w:val="bottom"/>
          </w:tcPr>
          <w:p>
            <w:pPr>
              <w:spacing w:after="0"/>
              <w:rPr>
                <w:sz w:val="1"/>
                <w:szCs w:val="1"/>
                <w:color w:val="auto"/>
              </w:rPr>
            </w:pPr>
          </w:p>
        </w:tc>
      </w:tr>
      <w:tr>
        <w:trPr>
          <w:trHeight w:val="20"/>
        </w:trPr>
        <w:tc>
          <w:tcPr>
            <w:tcW w:w="5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-4688205</wp:posOffset>
            </wp:positionV>
            <wp:extent cx="120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-4688205</wp:posOffset>
            </wp:positionV>
            <wp:extent cx="120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-4688205</wp:posOffset>
            </wp:positionV>
            <wp:extent cx="1111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-4688205</wp:posOffset>
            </wp:positionV>
            <wp:extent cx="1111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-4688205</wp:posOffset>
            </wp:positionV>
            <wp:extent cx="1117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-4045585</wp:posOffset>
            </wp:positionV>
            <wp:extent cx="120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-4045585</wp:posOffset>
            </wp:positionV>
            <wp:extent cx="120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-4045585</wp:posOffset>
            </wp:positionV>
            <wp:extent cx="111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-4045585</wp:posOffset>
            </wp:positionV>
            <wp:extent cx="1111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-4045585</wp:posOffset>
            </wp:positionV>
            <wp:extent cx="1117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-3616960</wp:posOffset>
            </wp:positionV>
            <wp:extent cx="120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-3616960</wp:posOffset>
            </wp:positionV>
            <wp:extent cx="120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-3616960</wp:posOffset>
            </wp:positionV>
            <wp:extent cx="1111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-3616960</wp:posOffset>
            </wp:positionV>
            <wp:extent cx="1111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-3616960</wp:posOffset>
            </wp:positionV>
            <wp:extent cx="1117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-2571115</wp:posOffset>
            </wp:positionV>
            <wp:extent cx="1200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-2553970</wp:posOffset>
            </wp:positionV>
            <wp:extent cx="120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-2571115</wp:posOffset>
            </wp:positionV>
            <wp:extent cx="1200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-2553970</wp:posOffset>
            </wp:positionV>
            <wp:extent cx="120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-2571115</wp:posOffset>
            </wp:positionV>
            <wp:extent cx="1111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-2553970</wp:posOffset>
            </wp:positionV>
            <wp:extent cx="1111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-2571115</wp:posOffset>
            </wp:positionV>
            <wp:extent cx="1111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-2553970</wp:posOffset>
            </wp:positionV>
            <wp:extent cx="1111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-2571115</wp:posOffset>
            </wp:positionV>
            <wp:extent cx="1117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-2553970</wp:posOffset>
            </wp:positionV>
            <wp:extent cx="1117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-1928495</wp:posOffset>
            </wp:positionV>
            <wp:extent cx="1200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-1928495</wp:posOffset>
            </wp:positionV>
            <wp:extent cx="1200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-1928495</wp:posOffset>
            </wp:positionV>
            <wp:extent cx="1111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-1928495</wp:posOffset>
            </wp:positionV>
            <wp:extent cx="1111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-1928495</wp:posOffset>
            </wp:positionV>
            <wp:extent cx="1117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-1088390</wp:posOffset>
            </wp:positionV>
            <wp:extent cx="1200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-1088390</wp:posOffset>
            </wp:positionV>
            <wp:extent cx="1200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-1088390</wp:posOffset>
            </wp:positionV>
            <wp:extent cx="1111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-1088390</wp:posOffset>
            </wp:positionV>
            <wp:extent cx="1111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-1088390</wp:posOffset>
            </wp:positionV>
            <wp:extent cx="1117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-248285</wp:posOffset>
            </wp:positionV>
            <wp:extent cx="1200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-248285</wp:posOffset>
            </wp:positionV>
            <wp:extent cx="1200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-248285</wp:posOffset>
            </wp:positionV>
            <wp:extent cx="1111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-248285</wp:posOffset>
            </wp:positionV>
            <wp:extent cx="1111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-248285</wp:posOffset>
            </wp:positionV>
            <wp:extent cx="1117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-24765</wp:posOffset>
            </wp:positionV>
            <wp:extent cx="120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-8255</wp:posOffset>
            </wp:positionV>
            <wp:extent cx="1200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-24765</wp:posOffset>
            </wp:positionV>
            <wp:extent cx="120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-8255</wp:posOffset>
            </wp:positionV>
            <wp:extent cx="1200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1111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-8255</wp:posOffset>
            </wp:positionV>
            <wp:extent cx="1111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1111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1111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1117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1117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The above information is unaudited and preliminary, based on the Company's data available at the time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4"/>
          </w:tcPr>
          <w:p>
            <w:pPr>
              <w:jc w:val="center"/>
              <w:ind w:right="157"/>
              <w:spacing w:after="0"/>
              <w:rPr>
                <w:sz w:val="20"/>
                <w:szCs w:val="20"/>
                <w:color w:val="auto"/>
              </w:rPr>
            </w:pPr>
            <w:r>
              <w:rPr>
                <w:rFonts w:ascii="Arial" w:cs="Arial" w:eastAsia="Arial" w:hAnsi="Arial"/>
                <w:sz w:val="13"/>
                <w:szCs w:val="13"/>
                <w:b w:val="1"/>
                <w:bCs w:val="1"/>
                <w:color w:val="auto"/>
                <w:w w:val="96"/>
              </w:rPr>
              <w:t>Nine Months Ended September</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b w:val="1"/>
                <w:bCs w:val="1"/>
                <w:color w:val="auto"/>
              </w:rPr>
              <w:t>2026</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3"/>
            <w:vMerge w:val="restart"/>
          </w:tcPr>
          <w:p>
            <w:pPr>
              <w:jc w:val="right"/>
              <w:ind w:right="280"/>
              <w:spacing w:after="0"/>
              <w:rPr>
                <w:sz w:val="20"/>
                <w:szCs w:val="20"/>
                <w:color w:val="auto"/>
              </w:rPr>
            </w:pPr>
            <w:r>
              <w:rPr>
                <w:rFonts w:ascii="Arial" w:cs="Arial" w:eastAsia="Arial" w:hAnsi="Arial"/>
                <w:sz w:val="13"/>
                <w:szCs w:val="13"/>
                <w:b w:val="1"/>
                <w:bCs w:val="1"/>
                <w:color w:val="auto"/>
              </w:rPr>
              <w:t>2025</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100" w:type="dxa"/>
            <w:vAlign w:val="bottom"/>
            <w:vMerge w:val="restart"/>
          </w:tcPr>
          <w:p>
            <w:pPr>
              <w:spacing w:after="0"/>
              <w:rPr>
                <w:sz w:val="20"/>
                <w:szCs w:val="20"/>
                <w:color w:val="auto"/>
              </w:rPr>
            </w:pPr>
            <w:r>
              <w:rPr>
                <w:rFonts w:ascii="Arial" w:cs="Arial" w:eastAsia="Arial" w:hAnsi="Arial"/>
                <w:sz w:val="13"/>
                <w:szCs w:val="13"/>
                <w:b w:val="1"/>
                <w:bCs w:val="1"/>
                <w:color w:val="auto"/>
              </w:rPr>
              <w:t>SELECTED INCOME STATEMENT DATA:</w:t>
            </w:r>
          </w:p>
        </w:tc>
        <w:tc>
          <w:tcPr>
            <w:tcW w:w="140" w:type="dxa"/>
            <w:vAlign w:val="bottom"/>
            <w:vMerge w:val="restart"/>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30,</w:t>
            </w: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vMerge w:val="continue"/>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10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2026</w:t>
            </w: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2025</w:t>
            </w: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Q3</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Q2</w:t>
            </w: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Q1</w:t>
            </w:r>
          </w:p>
        </w:tc>
        <w:tc>
          <w:tcPr>
            <w:tcW w:w="1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Q4</w:t>
            </w:r>
          </w:p>
        </w:tc>
        <w:tc>
          <w:tcPr>
            <w:tcW w:w="1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rPr>
              <w:t>Q3</w:t>
            </w:r>
          </w:p>
        </w:tc>
        <w:tc>
          <w:tcPr>
            <w:tcW w:w="0" w:type="dxa"/>
            <w:vAlign w:val="bottom"/>
          </w:tcPr>
          <w:p>
            <w:pPr>
              <w:spacing w:after="0"/>
              <w:rPr>
                <w:sz w:val="1"/>
                <w:szCs w:val="1"/>
                <w:color w:val="auto"/>
              </w:rPr>
            </w:pPr>
          </w:p>
        </w:tc>
      </w:tr>
      <w:tr>
        <w:trPr>
          <w:trHeight w:val="128"/>
        </w:trPr>
        <w:tc>
          <w:tcPr>
            <w:tcW w:w="3240" w:type="dxa"/>
            <w:vAlign w:val="bottom"/>
            <w:gridSpan w:val="2"/>
            <w:shd w:val="clear" w:color="auto" w:fill="CFF0FC"/>
          </w:tcPr>
          <w:p>
            <w:pPr>
              <w:spacing w:after="0" w:line="129" w:lineRule="exact"/>
              <w:rPr>
                <w:sz w:val="20"/>
                <w:szCs w:val="20"/>
                <w:color w:val="auto"/>
              </w:rPr>
            </w:pPr>
            <w:r>
              <w:rPr>
                <w:rFonts w:ascii="Arial" w:cs="Arial" w:eastAsia="Arial" w:hAnsi="Arial"/>
                <w:sz w:val="13"/>
                <w:szCs w:val="13"/>
                <w:color w:val="auto"/>
              </w:rPr>
              <w:t>Interest and dividend income:</w:t>
            </w:r>
          </w:p>
        </w:tc>
        <w:tc>
          <w:tcPr>
            <w:tcW w:w="80" w:type="dxa"/>
            <w:vAlign w:val="bottom"/>
            <w:shd w:val="clear" w:color="auto" w:fill="CFF0FC"/>
          </w:tcPr>
          <w:p>
            <w:pPr>
              <w:spacing w:after="0"/>
              <w:rPr>
                <w:sz w:val="11"/>
                <w:szCs w:val="11"/>
                <w:color w:val="auto"/>
              </w:rPr>
            </w:pPr>
          </w:p>
        </w:tc>
        <w:tc>
          <w:tcPr>
            <w:tcW w:w="9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gridSpan w:val="2"/>
          </w:tcPr>
          <w:p>
            <w:pPr>
              <w:spacing w:after="0" w:line="135" w:lineRule="exact"/>
              <w:rPr>
                <w:sz w:val="20"/>
                <w:szCs w:val="20"/>
                <w:color w:val="auto"/>
              </w:rPr>
            </w:pPr>
            <w:r>
              <w:rPr>
                <w:rFonts w:ascii="Arial" w:cs="Arial" w:eastAsia="Arial" w:hAnsi="Arial"/>
                <w:sz w:val="13"/>
                <w:szCs w:val="13"/>
                <w:color w:val="auto"/>
              </w:rPr>
              <w:t>Loans, including fees</w:t>
            </w: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37,606</w:t>
            </w:r>
          </w:p>
        </w:tc>
        <w:tc>
          <w:tcPr>
            <w:tcW w:w="4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40,577</w:t>
            </w:r>
          </w:p>
        </w:tc>
        <w:tc>
          <w:tcPr>
            <w:tcW w:w="4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12,679</w:t>
            </w:r>
          </w:p>
        </w:tc>
        <w:tc>
          <w:tcPr>
            <w:tcW w:w="3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12,570</w:t>
            </w:r>
          </w:p>
        </w:tc>
        <w:tc>
          <w:tcPr>
            <w:tcW w:w="4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12,357</w:t>
            </w:r>
          </w:p>
        </w:tc>
        <w:tc>
          <w:tcPr>
            <w:tcW w:w="4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12,983</w:t>
            </w:r>
          </w:p>
        </w:tc>
        <w:tc>
          <w:tcPr>
            <w:tcW w:w="4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13,799</w:t>
            </w:r>
          </w:p>
        </w:tc>
        <w:tc>
          <w:tcPr>
            <w:tcW w:w="0" w:type="dxa"/>
            <w:vAlign w:val="bottom"/>
          </w:tcPr>
          <w:p>
            <w:pPr>
              <w:spacing w:after="0"/>
              <w:rPr>
                <w:sz w:val="1"/>
                <w:szCs w:val="1"/>
                <w:color w:val="auto"/>
              </w:rPr>
            </w:pPr>
          </w:p>
        </w:tc>
      </w:tr>
      <w:tr>
        <w:trPr>
          <w:trHeight w:val="135"/>
        </w:trPr>
        <w:tc>
          <w:tcPr>
            <w:tcW w:w="324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Debt securities:</w:t>
            </w:r>
          </w:p>
        </w:tc>
        <w:tc>
          <w:tcPr>
            <w:tcW w:w="80" w:type="dxa"/>
            <w:vAlign w:val="bottom"/>
            <w:shd w:val="clear" w:color="auto" w:fill="CFF0FC"/>
          </w:tcPr>
          <w:p>
            <w:pPr>
              <w:spacing w:after="0"/>
              <w:rPr>
                <w:sz w:val="11"/>
                <w:szCs w:val="11"/>
                <w:color w:val="auto"/>
              </w:rPr>
            </w:pPr>
          </w:p>
        </w:tc>
        <w:tc>
          <w:tcPr>
            <w:tcW w:w="9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Taxable</w:t>
            </w:r>
          </w:p>
        </w:tc>
        <w:tc>
          <w:tcPr>
            <w:tcW w:w="8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14,897</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16,014</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5,378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4,920</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4,599</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4,681</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5,307</w:t>
            </w:r>
          </w:p>
        </w:tc>
        <w:tc>
          <w:tcPr>
            <w:tcW w:w="0" w:type="dxa"/>
            <w:vAlign w:val="bottom"/>
          </w:tcPr>
          <w:p>
            <w:pPr>
              <w:spacing w:after="0"/>
              <w:rPr>
                <w:sz w:val="1"/>
                <w:szCs w:val="1"/>
                <w:color w:val="auto"/>
              </w:rPr>
            </w:pPr>
          </w:p>
        </w:tc>
      </w:tr>
      <w:tr>
        <w:trPr>
          <w:trHeight w:val="135"/>
        </w:trPr>
        <w:tc>
          <w:tcPr>
            <w:tcW w:w="324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rPr>
              <w:t>Tax-exempt</w:t>
            </w:r>
          </w:p>
        </w:tc>
        <w:tc>
          <w:tcPr>
            <w:tcW w:w="80" w:type="dxa"/>
            <w:vAlign w:val="bottom"/>
            <w:shd w:val="clear" w:color="auto" w:fill="CFF0FC"/>
          </w:tcPr>
          <w:p>
            <w:pPr>
              <w:spacing w:after="0"/>
              <w:rPr>
                <w:sz w:val="11"/>
                <w:szCs w:val="11"/>
                <w:color w:val="auto"/>
              </w:rPr>
            </w:pPr>
          </w:p>
        </w:tc>
        <w:tc>
          <w:tcPr>
            <w:tcW w:w="920" w:type="dxa"/>
            <w:vAlign w:val="bottom"/>
            <w:tcBorders>
              <w:right w:val="single" w:sz="8" w:color="CFF0FC"/>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1,074</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1,322</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371</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368</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335</w:t>
            </w: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385</w:t>
            </w:r>
          </w:p>
        </w:tc>
        <w:tc>
          <w:tcPr>
            <w:tcW w:w="1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455</w:t>
            </w:r>
          </w:p>
        </w:tc>
        <w:tc>
          <w:tcPr>
            <w:tcW w:w="0" w:type="dxa"/>
            <w:vAlign w:val="bottom"/>
          </w:tcPr>
          <w:p>
            <w:pPr>
              <w:spacing w:after="0"/>
              <w:rPr>
                <w:sz w:val="1"/>
                <w:szCs w:val="1"/>
                <w:color w:val="auto"/>
              </w:rPr>
            </w:pPr>
          </w:p>
        </w:tc>
      </w:tr>
      <w:tr>
        <w:trPr>
          <w:trHeight w:val="135"/>
        </w:trPr>
        <w:tc>
          <w:tcPr>
            <w:tcW w:w="3240" w:type="dxa"/>
            <w:vAlign w:val="bottom"/>
            <w:gridSpan w:val="2"/>
          </w:tcPr>
          <w:p>
            <w:pPr>
              <w:spacing w:after="0" w:line="135" w:lineRule="exact"/>
              <w:rPr>
                <w:sz w:val="20"/>
                <w:szCs w:val="20"/>
                <w:color w:val="auto"/>
              </w:rPr>
            </w:pPr>
            <w:r>
              <w:rPr>
                <w:rFonts w:ascii="Arial" w:cs="Arial" w:eastAsia="Arial" w:hAnsi="Arial"/>
                <w:sz w:val="13"/>
                <w:szCs w:val="13"/>
                <w:color w:val="auto"/>
              </w:rPr>
              <w:t>Dividends</w:t>
            </w:r>
          </w:p>
        </w:tc>
        <w:tc>
          <w:tcPr>
            <w:tcW w:w="8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236</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158</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87</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83</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35"/>
        </w:trPr>
        <w:tc>
          <w:tcPr>
            <w:tcW w:w="3100" w:type="dxa"/>
            <w:vAlign w:val="bottom"/>
            <w:tcBorders>
              <w:bottom w:val="single" w:sz="8" w:color="auto"/>
            </w:tcBorders>
            <w:shd w:val="clear" w:color="auto" w:fill="CFF0FC"/>
          </w:tcPr>
          <w:p>
            <w:pPr>
              <w:spacing w:after="0" w:line="135" w:lineRule="exact"/>
              <w:rPr>
                <w:sz w:val="20"/>
                <w:szCs w:val="20"/>
                <w:color w:val="auto"/>
              </w:rPr>
            </w:pPr>
            <w:r>
              <w:rPr>
                <w:rFonts w:ascii="Arial" w:cs="Arial" w:eastAsia="Arial" w:hAnsi="Arial"/>
                <w:sz w:val="13"/>
                <w:szCs w:val="13"/>
                <w:color w:val="auto"/>
              </w:rPr>
              <w:t>Federal funds sold and interest-earning deposits</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right w:val="single" w:sz="8" w:color="CFF0FC"/>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401</w:t>
            </w:r>
          </w:p>
        </w:tc>
        <w:tc>
          <w:tcPr>
            <w:tcW w:w="16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288</w:t>
            </w:r>
          </w:p>
        </w:tc>
        <w:tc>
          <w:tcPr>
            <w:tcW w:w="16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116</w:t>
            </w:r>
          </w:p>
        </w:tc>
        <w:tc>
          <w:tcPr>
            <w:tcW w:w="16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123</w:t>
            </w:r>
          </w:p>
        </w:tc>
        <w:tc>
          <w:tcPr>
            <w:tcW w:w="16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162</w:t>
            </w:r>
          </w:p>
        </w:tc>
        <w:tc>
          <w:tcPr>
            <w:tcW w:w="14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162</w:t>
            </w:r>
          </w:p>
        </w:tc>
        <w:tc>
          <w:tcPr>
            <w:tcW w:w="14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128"/>
        </w:trPr>
        <w:tc>
          <w:tcPr>
            <w:tcW w:w="3100" w:type="dxa"/>
            <w:vAlign w:val="bottom"/>
            <w:tcBorders>
              <w:bottom w:val="single" w:sz="8" w:color="auto"/>
            </w:tcBorders>
          </w:tcPr>
          <w:p>
            <w:pPr>
              <w:ind w:left="40"/>
              <w:spacing w:after="0" w:line="129" w:lineRule="exact"/>
              <w:rPr>
                <w:sz w:val="20"/>
                <w:szCs w:val="20"/>
                <w:color w:val="auto"/>
              </w:rPr>
            </w:pPr>
            <w:r>
              <w:rPr>
                <w:rFonts w:ascii="Arial" w:cs="Arial" w:eastAsia="Arial" w:hAnsi="Arial"/>
                <w:sz w:val="13"/>
                <w:szCs w:val="13"/>
                <w:color w:val="auto"/>
              </w:rPr>
              <w:t>Total interest and dividend income</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54,214</w:t>
            </w: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58,359</w:t>
            </w: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18,644</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18,068</w:t>
            </w: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17,502</w:t>
            </w:r>
          </w:p>
        </w:tc>
        <w:tc>
          <w:tcPr>
            <w:tcW w:w="1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18,294</w:t>
            </w:r>
          </w:p>
        </w:tc>
        <w:tc>
          <w:tcPr>
            <w:tcW w:w="1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19,736</w:t>
            </w:r>
          </w:p>
        </w:tc>
        <w:tc>
          <w:tcPr>
            <w:tcW w:w="0" w:type="dxa"/>
            <w:vAlign w:val="bottom"/>
          </w:tcPr>
          <w:p>
            <w:pPr>
              <w:spacing w:after="0"/>
              <w:rPr>
                <w:sz w:val="1"/>
                <w:szCs w:val="1"/>
                <w:color w:val="auto"/>
              </w:rPr>
            </w:pPr>
          </w:p>
        </w:tc>
      </w:tr>
      <w:tr>
        <w:trPr>
          <w:trHeight w:val="129"/>
        </w:trPr>
        <w:tc>
          <w:tcPr>
            <w:tcW w:w="3240" w:type="dxa"/>
            <w:vAlign w:val="bottom"/>
            <w:gridSpan w:val="2"/>
            <w:shd w:val="clear" w:color="auto" w:fill="CFF0FC"/>
          </w:tcPr>
          <w:p>
            <w:pPr>
              <w:spacing w:after="0" w:line="129" w:lineRule="exact"/>
              <w:rPr>
                <w:sz w:val="20"/>
                <w:szCs w:val="20"/>
                <w:color w:val="auto"/>
              </w:rPr>
            </w:pPr>
            <w:r>
              <w:rPr>
                <w:rFonts w:ascii="Arial" w:cs="Arial" w:eastAsia="Arial" w:hAnsi="Arial"/>
                <w:sz w:val="13"/>
                <w:szCs w:val="13"/>
                <w:color w:val="auto"/>
              </w:rPr>
              <w:t>Interest expense:</w:t>
            </w:r>
          </w:p>
        </w:tc>
        <w:tc>
          <w:tcPr>
            <w:tcW w:w="80" w:type="dxa"/>
            <w:vAlign w:val="bottom"/>
            <w:shd w:val="clear" w:color="auto" w:fill="CFF0FC"/>
          </w:tcPr>
          <w:p>
            <w:pPr>
              <w:spacing w:after="0"/>
              <w:rPr>
                <w:sz w:val="11"/>
                <w:szCs w:val="11"/>
                <w:color w:val="auto"/>
              </w:rPr>
            </w:pPr>
          </w:p>
        </w:tc>
        <w:tc>
          <w:tcPr>
            <w:tcW w:w="9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gridSpan w:val="2"/>
          </w:tcPr>
          <w:p>
            <w:pPr>
              <w:spacing w:after="0" w:line="135" w:lineRule="exact"/>
              <w:rPr>
                <w:sz w:val="20"/>
                <w:szCs w:val="20"/>
                <w:color w:val="auto"/>
              </w:rPr>
            </w:pPr>
            <w:r>
              <w:rPr>
                <w:rFonts w:ascii="Arial" w:cs="Arial" w:eastAsia="Arial" w:hAnsi="Arial"/>
                <w:sz w:val="13"/>
                <w:szCs w:val="13"/>
                <w:color w:val="auto"/>
              </w:rPr>
              <w:t>Interest on deposits</w:t>
            </w:r>
          </w:p>
        </w:tc>
        <w:tc>
          <w:tcPr>
            <w:tcW w:w="8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18,204</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21,220</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5,889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6,182</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6,133</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6,768</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6,957</w:t>
            </w:r>
          </w:p>
        </w:tc>
        <w:tc>
          <w:tcPr>
            <w:tcW w:w="0" w:type="dxa"/>
            <w:vAlign w:val="bottom"/>
          </w:tcPr>
          <w:p>
            <w:pPr>
              <w:spacing w:after="0"/>
              <w:rPr>
                <w:sz w:val="1"/>
                <w:szCs w:val="1"/>
                <w:color w:val="auto"/>
              </w:rPr>
            </w:pPr>
          </w:p>
        </w:tc>
      </w:tr>
      <w:tr>
        <w:trPr>
          <w:trHeight w:val="135"/>
        </w:trPr>
        <w:tc>
          <w:tcPr>
            <w:tcW w:w="324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Interest on short-term borrowings</w:t>
            </w:r>
          </w:p>
        </w:tc>
        <w:tc>
          <w:tcPr>
            <w:tcW w:w="80" w:type="dxa"/>
            <w:vAlign w:val="bottom"/>
            <w:shd w:val="clear" w:color="auto" w:fill="CFF0FC"/>
          </w:tcPr>
          <w:p>
            <w:pPr>
              <w:spacing w:after="0"/>
              <w:rPr>
                <w:sz w:val="11"/>
                <w:szCs w:val="11"/>
                <w:color w:val="auto"/>
              </w:rPr>
            </w:pPr>
          </w:p>
        </w:tc>
        <w:tc>
          <w:tcPr>
            <w:tcW w:w="920" w:type="dxa"/>
            <w:vAlign w:val="bottom"/>
            <w:tcBorders>
              <w:right w:val="single" w:sz="8" w:color="CFF0FC"/>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2,211</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1,606</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1,341</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604</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266</w:t>
            </w: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365</w:t>
            </w:r>
          </w:p>
        </w:tc>
        <w:tc>
          <w:tcPr>
            <w:tcW w:w="1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566</w:t>
            </w:r>
          </w:p>
        </w:tc>
        <w:tc>
          <w:tcPr>
            <w:tcW w:w="0" w:type="dxa"/>
            <w:vAlign w:val="bottom"/>
          </w:tcPr>
          <w:p>
            <w:pPr>
              <w:spacing w:after="0"/>
              <w:rPr>
                <w:sz w:val="1"/>
                <w:szCs w:val="1"/>
                <w:color w:val="auto"/>
              </w:rPr>
            </w:pPr>
          </w:p>
        </w:tc>
      </w:tr>
      <w:tr>
        <w:trPr>
          <w:trHeight w:val="135"/>
        </w:trPr>
        <w:tc>
          <w:tcPr>
            <w:tcW w:w="3240" w:type="dxa"/>
            <w:vAlign w:val="bottom"/>
            <w:gridSpan w:val="2"/>
          </w:tcPr>
          <w:p>
            <w:pPr>
              <w:spacing w:after="0" w:line="135" w:lineRule="exact"/>
              <w:rPr>
                <w:sz w:val="20"/>
                <w:szCs w:val="20"/>
                <w:color w:val="auto"/>
              </w:rPr>
            </w:pPr>
            <w:r>
              <w:rPr>
                <w:rFonts w:ascii="Arial" w:cs="Arial" w:eastAsia="Arial" w:hAnsi="Arial"/>
                <w:sz w:val="13"/>
                <w:szCs w:val="13"/>
                <w:color w:val="auto"/>
              </w:rPr>
              <w:t>Interest on long-term borrowings</w:t>
            </w:r>
          </w:p>
        </w:tc>
        <w:tc>
          <w:tcPr>
            <w:tcW w:w="8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257</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264</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99</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114</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123</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35"/>
        </w:trPr>
        <w:tc>
          <w:tcPr>
            <w:tcW w:w="3100" w:type="dxa"/>
            <w:vAlign w:val="bottom"/>
            <w:tcBorders>
              <w:bottom w:val="single" w:sz="8" w:color="auto"/>
            </w:tcBorders>
            <w:shd w:val="clear" w:color="auto" w:fill="CFF0FC"/>
          </w:tcPr>
          <w:p>
            <w:pPr>
              <w:spacing w:after="0" w:line="135" w:lineRule="exact"/>
              <w:rPr>
                <w:sz w:val="20"/>
                <w:szCs w:val="20"/>
                <w:color w:val="auto"/>
              </w:rPr>
            </w:pPr>
            <w:r>
              <w:rPr>
                <w:rFonts w:ascii="Arial" w:cs="Arial" w:eastAsia="Arial" w:hAnsi="Arial"/>
                <w:sz w:val="13"/>
                <w:szCs w:val="13"/>
                <w:color w:val="auto"/>
              </w:rPr>
              <w:t>Interest on subordinated debt</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right w:val="single" w:sz="8" w:color="CFF0FC"/>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1,955</w:t>
            </w:r>
          </w:p>
        </w:tc>
        <w:tc>
          <w:tcPr>
            <w:tcW w:w="16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1,444</w:t>
            </w:r>
          </w:p>
        </w:tc>
        <w:tc>
          <w:tcPr>
            <w:tcW w:w="16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659</w:t>
            </w:r>
          </w:p>
        </w:tc>
        <w:tc>
          <w:tcPr>
            <w:tcW w:w="16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647</w:t>
            </w:r>
          </w:p>
        </w:tc>
        <w:tc>
          <w:tcPr>
            <w:tcW w:w="16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649</w:t>
            </w:r>
          </w:p>
        </w:tc>
        <w:tc>
          <w:tcPr>
            <w:tcW w:w="14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528</w:t>
            </w:r>
          </w:p>
        </w:tc>
        <w:tc>
          <w:tcPr>
            <w:tcW w:w="14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486</w:t>
            </w:r>
          </w:p>
        </w:tc>
        <w:tc>
          <w:tcPr>
            <w:tcW w:w="0" w:type="dxa"/>
            <w:vAlign w:val="bottom"/>
          </w:tcPr>
          <w:p>
            <w:pPr>
              <w:spacing w:after="0"/>
              <w:rPr>
                <w:sz w:val="1"/>
                <w:szCs w:val="1"/>
                <w:color w:val="auto"/>
              </w:rPr>
            </w:pPr>
          </w:p>
        </w:tc>
      </w:tr>
      <w:tr>
        <w:trPr>
          <w:trHeight w:val="128"/>
        </w:trPr>
        <w:tc>
          <w:tcPr>
            <w:tcW w:w="3100" w:type="dxa"/>
            <w:vAlign w:val="bottom"/>
            <w:tcBorders>
              <w:bottom w:val="single" w:sz="8" w:color="auto"/>
            </w:tcBorders>
          </w:tcPr>
          <w:p>
            <w:pPr>
              <w:ind w:left="40"/>
              <w:spacing w:after="0" w:line="129" w:lineRule="exact"/>
              <w:rPr>
                <w:sz w:val="20"/>
                <w:szCs w:val="20"/>
                <w:color w:val="auto"/>
              </w:rPr>
            </w:pPr>
            <w:r>
              <w:rPr>
                <w:rFonts w:ascii="Arial" w:cs="Arial" w:eastAsia="Arial" w:hAnsi="Arial"/>
                <w:sz w:val="13"/>
                <w:szCs w:val="13"/>
                <w:color w:val="auto"/>
              </w:rPr>
              <w:t>Total interest expense</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22,627</w:t>
            </w: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24,534</w:t>
            </w: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7,933</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7,532</w:t>
            </w: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7,162</w:t>
            </w:r>
          </w:p>
        </w:tc>
        <w:tc>
          <w:tcPr>
            <w:tcW w:w="1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7,784</w:t>
            </w:r>
          </w:p>
        </w:tc>
        <w:tc>
          <w:tcPr>
            <w:tcW w:w="1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8,136</w:t>
            </w:r>
          </w:p>
        </w:tc>
        <w:tc>
          <w:tcPr>
            <w:tcW w:w="0" w:type="dxa"/>
            <w:vAlign w:val="bottom"/>
          </w:tcPr>
          <w:p>
            <w:pPr>
              <w:spacing w:after="0"/>
              <w:rPr>
                <w:sz w:val="1"/>
                <w:szCs w:val="1"/>
                <w:color w:val="auto"/>
              </w:rPr>
            </w:pPr>
          </w:p>
        </w:tc>
      </w:tr>
      <w:tr>
        <w:trPr>
          <w:trHeight w:val="128"/>
        </w:trPr>
        <w:tc>
          <w:tcPr>
            <w:tcW w:w="3240" w:type="dxa"/>
            <w:vAlign w:val="bottom"/>
            <w:gridSpan w:val="2"/>
            <w:shd w:val="clear" w:color="auto" w:fill="CFF0FC"/>
          </w:tcPr>
          <w:p>
            <w:pPr>
              <w:ind w:left="60"/>
              <w:spacing w:after="0" w:line="129" w:lineRule="exact"/>
              <w:rPr>
                <w:sz w:val="20"/>
                <w:szCs w:val="20"/>
                <w:color w:val="auto"/>
              </w:rPr>
            </w:pPr>
            <w:r>
              <w:rPr>
                <w:rFonts w:ascii="Arial" w:cs="Arial" w:eastAsia="Arial" w:hAnsi="Arial"/>
                <w:sz w:val="13"/>
                <w:szCs w:val="13"/>
                <w:color w:val="auto"/>
              </w:rPr>
              <w:t>Net interest income</w:t>
            </w:r>
          </w:p>
        </w:tc>
        <w:tc>
          <w:tcPr>
            <w:tcW w:w="80" w:type="dxa"/>
            <w:vAlign w:val="bottom"/>
            <w:shd w:val="clear" w:color="auto" w:fill="CFF0FC"/>
          </w:tcPr>
          <w:p>
            <w:pPr>
              <w:spacing w:after="0"/>
              <w:rPr>
                <w:sz w:val="11"/>
                <w:szCs w:val="11"/>
                <w:color w:val="auto"/>
              </w:rPr>
            </w:pPr>
          </w:p>
        </w:tc>
        <w:tc>
          <w:tcPr>
            <w:tcW w:w="920" w:type="dxa"/>
            <w:vAlign w:val="bottom"/>
            <w:tcBorders>
              <w:right w:val="single" w:sz="8" w:color="CFF0FC"/>
            </w:tcBorders>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rPr>
              <w:t>31,587</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rPr>
              <w:t>33,825</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rPr>
              <w:t>10,711</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rPr>
              <w:t>10,536</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rPr>
              <w:t>10,340</w:t>
            </w: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rPr>
              <w:t>10,510</w:t>
            </w:r>
          </w:p>
        </w:tc>
        <w:tc>
          <w:tcPr>
            <w:tcW w:w="1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rPr>
              <w:t>11,600</w:t>
            </w:r>
          </w:p>
        </w:tc>
        <w:tc>
          <w:tcPr>
            <w:tcW w:w="0" w:type="dxa"/>
            <w:vAlign w:val="bottom"/>
          </w:tcPr>
          <w:p>
            <w:pPr>
              <w:spacing w:after="0"/>
              <w:rPr>
                <w:sz w:val="1"/>
                <w:szCs w:val="1"/>
                <w:color w:val="auto"/>
              </w:rPr>
            </w:pPr>
          </w:p>
        </w:tc>
      </w:tr>
      <w:tr>
        <w:trPr>
          <w:trHeight w:val="135"/>
        </w:trPr>
        <w:tc>
          <w:tcPr>
            <w:tcW w:w="3240" w:type="dxa"/>
            <w:vAlign w:val="bottom"/>
            <w:gridSpan w:val="2"/>
          </w:tcPr>
          <w:p>
            <w:pPr>
              <w:spacing w:after="0" w:line="135" w:lineRule="exact"/>
              <w:rPr>
                <w:sz w:val="20"/>
                <w:szCs w:val="20"/>
                <w:color w:val="auto"/>
              </w:rPr>
            </w:pPr>
            <w:r>
              <w:rPr>
                <w:rFonts w:ascii="Arial" w:cs="Arial" w:eastAsia="Arial" w:hAnsi="Arial"/>
                <w:sz w:val="13"/>
                <w:szCs w:val="13"/>
                <w:color w:val="auto"/>
              </w:rPr>
              <w:t>(Benefit from) provision for credit losses:</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rPr>
              <w:t>Loans</w:t>
            </w:r>
          </w:p>
        </w:tc>
        <w:tc>
          <w:tcPr>
            <w:tcW w:w="80" w:type="dxa"/>
            <w:vAlign w:val="bottom"/>
            <w:shd w:val="clear" w:color="auto" w:fill="CFF0FC"/>
          </w:tcPr>
          <w:p>
            <w:pPr>
              <w:spacing w:after="0"/>
              <w:rPr>
                <w:sz w:val="11"/>
                <w:szCs w:val="11"/>
                <w:color w:val="auto"/>
              </w:rPr>
            </w:pPr>
          </w:p>
        </w:tc>
        <w:tc>
          <w:tcPr>
            <w:tcW w:w="920" w:type="dxa"/>
            <w:vAlign w:val="bottom"/>
            <w:tcBorders>
              <w:right w:val="single" w:sz="8" w:color="CFF0FC"/>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(217)</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5,018</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151</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(182)</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17"/>
              <w:spacing w:after="0" w:line="135" w:lineRule="exact"/>
              <w:rPr>
                <w:sz w:val="20"/>
                <w:szCs w:val="20"/>
                <w:color w:val="auto"/>
              </w:rPr>
            </w:pPr>
            <w:r>
              <w:rPr>
                <w:rFonts w:ascii="Arial" w:cs="Arial" w:eastAsia="Arial" w:hAnsi="Arial"/>
                <w:sz w:val="13"/>
                <w:szCs w:val="13"/>
                <w:color w:val="auto"/>
              </w:rPr>
              <w:t>(186)</w:t>
            </w: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11,385</w:t>
            </w:r>
          </w:p>
        </w:tc>
        <w:tc>
          <w:tcPr>
            <w:tcW w:w="1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3,341</w:t>
            </w:r>
          </w:p>
        </w:tc>
        <w:tc>
          <w:tcPr>
            <w:tcW w:w="0" w:type="dxa"/>
            <w:vAlign w:val="bottom"/>
          </w:tcPr>
          <w:p>
            <w:pPr>
              <w:spacing w:after="0"/>
              <w:rPr>
                <w:sz w:val="1"/>
                <w:szCs w:val="1"/>
                <w:color w:val="auto"/>
              </w:rPr>
            </w:pPr>
          </w:p>
        </w:tc>
      </w:tr>
      <w:tr>
        <w:trPr>
          <w:trHeight w:val="135"/>
        </w:trPr>
        <w:tc>
          <w:tcPr>
            <w:tcW w:w="32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Held-to-maturity securities</w:t>
            </w:r>
          </w:p>
        </w:tc>
        <w:tc>
          <w:tcPr>
            <w:tcW w:w="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(22)</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(22)</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(86)</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100" w:type="dxa"/>
            <w:vAlign w:val="bottom"/>
            <w:tcBorders>
              <w:bottom w:val="single" w:sz="8" w:color="auto"/>
            </w:tcBorders>
            <w:shd w:val="clear" w:color="auto" w:fill="CFF0FC"/>
          </w:tcPr>
          <w:p>
            <w:pPr>
              <w:ind w:left="40"/>
              <w:spacing w:after="0" w:line="135" w:lineRule="exact"/>
              <w:rPr>
                <w:sz w:val="20"/>
                <w:szCs w:val="20"/>
                <w:color w:val="auto"/>
              </w:rPr>
            </w:pPr>
            <w:r>
              <w:rPr>
                <w:rFonts w:ascii="Arial" w:cs="Arial" w:eastAsia="Arial" w:hAnsi="Arial"/>
                <w:sz w:val="13"/>
                <w:szCs w:val="13"/>
                <w:color w:val="auto"/>
              </w:rPr>
              <w:t>Unfunded commitments</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right w:val="single" w:sz="8" w:color="CFF0FC"/>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147</w:t>
            </w:r>
          </w:p>
        </w:tc>
        <w:tc>
          <w:tcPr>
            <w:tcW w:w="16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125</w:t>
            </w:r>
          </w:p>
        </w:tc>
        <w:tc>
          <w:tcPr>
            <w:tcW w:w="16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80</w:t>
            </w:r>
          </w:p>
        </w:tc>
        <w:tc>
          <w:tcPr>
            <w:tcW w:w="16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49</w:t>
            </w:r>
          </w:p>
        </w:tc>
        <w:tc>
          <w:tcPr>
            <w:tcW w:w="16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18</w:t>
            </w:r>
          </w:p>
        </w:tc>
        <w:tc>
          <w:tcPr>
            <w:tcW w:w="14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17"/>
              <w:spacing w:after="0" w:line="135" w:lineRule="exact"/>
              <w:rPr>
                <w:sz w:val="20"/>
                <w:szCs w:val="20"/>
                <w:color w:val="auto"/>
              </w:rPr>
            </w:pPr>
            <w:r>
              <w:rPr>
                <w:rFonts w:ascii="Arial" w:cs="Arial" w:eastAsia="Arial" w:hAnsi="Arial"/>
                <w:sz w:val="13"/>
                <w:szCs w:val="13"/>
                <w:color w:val="auto"/>
              </w:rPr>
              <w:t>(105)</w:t>
            </w:r>
          </w:p>
        </w:tc>
        <w:tc>
          <w:tcPr>
            <w:tcW w:w="14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28"/>
        </w:trPr>
        <w:tc>
          <w:tcPr>
            <w:tcW w:w="3100" w:type="dxa"/>
            <w:vAlign w:val="bottom"/>
            <w:tcBorders>
              <w:bottom w:val="single" w:sz="8" w:color="auto"/>
            </w:tcBorders>
          </w:tcPr>
          <w:p>
            <w:pPr>
              <w:ind w:left="40"/>
              <w:spacing w:after="0" w:line="129" w:lineRule="exact"/>
              <w:rPr>
                <w:sz w:val="20"/>
                <w:szCs w:val="20"/>
                <w:color w:val="auto"/>
              </w:rPr>
            </w:pPr>
            <w:r>
              <w:rPr>
                <w:rFonts w:ascii="Arial" w:cs="Arial" w:eastAsia="Arial" w:hAnsi="Arial"/>
                <w:sz w:val="13"/>
                <w:szCs w:val="13"/>
                <w:color w:val="auto"/>
              </w:rPr>
              <w:t>Total (benefit from) provision for credit losses, net</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(92)</w:t>
            </w: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5,148</w:t>
            </w: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231</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(155)</w:t>
            </w: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(168)</w:t>
            </w:r>
          </w:p>
        </w:tc>
        <w:tc>
          <w:tcPr>
            <w:tcW w:w="1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11,194</w:t>
            </w:r>
          </w:p>
        </w:tc>
        <w:tc>
          <w:tcPr>
            <w:tcW w:w="1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3,494</w:t>
            </w:r>
          </w:p>
        </w:tc>
        <w:tc>
          <w:tcPr>
            <w:tcW w:w="0" w:type="dxa"/>
            <w:vAlign w:val="bottom"/>
          </w:tcPr>
          <w:p>
            <w:pPr>
              <w:spacing w:after="0"/>
              <w:rPr>
                <w:sz w:val="1"/>
                <w:szCs w:val="1"/>
                <w:color w:val="auto"/>
              </w:rPr>
            </w:pPr>
          </w:p>
        </w:tc>
      </w:tr>
      <w:tr>
        <w:trPr>
          <w:trHeight w:val="111"/>
        </w:trPr>
        <w:tc>
          <w:tcPr>
            <w:tcW w:w="3240" w:type="dxa"/>
            <w:vAlign w:val="bottom"/>
            <w:gridSpan w:val="2"/>
            <w:shd w:val="clear" w:color="auto" w:fill="CFF0FC"/>
          </w:tcPr>
          <w:p>
            <w:pPr>
              <w:ind w:left="60"/>
              <w:spacing w:after="0" w:line="111" w:lineRule="exact"/>
              <w:rPr>
                <w:sz w:val="20"/>
                <w:szCs w:val="20"/>
                <w:color w:val="auto"/>
              </w:rPr>
            </w:pPr>
            <w:r>
              <w:rPr>
                <w:rFonts w:ascii="Arial" w:cs="Arial" w:eastAsia="Arial" w:hAnsi="Arial"/>
                <w:sz w:val="12"/>
                <w:szCs w:val="12"/>
                <w:color w:val="auto"/>
              </w:rPr>
              <w:t>Net interest income after provision for (benefit from)</w:t>
            </w:r>
          </w:p>
        </w:tc>
        <w:tc>
          <w:tcPr>
            <w:tcW w:w="80" w:type="dxa"/>
            <w:vAlign w:val="bottom"/>
            <w:shd w:val="clear" w:color="auto" w:fill="CFF0FC"/>
          </w:tcPr>
          <w:p>
            <w:pPr>
              <w:spacing w:after="0"/>
              <w:rPr>
                <w:sz w:val="9"/>
                <w:szCs w:val="9"/>
                <w:color w:val="auto"/>
              </w:rPr>
            </w:pPr>
          </w:p>
        </w:tc>
        <w:tc>
          <w:tcPr>
            <w:tcW w:w="92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1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3"/>
                <w:szCs w:val="13"/>
                <w:color w:val="auto"/>
              </w:rPr>
              <w:t>credit losses</w:t>
            </w: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31,679</w:t>
            </w:r>
          </w:p>
        </w:tc>
        <w:tc>
          <w:tcPr>
            <w:tcW w:w="16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28,677</w:t>
            </w:r>
          </w:p>
        </w:tc>
        <w:tc>
          <w:tcPr>
            <w:tcW w:w="16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10,480</w:t>
            </w:r>
          </w:p>
        </w:tc>
        <w:tc>
          <w:tcPr>
            <w:tcW w:w="16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10,691</w:t>
            </w:r>
          </w:p>
        </w:tc>
        <w:tc>
          <w:tcPr>
            <w:tcW w:w="16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10,508</w:t>
            </w:r>
          </w:p>
        </w:tc>
        <w:tc>
          <w:tcPr>
            <w:tcW w:w="14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(684)</w:t>
            </w:r>
          </w:p>
        </w:tc>
        <w:tc>
          <w:tcPr>
            <w:tcW w:w="14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8,106</w:t>
            </w:r>
          </w:p>
        </w:tc>
        <w:tc>
          <w:tcPr>
            <w:tcW w:w="0" w:type="dxa"/>
            <w:vAlign w:val="bottom"/>
          </w:tcPr>
          <w:p>
            <w:pPr>
              <w:spacing w:after="0"/>
              <w:rPr>
                <w:sz w:val="1"/>
                <w:szCs w:val="1"/>
                <w:color w:val="auto"/>
              </w:rPr>
            </w:pPr>
          </w:p>
        </w:tc>
      </w:tr>
      <w:tr>
        <w:trPr>
          <w:trHeight w:val="128"/>
        </w:trPr>
        <w:tc>
          <w:tcPr>
            <w:tcW w:w="3240" w:type="dxa"/>
            <w:vAlign w:val="bottom"/>
            <w:gridSpan w:val="2"/>
          </w:tcPr>
          <w:p>
            <w:pPr>
              <w:spacing w:after="0" w:line="129" w:lineRule="exact"/>
              <w:rPr>
                <w:sz w:val="20"/>
                <w:szCs w:val="20"/>
                <w:color w:val="auto"/>
              </w:rPr>
            </w:pPr>
            <w:r>
              <w:rPr>
                <w:rFonts w:ascii="Arial" w:cs="Arial" w:eastAsia="Arial" w:hAnsi="Arial"/>
                <w:sz w:val="13"/>
                <w:szCs w:val="13"/>
                <w:color w:val="auto"/>
              </w:rPr>
              <w:t>Noninterest income:</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Service charges on deposit accounts</w:t>
            </w:r>
          </w:p>
        </w:tc>
        <w:tc>
          <w:tcPr>
            <w:tcW w:w="80" w:type="dxa"/>
            <w:vAlign w:val="bottom"/>
            <w:shd w:val="clear" w:color="auto" w:fill="CFF0FC"/>
          </w:tcPr>
          <w:p>
            <w:pPr>
              <w:spacing w:after="0"/>
              <w:rPr>
                <w:sz w:val="11"/>
                <w:szCs w:val="11"/>
                <w:color w:val="auto"/>
              </w:rPr>
            </w:pPr>
          </w:p>
        </w:tc>
        <w:tc>
          <w:tcPr>
            <w:tcW w:w="920" w:type="dxa"/>
            <w:vAlign w:val="bottom"/>
            <w:tcBorders>
              <w:right w:val="single" w:sz="8" w:color="CFF0FC"/>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1,148</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1,158</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391</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381</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376</w:t>
            </w: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381</w:t>
            </w:r>
          </w:p>
        </w:tc>
        <w:tc>
          <w:tcPr>
            <w:tcW w:w="1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404</w:t>
            </w:r>
          </w:p>
        </w:tc>
        <w:tc>
          <w:tcPr>
            <w:tcW w:w="0" w:type="dxa"/>
            <w:vAlign w:val="bottom"/>
          </w:tcPr>
          <w:p>
            <w:pPr>
              <w:spacing w:after="0"/>
              <w:rPr>
                <w:sz w:val="1"/>
                <w:szCs w:val="1"/>
                <w:color w:val="auto"/>
              </w:rPr>
            </w:pPr>
          </w:p>
        </w:tc>
      </w:tr>
      <w:tr>
        <w:trPr>
          <w:trHeight w:val="135"/>
        </w:trPr>
        <w:tc>
          <w:tcPr>
            <w:tcW w:w="3240" w:type="dxa"/>
            <w:vAlign w:val="bottom"/>
            <w:gridSpan w:val="2"/>
          </w:tcPr>
          <w:p>
            <w:pPr>
              <w:spacing w:after="0" w:line="135" w:lineRule="exact"/>
              <w:rPr>
                <w:sz w:val="20"/>
                <w:szCs w:val="20"/>
                <w:color w:val="auto"/>
              </w:rPr>
            </w:pPr>
            <w:r>
              <w:rPr>
                <w:rFonts w:ascii="Arial" w:cs="Arial" w:eastAsia="Arial" w:hAnsi="Arial"/>
                <w:sz w:val="13"/>
                <w:szCs w:val="13"/>
                <w:color w:val="auto"/>
              </w:rPr>
              <w:t>Earnings and gain on bank owned life insurance</w:t>
            </w:r>
          </w:p>
        </w:tc>
        <w:tc>
          <w:tcPr>
            <w:tcW w:w="8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867</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604</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281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330</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256</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230</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286</w:t>
            </w:r>
          </w:p>
        </w:tc>
        <w:tc>
          <w:tcPr>
            <w:tcW w:w="0" w:type="dxa"/>
            <w:vAlign w:val="bottom"/>
          </w:tcPr>
          <w:p>
            <w:pPr>
              <w:spacing w:after="0"/>
              <w:rPr>
                <w:sz w:val="1"/>
                <w:szCs w:val="1"/>
                <w:color w:val="auto"/>
              </w:rPr>
            </w:pPr>
          </w:p>
        </w:tc>
      </w:tr>
      <w:tr>
        <w:trPr>
          <w:trHeight w:val="135"/>
        </w:trPr>
        <w:tc>
          <w:tcPr>
            <w:tcW w:w="324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Loan servicing fees</w:t>
            </w:r>
          </w:p>
        </w:tc>
        <w:tc>
          <w:tcPr>
            <w:tcW w:w="80" w:type="dxa"/>
            <w:vAlign w:val="bottom"/>
            <w:shd w:val="clear" w:color="auto" w:fill="CFF0FC"/>
          </w:tcPr>
          <w:p>
            <w:pPr>
              <w:spacing w:after="0"/>
              <w:rPr>
                <w:sz w:val="11"/>
                <w:szCs w:val="11"/>
                <w:color w:val="auto"/>
              </w:rPr>
            </w:pPr>
          </w:p>
        </w:tc>
        <w:tc>
          <w:tcPr>
            <w:tcW w:w="920" w:type="dxa"/>
            <w:vAlign w:val="bottom"/>
            <w:tcBorders>
              <w:right w:val="single" w:sz="8" w:color="CFF0FC"/>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221</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311</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64</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68</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89</w:t>
            </w: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75</w:t>
            </w:r>
          </w:p>
        </w:tc>
        <w:tc>
          <w:tcPr>
            <w:tcW w:w="1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117"/>
        </w:trPr>
        <w:tc>
          <w:tcPr>
            <w:tcW w:w="3240" w:type="dxa"/>
            <w:vAlign w:val="bottom"/>
            <w:gridSpan w:val="2"/>
          </w:tcPr>
          <w:p>
            <w:pPr>
              <w:spacing w:after="0" w:line="117" w:lineRule="exact"/>
              <w:rPr>
                <w:sz w:val="20"/>
                <w:szCs w:val="20"/>
                <w:color w:val="auto"/>
              </w:rPr>
            </w:pPr>
            <w:r>
              <w:rPr>
                <w:rFonts w:ascii="Arial" w:cs="Arial" w:eastAsia="Arial" w:hAnsi="Arial"/>
                <w:sz w:val="13"/>
                <w:szCs w:val="13"/>
                <w:color w:val="auto"/>
              </w:rPr>
              <w:t>Net realized gain (loss) on sales and redemptions of</w:t>
            </w: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240" w:type="dxa"/>
            <w:vAlign w:val="bottom"/>
            <w:gridSpan w:val="2"/>
          </w:tcPr>
          <w:p>
            <w:pPr>
              <w:spacing w:after="0"/>
              <w:rPr>
                <w:sz w:val="20"/>
                <w:szCs w:val="20"/>
                <w:color w:val="auto"/>
              </w:rPr>
            </w:pPr>
            <w:r>
              <w:rPr>
                <w:rFonts w:ascii="Arial" w:cs="Arial" w:eastAsia="Arial" w:hAnsi="Arial"/>
                <w:sz w:val="13"/>
                <w:szCs w:val="13"/>
                <w:color w:val="auto"/>
              </w:rPr>
              <w:t>investment securities</w:t>
            </w:r>
          </w:p>
        </w:tc>
        <w:tc>
          <w:tcPr>
            <w:tcW w:w="8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34</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39</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35"/>
        </w:trPr>
        <w:tc>
          <w:tcPr>
            <w:tcW w:w="324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Loss on asset sale</w:t>
            </w:r>
          </w:p>
        </w:tc>
        <w:tc>
          <w:tcPr>
            <w:tcW w:w="80" w:type="dxa"/>
            <w:vAlign w:val="bottom"/>
            <w:shd w:val="clear" w:color="auto" w:fill="CFF0FC"/>
          </w:tcPr>
          <w:p>
            <w:pPr>
              <w:spacing w:after="0"/>
              <w:rPr>
                <w:sz w:val="11"/>
                <w:szCs w:val="11"/>
                <w:color w:val="auto"/>
              </w:rPr>
            </w:pPr>
          </w:p>
        </w:tc>
        <w:tc>
          <w:tcPr>
            <w:tcW w:w="920" w:type="dxa"/>
            <w:vAlign w:val="bottom"/>
            <w:tcBorders>
              <w:right w:val="single" w:sz="8" w:color="CFF0FC"/>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17"/>
              <w:spacing w:after="0" w:line="135" w:lineRule="exact"/>
              <w:rPr>
                <w:sz w:val="20"/>
                <w:szCs w:val="20"/>
                <w:color w:val="auto"/>
              </w:rPr>
            </w:pPr>
            <w:r>
              <w:rPr>
                <w:rFonts w:ascii="Arial" w:cs="Arial" w:eastAsia="Arial" w:hAnsi="Arial"/>
                <w:sz w:val="13"/>
                <w:szCs w:val="13"/>
                <w:color w:val="auto"/>
              </w:rPr>
              <w:t>(115)</w:t>
            </w:r>
          </w:p>
        </w:tc>
        <w:tc>
          <w:tcPr>
            <w:tcW w:w="1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3240" w:type="dxa"/>
            <w:vAlign w:val="bottom"/>
            <w:gridSpan w:val="2"/>
          </w:tcPr>
          <w:p>
            <w:pPr>
              <w:spacing w:after="0" w:line="117" w:lineRule="exact"/>
              <w:rPr>
                <w:sz w:val="20"/>
                <w:szCs w:val="20"/>
                <w:color w:val="auto"/>
              </w:rPr>
            </w:pPr>
            <w:r>
              <w:rPr>
                <w:rFonts w:ascii="Arial" w:cs="Arial" w:eastAsia="Arial" w:hAnsi="Arial"/>
                <w:sz w:val="13"/>
                <w:szCs w:val="13"/>
                <w:color w:val="auto"/>
              </w:rPr>
              <w:t>Net unrealized gain (loss) on marketable equity</w:t>
            </w: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240" w:type="dxa"/>
            <w:vAlign w:val="bottom"/>
            <w:gridSpan w:val="2"/>
          </w:tcPr>
          <w:p>
            <w:pPr>
              <w:spacing w:after="0"/>
              <w:rPr>
                <w:sz w:val="20"/>
                <w:szCs w:val="20"/>
                <w:color w:val="auto"/>
              </w:rPr>
            </w:pPr>
            <w:r>
              <w:rPr>
                <w:rFonts w:ascii="Arial" w:cs="Arial" w:eastAsia="Arial" w:hAnsi="Arial"/>
                <w:sz w:val="13"/>
                <w:szCs w:val="13"/>
                <w:color w:val="auto"/>
              </w:rPr>
              <w:t>securities</w:t>
            </w:r>
          </w:p>
        </w:tc>
        <w:tc>
          <w:tcPr>
            <w:tcW w:w="8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95</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783</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72</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(53)</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76</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667</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135"/>
        </w:trPr>
        <w:tc>
          <w:tcPr>
            <w:tcW w:w="324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Gain on sales of loans and foreclosed real estate</w:t>
            </w:r>
          </w:p>
        </w:tc>
        <w:tc>
          <w:tcPr>
            <w:tcW w:w="80" w:type="dxa"/>
            <w:vAlign w:val="bottom"/>
            <w:shd w:val="clear" w:color="auto" w:fill="CFF0FC"/>
          </w:tcPr>
          <w:p>
            <w:pPr>
              <w:spacing w:after="0"/>
              <w:rPr>
                <w:sz w:val="11"/>
                <w:szCs w:val="11"/>
                <w:color w:val="auto"/>
              </w:rPr>
            </w:pPr>
          </w:p>
        </w:tc>
        <w:tc>
          <w:tcPr>
            <w:tcW w:w="920" w:type="dxa"/>
            <w:vAlign w:val="bottom"/>
            <w:tcBorders>
              <w:right w:val="single" w:sz="8" w:color="CFF0FC"/>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377</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269</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96</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95</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186</w:t>
            </w: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133</w:t>
            </w:r>
          </w:p>
        </w:tc>
        <w:tc>
          <w:tcPr>
            <w:tcW w:w="1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35"/>
        </w:trPr>
        <w:tc>
          <w:tcPr>
            <w:tcW w:w="324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Fair value adjustment to loans held-for-sale </w:t>
            </w:r>
            <w:r>
              <w:rPr>
                <w:rFonts w:ascii="Arial" w:cs="Arial" w:eastAsia="Arial" w:hAnsi="Arial"/>
                <w:sz w:val="15"/>
                <w:szCs w:val="15"/>
                <w:color w:val="auto"/>
                <w:vertAlign w:val="superscript"/>
              </w:rPr>
              <w:t>1</w:t>
            </w:r>
          </w:p>
        </w:tc>
        <w:tc>
          <w:tcPr>
            <w:tcW w:w="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(203)</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(3,064)</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(203)</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(398)</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24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Loss on sale of premises and equipment</w:t>
            </w:r>
          </w:p>
        </w:tc>
        <w:tc>
          <w:tcPr>
            <w:tcW w:w="80" w:type="dxa"/>
            <w:vAlign w:val="bottom"/>
            <w:shd w:val="clear" w:color="auto" w:fill="CFF0FC"/>
          </w:tcPr>
          <w:p>
            <w:pPr>
              <w:spacing w:after="0"/>
              <w:rPr>
                <w:sz w:val="11"/>
                <w:szCs w:val="11"/>
                <w:color w:val="auto"/>
              </w:rPr>
            </w:pPr>
          </w:p>
        </w:tc>
        <w:tc>
          <w:tcPr>
            <w:tcW w:w="920" w:type="dxa"/>
            <w:vAlign w:val="bottom"/>
            <w:tcBorders>
              <w:right w:val="single" w:sz="8" w:color="CFF0FC"/>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17"/>
              <w:spacing w:after="0" w:line="135" w:lineRule="exact"/>
              <w:rPr>
                <w:sz w:val="20"/>
                <w:szCs w:val="20"/>
                <w:color w:val="auto"/>
              </w:rPr>
            </w:pPr>
            <w:r>
              <w:rPr>
                <w:rFonts w:ascii="Arial" w:cs="Arial" w:eastAsia="Arial" w:hAnsi="Arial"/>
                <w:sz w:val="13"/>
                <w:szCs w:val="13"/>
                <w:color w:val="auto"/>
              </w:rPr>
              <w:t>(37)</w:t>
            </w:r>
          </w:p>
        </w:tc>
        <w:tc>
          <w:tcPr>
            <w:tcW w:w="1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240" w:type="dxa"/>
            <w:vAlign w:val="bottom"/>
            <w:gridSpan w:val="2"/>
          </w:tcPr>
          <w:p>
            <w:pPr>
              <w:spacing w:after="0" w:line="135" w:lineRule="exact"/>
              <w:rPr>
                <w:sz w:val="20"/>
                <w:szCs w:val="20"/>
                <w:color w:val="auto"/>
              </w:rPr>
            </w:pPr>
            <w:r>
              <w:rPr>
                <w:rFonts w:ascii="Arial" w:cs="Arial" w:eastAsia="Arial" w:hAnsi="Arial"/>
                <w:sz w:val="13"/>
                <w:szCs w:val="13"/>
                <w:color w:val="auto"/>
              </w:rPr>
              <w:t>Debit card interchange fees</w:t>
            </w:r>
          </w:p>
        </w:tc>
        <w:tc>
          <w:tcPr>
            <w:tcW w:w="8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526</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398</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199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188</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139</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112</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217</w:t>
            </w:r>
          </w:p>
        </w:tc>
        <w:tc>
          <w:tcPr>
            <w:tcW w:w="0" w:type="dxa"/>
            <w:vAlign w:val="bottom"/>
          </w:tcPr>
          <w:p>
            <w:pPr>
              <w:spacing w:after="0"/>
              <w:rPr>
                <w:sz w:val="1"/>
                <w:szCs w:val="1"/>
                <w:color w:val="auto"/>
              </w:rPr>
            </w:pPr>
          </w:p>
        </w:tc>
      </w:tr>
      <w:tr>
        <w:trPr>
          <w:trHeight w:val="135"/>
        </w:trPr>
        <w:tc>
          <w:tcPr>
            <w:tcW w:w="3100" w:type="dxa"/>
            <w:vAlign w:val="bottom"/>
            <w:tcBorders>
              <w:bottom w:val="single" w:sz="8" w:color="auto"/>
            </w:tcBorders>
            <w:shd w:val="clear" w:color="auto" w:fill="CFF0FC"/>
          </w:tcPr>
          <w:p>
            <w:pPr>
              <w:spacing w:after="0" w:line="135" w:lineRule="exact"/>
              <w:rPr>
                <w:sz w:val="20"/>
                <w:szCs w:val="20"/>
                <w:color w:val="auto"/>
              </w:rPr>
            </w:pPr>
            <w:r>
              <w:rPr>
                <w:rFonts w:ascii="Arial" w:cs="Arial" w:eastAsia="Arial" w:hAnsi="Arial"/>
                <w:sz w:val="13"/>
                <w:szCs w:val="13"/>
                <w:color w:val="auto"/>
              </w:rPr>
              <w:t>Other charges, commissions &amp; fees</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right w:val="single" w:sz="8" w:color="CFF0FC"/>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683</w:t>
            </w:r>
          </w:p>
        </w:tc>
        <w:tc>
          <w:tcPr>
            <w:tcW w:w="16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743</w:t>
            </w:r>
          </w:p>
        </w:tc>
        <w:tc>
          <w:tcPr>
            <w:tcW w:w="16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255</w:t>
            </w:r>
          </w:p>
        </w:tc>
        <w:tc>
          <w:tcPr>
            <w:tcW w:w="16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215</w:t>
            </w:r>
          </w:p>
        </w:tc>
        <w:tc>
          <w:tcPr>
            <w:tcW w:w="16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213</w:t>
            </w:r>
          </w:p>
        </w:tc>
        <w:tc>
          <w:tcPr>
            <w:tcW w:w="14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268</w:t>
            </w:r>
          </w:p>
        </w:tc>
        <w:tc>
          <w:tcPr>
            <w:tcW w:w="14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229</w:t>
            </w:r>
          </w:p>
        </w:tc>
        <w:tc>
          <w:tcPr>
            <w:tcW w:w="0" w:type="dxa"/>
            <w:vAlign w:val="bottom"/>
          </w:tcPr>
          <w:p>
            <w:pPr>
              <w:spacing w:after="0"/>
              <w:rPr>
                <w:sz w:val="1"/>
                <w:szCs w:val="1"/>
                <w:color w:val="auto"/>
              </w:rPr>
            </w:pPr>
          </w:p>
        </w:tc>
      </w:tr>
      <w:tr>
        <w:trPr>
          <w:trHeight w:val="128"/>
        </w:trPr>
        <w:tc>
          <w:tcPr>
            <w:tcW w:w="3100" w:type="dxa"/>
            <w:vAlign w:val="bottom"/>
            <w:tcBorders>
              <w:bottom w:val="single" w:sz="8" w:color="auto"/>
            </w:tcBorders>
          </w:tcPr>
          <w:p>
            <w:pPr>
              <w:ind w:left="60"/>
              <w:spacing w:after="0" w:line="129" w:lineRule="exact"/>
              <w:rPr>
                <w:sz w:val="20"/>
                <w:szCs w:val="20"/>
                <w:color w:val="auto"/>
              </w:rPr>
            </w:pPr>
            <w:r>
              <w:rPr>
                <w:rFonts w:ascii="Arial" w:cs="Arial" w:eastAsia="Arial" w:hAnsi="Arial"/>
                <w:sz w:val="13"/>
                <w:szCs w:val="13"/>
                <w:color w:val="auto"/>
              </w:rPr>
              <w:t>Total noninterest income</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3,748</w:t>
            </w: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1,182</w:t>
            </w: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1,397</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1,224</w:t>
            </w: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1,127</w:t>
            </w:r>
          </w:p>
        </w:tc>
        <w:tc>
          <w:tcPr>
            <w:tcW w:w="1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1,313</w:t>
            </w:r>
          </w:p>
        </w:tc>
        <w:tc>
          <w:tcPr>
            <w:tcW w:w="1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1,503</w:t>
            </w:r>
          </w:p>
        </w:tc>
        <w:tc>
          <w:tcPr>
            <w:tcW w:w="0" w:type="dxa"/>
            <w:vAlign w:val="bottom"/>
          </w:tcPr>
          <w:p>
            <w:pPr>
              <w:spacing w:after="0"/>
              <w:rPr>
                <w:sz w:val="1"/>
                <w:szCs w:val="1"/>
                <w:color w:val="auto"/>
              </w:rPr>
            </w:pPr>
          </w:p>
        </w:tc>
      </w:tr>
      <w:tr>
        <w:trPr>
          <w:trHeight w:val="129"/>
        </w:trPr>
        <w:tc>
          <w:tcPr>
            <w:tcW w:w="3240" w:type="dxa"/>
            <w:vAlign w:val="bottom"/>
            <w:gridSpan w:val="2"/>
            <w:shd w:val="clear" w:color="auto" w:fill="CFF0FC"/>
          </w:tcPr>
          <w:p>
            <w:pPr>
              <w:spacing w:after="0" w:line="129" w:lineRule="exact"/>
              <w:rPr>
                <w:sz w:val="20"/>
                <w:szCs w:val="20"/>
                <w:color w:val="auto"/>
              </w:rPr>
            </w:pPr>
            <w:r>
              <w:rPr>
                <w:rFonts w:ascii="Arial" w:cs="Arial" w:eastAsia="Arial" w:hAnsi="Arial"/>
                <w:sz w:val="13"/>
                <w:szCs w:val="13"/>
                <w:color w:val="auto"/>
              </w:rPr>
              <w:t>Noninterest expense:</w:t>
            </w:r>
          </w:p>
        </w:tc>
        <w:tc>
          <w:tcPr>
            <w:tcW w:w="80" w:type="dxa"/>
            <w:vAlign w:val="bottom"/>
            <w:shd w:val="clear" w:color="auto" w:fill="CFF0FC"/>
          </w:tcPr>
          <w:p>
            <w:pPr>
              <w:spacing w:after="0"/>
              <w:rPr>
                <w:sz w:val="11"/>
                <w:szCs w:val="11"/>
                <w:color w:val="auto"/>
              </w:rPr>
            </w:pPr>
          </w:p>
        </w:tc>
        <w:tc>
          <w:tcPr>
            <w:tcW w:w="9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gridSpan w:val="2"/>
          </w:tcPr>
          <w:p>
            <w:pPr>
              <w:spacing w:after="0" w:line="135" w:lineRule="exact"/>
              <w:rPr>
                <w:sz w:val="20"/>
                <w:szCs w:val="20"/>
                <w:color w:val="auto"/>
              </w:rPr>
            </w:pPr>
            <w:r>
              <w:rPr>
                <w:rFonts w:ascii="Arial" w:cs="Arial" w:eastAsia="Arial" w:hAnsi="Arial"/>
                <w:sz w:val="13"/>
                <w:szCs w:val="13"/>
                <w:color w:val="auto"/>
              </w:rPr>
              <w:t>Salaries and employee benefits</w:t>
            </w:r>
          </w:p>
        </w:tc>
        <w:tc>
          <w:tcPr>
            <w:tcW w:w="8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15,121</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13,980</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5,611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4,653</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4,857</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4,924</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5,005</w:t>
            </w:r>
          </w:p>
        </w:tc>
        <w:tc>
          <w:tcPr>
            <w:tcW w:w="0" w:type="dxa"/>
            <w:vAlign w:val="bottom"/>
          </w:tcPr>
          <w:p>
            <w:pPr>
              <w:spacing w:after="0"/>
              <w:rPr>
                <w:sz w:val="1"/>
                <w:szCs w:val="1"/>
                <w:color w:val="auto"/>
              </w:rPr>
            </w:pPr>
          </w:p>
        </w:tc>
      </w:tr>
      <w:tr>
        <w:trPr>
          <w:trHeight w:val="135"/>
        </w:trPr>
        <w:tc>
          <w:tcPr>
            <w:tcW w:w="324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Building and occupancy</w:t>
            </w:r>
          </w:p>
        </w:tc>
        <w:tc>
          <w:tcPr>
            <w:tcW w:w="80" w:type="dxa"/>
            <w:vAlign w:val="bottom"/>
            <w:shd w:val="clear" w:color="auto" w:fill="CFF0FC"/>
          </w:tcPr>
          <w:p>
            <w:pPr>
              <w:spacing w:after="0"/>
              <w:rPr>
                <w:sz w:val="11"/>
                <w:szCs w:val="11"/>
                <w:color w:val="auto"/>
              </w:rPr>
            </w:pPr>
          </w:p>
        </w:tc>
        <w:tc>
          <w:tcPr>
            <w:tcW w:w="920" w:type="dxa"/>
            <w:vAlign w:val="bottom"/>
            <w:tcBorders>
              <w:right w:val="single" w:sz="8" w:color="CFF0FC"/>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4,058</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3,976</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1,351</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1,380</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1,327</w:t>
            </w: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1,337</w:t>
            </w:r>
          </w:p>
        </w:tc>
        <w:tc>
          <w:tcPr>
            <w:tcW w:w="1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1,399</w:t>
            </w:r>
          </w:p>
        </w:tc>
        <w:tc>
          <w:tcPr>
            <w:tcW w:w="0" w:type="dxa"/>
            <w:vAlign w:val="bottom"/>
          </w:tcPr>
          <w:p>
            <w:pPr>
              <w:spacing w:after="0"/>
              <w:rPr>
                <w:sz w:val="1"/>
                <w:szCs w:val="1"/>
                <w:color w:val="auto"/>
              </w:rPr>
            </w:pPr>
          </w:p>
        </w:tc>
      </w:tr>
      <w:tr>
        <w:trPr>
          <w:trHeight w:val="135"/>
        </w:trPr>
        <w:tc>
          <w:tcPr>
            <w:tcW w:w="3240" w:type="dxa"/>
            <w:vAlign w:val="bottom"/>
            <w:gridSpan w:val="2"/>
          </w:tcPr>
          <w:p>
            <w:pPr>
              <w:spacing w:after="0" w:line="135" w:lineRule="exact"/>
              <w:rPr>
                <w:sz w:val="20"/>
                <w:szCs w:val="20"/>
                <w:color w:val="auto"/>
              </w:rPr>
            </w:pPr>
            <w:r>
              <w:rPr>
                <w:rFonts w:ascii="Arial" w:cs="Arial" w:eastAsia="Arial" w:hAnsi="Arial"/>
                <w:sz w:val="13"/>
                <w:szCs w:val="13"/>
                <w:color w:val="auto"/>
              </w:rPr>
              <w:t>Data processing</w:t>
            </w:r>
          </w:p>
        </w:tc>
        <w:tc>
          <w:tcPr>
            <w:tcW w:w="8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2,212</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1,974</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705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774</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733</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698</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641</w:t>
            </w:r>
          </w:p>
        </w:tc>
        <w:tc>
          <w:tcPr>
            <w:tcW w:w="0" w:type="dxa"/>
            <w:vAlign w:val="bottom"/>
          </w:tcPr>
          <w:p>
            <w:pPr>
              <w:spacing w:after="0"/>
              <w:rPr>
                <w:sz w:val="1"/>
                <w:szCs w:val="1"/>
                <w:color w:val="auto"/>
              </w:rPr>
            </w:pPr>
          </w:p>
        </w:tc>
      </w:tr>
      <w:tr>
        <w:trPr>
          <w:trHeight w:val="135"/>
        </w:trPr>
        <w:tc>
          <w:tcPr>
            <w:tcW w:w="324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Professional and other services</w:t>
            </w:r>
          </w:p>
        </w:tc>
        <w:tc>
          <w:tcPr>
            <w:tcW w:w="80" w:type="dxa"/>
            <w:vAlign w:val="bottom"/>
            <w:shd w:val="clear" w:color="auto" w:fill="CFF0FC"/>
          </w:tcPr>
          <w:p>
            <w:pPr>
              <w:spacing w:after="0"/>
              <w:rPr>
                <w:sz w:val="11"/>
                <w:szCs w:val="11"/>
                <w:color w:val="auto"/>
              </w:rPr>
            </w:pPr>
          </w:p>
        </w:tc>
        <w:tc>
          <w:tcPr>
            <w:tcW w:w="920" w:type="dxa"/>
            <w:vAlign w:val="bottom"/>
            <w:tcBorders>
              <w:right w:val="single" w:sz="8" w:color="CFF0FC"/>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1,925</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2,093</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617</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628</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680</w:t>
            </w: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657</w:t>
            </w:r>
          </w:p>
        </w:tc>
        <w:tc>
          <w:tcPr>
            <w:tcW w:w="1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709</w:t>
            </w:r>
          </w:p>
        </w:tc>
        <w:tc>
          <w:tcPr>
            <w:tcW w:w="0" w:type="dxa"/>
            <w:vAlign w:val="bottom"/>
          </w:tcPr>
          <w:p>
            <w:pPr>
              <w:spacing w:after="0"/>
              <w:rPr>
                <w:sz w:val="1"/>
                <w:szCs w:val="1"/>
                <w:color w:val="auto"/>
              </w:rPr>
            </w:pPr>
          </w:p>
        </w:tc>
      </w:tr>
      <w:tr>
        <w:trPr>
          <w:trHeight w:val="135"/>
        </w:trPr>
        <w:tc>
          <w:tcPr>
            <w:tcW w:w="3240" w:type="dxa"/>
            <w:vAlign w:val="bottom"/>
            <w:gridSpan w:val="2"/>
          </w:tcPr>
          <w:p>
            <w:pPr>
              <w:spacing w:after="0" w:line="135" w:lineRule="exact"/>
              <w:rPr>
                <w:sz w:val="20"/>
                <w:szCs w:val="20"/>
                <w:color w:val="auto"/>
              </w:rPr>
            </w:pPr>
            <w:r>
              <w:rPr>
                <w:rFonts w:ascii="Arial" w:cs="Arial" w:eastAsia="Arial" w:hAnsi="Arial"/>
                <w:sz w:val="13"/>
                <w:szCs w:val="13"/>
                <w:color w:val="auto"/>
              </w:rPr>
              <w:t>Advertising</w:t>
            </w:r>
          </w:p>
        </w:tc>
        <w:tc>
          <w:tcPr>
            <w:tcW w:w="8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257</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304</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102</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66</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89</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155</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35"/>
        </w:trPr>
        <w:tc>
          <w:tcPr>
            <w:tcW w:w="324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FDIC assessments</w:t>
            </w:r>
          </w:p>
        </w:tc>
        <w:tc>
          <w:tcPr>
            <w:tcW w:w="80" w:type="dxa"/>
            <w:vAlign w:val="bottom"/>
            <w:shd w:val="clear" w:color="auto" w:fill="CFF0FC"/>
          </w:tcPr>
          <w:p>
            <w:pPr>
              <w:spacing w:after="0"/>
              <w:rPr>
                <w:sz w:val="11"/>
                <w:szCs w:val="11"/>
                <w:color w:val="auto"/>
              </w:rPr>
            </w:pPr>
          </w:p>
        </w:tc>
        <w:tc>
          <w:tcPr>
            <w:tcW w:w="920" w:type="dxa"/>
            <w:vAlign w:val="bottom"/>
            <w:tcBorders>
              <w:right w:val="single" w:sz="8" w:color="CFF0FC"/>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712</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400</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276</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232</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204</w:t>
            </w: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204</w:t>
            </w:r>
          </w:p>
        </w:tc>
        <w:tc>
          <w:tcPr>
            <w:tcW w:w="1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135"/>
        </w:trPr>
        <w:tc>
          <w:tcPr>
            <w:tcW w:w="3240" w:type="dxa"/>
            <w:vAlign w:val="bottom"/>
            <w:gridSpan w:val="2"/>
          </w:tcPr>
          <w:p>
            <w:pPr>
              <w:spacing w:after="0" w:line="135" w:lineRule="exact"/>
              <w:rPr>
                <w:sz w:val="20"/>
                <w:szCs w:val="20"/>
                <w:color w:val="auto"/>
              </w:rPr>
            </w:pPr>
            <w:r>
              <w:rPr>
                <w:rFonts w:ascii="Arial" w:cs="Arial" w:eastAsia="Arial" w:hAnsi="Arial"/>
                <w:sz w:val="13"/>
                <w:szCs w:val="13"/>
                <w:color w:val="auto"/>
              </w:rPr>
              <w:t>Audits and exams</w:t>
            </w:r>
          </w:p>
        </w:tc>
        <w:tc>
          <w:tcPr>
            <w:tcW w:w="8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419</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306</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140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139</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140</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169</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35"/>
        </w:trPr>
        <w:tc>
          <w:tcPr>
            <w:tcW w:w="324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Amortization expense</w:t>
            </w:r>
          </w:p>
        </w:tc>
        <w:tc>
          <w:tcPr>
            <w:tcW w:w="80" w:type="dxa"/>
            <w:vAlign w:val="bottom"/>
            <w:shd w:val="clear" w:color="auto" w:fill="CFF0FC"/>
          </w:tcPr>
          <w:p>
            <w:pPr>
              <w:spacing w:after="0"/>
              <w:rPr>
                <w:sz w:val="11"/>
                <w:szCs w:val="11"/>
                <w:color w:val="auto"/>
              </w:rPr>
            </w:pPr>
          </w:p>
        </w:tc>
        <w:tc>
          <w:tcPr>
            <w:tcW w:w="920" w:type="dxa"/>
            <w:vAlign w:val="bottom"/>
            <w:tcBorders>
              <w:right w:val="single" w:sz="8" w:color="CFF0FC"/>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470</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470</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156</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157</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157</w:t>
            </w: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157</w:t>
            </w:r>
          </w:p>
        </w:tc>
        <w:tc>
          <w:tcPr>
            <w:tcW w:w="1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135"/>
        </w:trPr>
        <w:tc>
          <w:tcPr>
            <w:tcW w:w="3240" w:type="dxa"/>
            <w:vAlign w:val="bottom"/>
            <w:gridSpan w:val="2"/>
          </w:tcPr>
          <w:p>
            <w:pPr>
              <w:spacing w:after="0" w:line="135" w:lineRule="exact"/>
              <w:rPr>
                <w:sz w:val="20"/>
                <w:szCs w:val="20"/>
                <w:color w:val="auto"/>
              </w:rPr>
            </w:pPr>
            <w:r>
              <w:rPr>
                <w:rFonts w:ascii="Arial" w:cs="Arial" w:eastAsia="Arial" w:hAnsi="Arial"/>
                <w:sz w:val="13"/>
                <w:szCs w:val="13"/>
                <w:color w:val="auto"/>
              </w:rPr>
              <w:t>Community service activities</w:t>
            </w:r>
          </w:p>
        </w:tc>
        <w:tc>
          <w:tcPr>
            <w:tcW w:w="8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37</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21</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21</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35"/>
        </w:trPr>
        <w:tc>
          <w:tcPr>
            <w:tcW w:w="324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Foreclosed real estate expense</w:t>
            </w:r>
          </w:p>
        </w:tc>
        <w:tc>
          <w:tcPr>
            <w:tcW w:w="80" w:type="dxa"/>
            <w:vAlign w:val="bottom"/>
            <w:shd w:val="clear" w:color="auto" w:fill="CFF0FC"/>
          </w:tcPr>
          <w:p>
            <w:pPr>
              <w:spacing w:after="0"/>
              <w:rPr>
                <w:sz w:val="11"/>
                <w:szCs w:val="11"/>
                <w:color w:val="auto"/>
              </w:rPr>
            </w:pPr>
          </w:p>
        </w:tc>
        <w:tc>
          <w:tcPr>
            <w:tcW w:w="920" w:type="dxa"/>
            <w:vAlign w:val="bottom"/>
            <w:tcBorders>
              <w:right w:val="single" w:sz="8" w:color="CFF0FC"/>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107</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76</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80</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18</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9</w:t>
            </w:r>
          </w:p>
        </w:tc>
        <w:tc>
          <w:tcPr>
            <w:tcW w:w="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30</w:t>
            </w:r>
          </w:p>
        </w:tc>
        <w:tc>
          <w:tcPr>
            <w:tcW w:w="1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35"/>
        </w:trPr>
        <w:tc>
          <w:tcPr>
            <w:tcW w:w="3100" w:type="dxa"/>
            <w:vAlign w:val="bottom"/>
            <w:tcBorders>
              <w:bottom w:val="single" w:sz="8" w:color="auto"/>
            </w:tcBorders>
          </w:tcPr>
          <w:p>
            <w:pPr>
              <w:spacing w:after="0" w:line="135" w:lineRule="exact"/>
              <w:rPr>
                <w:sz w:val="20"/>
                <w:szCs w:val="20"/>
                <w:color w:val="auto"/>
              </w:rPr>
            </w:pPr>
            <w:r>
              <w:rPr>
                <w:rFonts w:ascii="Arial" w:cs="Arial" w:eastAsia="Arial" w:hAnsi="Arial"/>
                <w:sz w:val="13"/>
                <w:szCs w:val="13"/>
                <w:color w:val="auto"/>
              </w:rPr>
              <w:t>Other expenses</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1,390</w:t>
            </w: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1,803</w:t>
            </w: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301</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614</w:t>
            </w: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475</w:t>
            </w:r>
          </w:p>
        </w:tc>
        <w:tc>
          <w:tcPr>
            <w:tcW w:w="1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798</w:t>
            </w:r>
          </w:p>
        </w:tc>
        <w:tc>
          <w:tcPr>
            <w:tcW w:w="1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602</w:t>
            </w:r>
          </w:p>
        </w:tc>
        <w:tc>
          <w:tcPr>
            <w:tcW w:w="0" w:type="dxa"/>
            <w:vAlign w:val="bottom"/>
          </w:tcPr>
          <w:p>
            <w:pPr>
              <w:spacing w:after="0"/>
              <w:rPr>
                <w:sz w:val="1"/>
                <w:szCs w:val="1"/>
                <w:color w:val="auto"/>
              </w:rPr>
            </w:pPr>
          </w:p>
        </w:tc>
      </w:tr>
      <w:tr>
        <w:trPr>
          <w:trHeight w:val="128"/>
        </w:trPr>
        <w:tc>
          <w:tcPr>
            <w:tcW w:w="3100" w:type="dxa"/>
            <w:vAlign w:val="bottom"/>
            <w:tcBorders>
              <w:bottom w:val="single" w:sz="8" w:color="auto"/>
            </w:tcBorders>
            <w:shd w:val="clear" w:color="auto" w:fill="CFF0FC"/>
          </w:tcPr>
          <w:p>
            <w:pPr>
              <w:ind w:left="60"/>
              <w:spacing w:after="0" w:line="129" w:lineRule="exact"/>
              <w:rPr>
                <w:sz w:val="20"/>
                <w:szCs w:val="20"/>
                <w:color w:val="auto"/>
              </w:rPr>
            </w:pPr>
            <w:r>
              <w:rPr>
                <w:rFonts w:ascii="Arial" w:cs="Arial" w:eastAsia="Arial" w:hAnsi="Arial"/>
                <w:sz w:val="13"/>
                <w:szCs w:val="13"/>
                <w:color w:val="auto"/>
              </w:rPr>
              <w:t>Total noninterest expense</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right w:val="single" w:sz="8" w:color="CFF0FC"/>
            </w:tcBorders>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rPr>
              <w:t>26,708</w:t>
            </w:r>
          </w:p>
        </w:tc>
        <w:tc>
          <w:tcPr>
            <w:tcW w:w="16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rPr>
              <w:t>25,431</w:t>
            </w:r>
          </w:p>
        </w:tc>
        <w:tc>
          <w:tcPr>
            <w:tcW w:w="16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rPr>
              <w:t>9,354</w:t>
            </w:r>
          </w:p>
        </w:tc>
        <w:tc>
          <w:tcPr>
            <w:tcW w:w="16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rPr>
              <w:t>8,662</w:t>
            </w:r>
          </w:p>
        </w:tc>
        <w:tc>
          <w:tcPr>
            <w:tcW w:w="16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rPr>
              <w:t>8,692</w:t>
            </w:r>
          </w:p>
        </w:tc>
        <w:tc>
          <w:tcPr>
            <w:tcW w:w="14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rPr>
              <w:t>9,150</w:t>
            </w:r>
          </w:p>
        </w:tc>
        <w:tc>
          <w:tcPr>
            <w:tcW w:w="14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rPr>
              <w:t>8,937</w:t>
            </w:r>
          </w:p>
        </w:tc>
        <w:tc>
          <w:tcPr>
            <w:tcW w:w="0" w:type="dxa"/>
            <w:vAlign w:val="bottom"/>
          </w:tcPr>
          <w:p>
            <w:pPr>
              <w:spacing w:after="0"/>
              <w:rPr>
                <w:sz w:val="1"/>
                <w:szCs w:val="1"/>
                <w:color w:val="auto"/>
              </w:rPr>
            </w:pPr>
          </w:p>
        </w:tc>
      </w:tr>
      <w:tr>
        <w:trPr>
          <w:trHeight w:val="129"/>
        </w:trPr>
        <w:tc>
          <w:tcPr>
            <w:tcW w:w="31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Income (loss) before provision for income taxes</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8,719</w:t>
            </w: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4,428</w:t>
            </w: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2,523</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3,253</w:t>
            </w: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2,943</w:t>
            </w:r>
          </w:p>
        </w:tc>
        <w:tc>
          <w:tcPr>
            <w:tcW w:w="1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(8,521)</w:t>
            </w:r>
          </w:p>
        </w:tc>
        <w:tc>
          <w:tcPr>
            <w:tcW w:w="1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672</w:t>
            </w:r>
          </w:p>
        </w:tc>
        <w:tc>
          <w:tcPr>
            <w:tcW w:w="0" w:type="dxa"/>
            <w:vAlign w:val="bottom"/>
          </w:tcPr>
          <w:p>
            <w:pPr>
              <w:spacing w:after="0"/>
              <w:rPr>
                <w:sz w:val="1"/>
                <w:szCs w:val="1"/>
                <w:color w:val="auto"/>
              </w:rPr>
            </w:pPr>
          </w:p>
        </w:tc>
      </w:tr>
      <w:tr>
        <w:trPr>
          <w:trHeight w:val="128"/>
        </w:trPr>
        <w:tc>
          <w:tcPr>
            <w:tcW w:w="3100" w:type="dxa"/>
            <w:vAlign w:val="bottom"/>
            <w:tcBorders>
              <w:bottom w:val="single" w:sz="8" w:color="auto"/>
            </w:tcBorders>
            <w:shd w:val="clear" w:color="auto" w:fill="CFF0FC"/>
          </w:tcPr>
          <w:p>
            <w:pPr>
              <w:spacing w:after="0" w:line="129" w:lineRule="exact"/>
              <w:rPr>
                <w:sz w:val="20"/>
                <w:szCs w:val="20"/>
                <w:color w:val="auto"/>
              </w:rPr>
            </w:pPr>
            <w:r>
              <w:rPr>
                <w:rFonts w:ascii="Arial" w:cs="Arial" w:eastAsia="Arial" w:hAnsi="Arial"/>
                <w:sz w:val="13"/>
                <w:szCs w:val="13"/>
                <w:color w:val="auto"/>
              </w:rPr>
              <w:t>Provision for (benefit from) income taxes</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right w:val="single" w:sz="8" w:color="CFF0FC"/>
            </w:tcBorders>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rPr>
              <w:t>1,569</w:t>
            </w:r>
          </w:p>
        </w:tc>
        <w:tc>
          <w:tcPr>
            <w:tcW w:w="16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rPr>
              <w:t>797</w:t>
            </w:r>
          </w:p>
        </w:tc>
        <w:tc>
          <w:tcPr>
            <w:tcW w:w="16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rPr>
              <w:t>454</w:t>
            </w:r>
          </w:p>
        </w:tc>
        <w:tc>
          <w:tcPr>
            <w:tcW w:w="16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rPr>
              <w:t>585</w:t>
            </w:r>
          </w:p>
        </w:tc>
        <w:tc>
          <w:tcPr>
            <w:tcW w:w="16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rPr>
              <w:t>530</w:t>
            </w:r>
          </w:p>
        </w:tc>
        <w:tc>
          <w:tcPr>
            <w:tcW w:w="14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Arial" w:cs="Arial" w:eastAsia="Arial" w:hAnsi="Arial"/>
                <w:sz w:val="13"/>
                <w:szCs w:val="13"/>
                <w:color w:val="auto"/>
              </w:rPr>
              <w:t>(2,957)</w:t>
            </w:r>
          </w:p>
        </w:tc>
        <w:tc>
          <w:tcPr>
            <w:tcW w:w="14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29"/>
        </w:trPr>
        <w:tc>
          <w:tcPr>
            <w:tcW w:w="3240" w:type="dxa"/>
            <w:vAlign w:val="bottom"/>
            <w:gridSpan w:val="2"/>
          </w:tcPr>
          <w:p>
            <w:pPr>
              <w:spacing w:after="0" w:line="129" w:lineRule="exact"/>
              <w:rPr>
                <w:sz w:val="20"/>
                <w:szCs w:val="20"/>
                <w:color w:val="auto"/>
              </w:rPr>
            </w:pPr>
            <w:r>
              <w:rPr>
                <w:rFonts w:ascii="Arial" w:cs="Arial" w:eastAsia="Arial" w:hAnsi="Arial"/>
                <w:sz w:val="13"/>
                <w:szCs w:val="13"/>
                <w:color w:val="auto"/>
              </w:rPr>
              <w:t>Net income (loss)</w:t>
            </w:r>
          </w:p>
        </w:tc>
        <w:tc>
          <w:tcPr>
            <w:tcW w:w="80" w:type="dxa"/>
            <w:vAlign w:val="bottom"/>
          </w:tcPr>
          <w:p>
            <w:pPr>
              <w:jc w:val="right"/>
              <w:spacing w:after="0" w:line="129" w:lineRule="exact"/>
              <w:rPr>
                <w:sz w:val="20"/>
                <w:szCs w:val="20"/>
                <w:color w:val="auto"/>
              </w:rPr>
            </w:pPr>
            <w:r>
              <w:rPr>
                <w:rFonts w:ascii="Arial" w:cs="Arial" w:eastAsia="Arial" w:hAnsi="Arial"/>
                <w:sz w:val="13"/>
                <w:szCs w:val="13"/>
                <w:color w:val="auto"/>
                <w:w w:val="82"/>
              </w:rPr>
              <w:t>$</w:t>
            </w:r>
          </w:p>
        </w:tc>
        <w:tc>
          <w:tcPr>
            <w:tcW w:w="920" w:type="dxa"/>
            <w:vAlign w:val="bottom"/>
          </w:tcPr>
          <w:p>
            <w:pPr>
              <w:jc w:val="right"/>
              <w:ind w:right="57"/>
              <w:spacing w:after="0" w:line="129" w:lineRule="exact"/>
              <w:rPr>
                <w:sz w:val="20"/>
                <w:szCs w:val="20"/>
                <w:color w:val="auto"/>
              </w:rPr>
            </w:pPr>
            <w:r>
              <w:rPr>
                <w:rFonts w:ascii="Arial" w:cs="Arial" w:eastAsia="Arial" w:hAnsi="Arial"/>
                <w:sz w:val="13"/>
                <w:szCs w:val="13"/>
                <w:color w:val="auto"/>
              </w:rPr>
              <w:t>7,150</w:t>
            </w:r>
          </w:p>
        </w:tc>
        <w:tc>
          <w:tcPr>
            <w:tcW w:w="440" w:type="dxa"/>
            <w:vAlign w:val="bottom"/>
            <w:gridSpan w:val="2"/>
          </w:tcPr>
          <w:p>
            <w:pPr>
              <w:jc w:val="right"/>
              <w:ind w:right="220"/>
              <w:spacing w:after="0" w:line="129"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line="129" w:lineRule="exact"/>
              <w:rPr>
                <w:sz w:val="20"/>
                <w:szCs w:val="20"/>
                <w:color w:val="auto"/>
              </w:rPr>
            </w:pPr>
            <w:r>
              <w:rPr>
                <w:rFonts w:ascii="Arial" w:cs="Arial" w:eastAsia="Arial" w:hAnsi="Arial"/>
                <w:sz w:val="13"/>
                <w:szCs w:val="13"/>
                <w:color w:val="auto"/>
              </w:rPr>
              <w:t>3,631</w:t>
            </w:r>
          </w:p>
        </w:tc>
        <w:tc>
          <w:tcPr>
            <w:tcW w:w="440" w:type="dxa"/>
            <w:vAlign w:val="bottom"/>
            <w:gridSpan w:val="2"/>
          </w:tcPr>
          <w:p>
            <w:pPr>
              <w:jc w:val="right"/>
              <w:ind w:right="220"/>
              <w:spacing w:after="0" w:line="129"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line="129" w:lineRule="exact"/>
              <w:rPr>
                <w:sz w:val="20"/>
                <w:szCs w:val="20"/>
                <w:color w:val="auto"/>
              </w:rPr>
            </w:pPr>
            <w:r>
              <w:rPr>
                <w:rFonts w:ascii="Arial" w:cs="Arial" w:eastAsia="Arial" w:hAnsi="Arial"/>
                <w:sz w:val="13"/>
                <w:szCs w:val="13"/>
                <w:color w:val="auto"/>
              </w:rPr>
              <w:t>2,069</w:t>
            </w:r>
          </w:p>
        </w:tc>
        <w:tc>
          <w:tcPr>
            <w:tcW w:w="34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line="129" w:lineRule="exact"/>
              <w:rPr>
                <w:sz w:val="20"/>
                <w:szCs w:val="20"/>
                <w:color w:val="auto"/>
              </w:rPr>
            </w:pPr>
            <w:r>
              <w:rPr>
                <w:rFonts w:ascii="Arial" w:cs="Arial" w:eastAsia="Arial" w:hAnsi="Arial"/>
                <w:sz w:val="13"/>
                <w:szCs w:val="13"/>
                <w:color w:val="auto"/>
              </w:rPr>
              <w:t>2,668</w:t>
            </w:r>
          </w:p>
        </w:tc>
        <w:tc>
          <w:tcPr>
            <w:tcW w:w="440" w:type="dxa"/>
            <w:vAlign w:val="bottom"/>
            <w:gridSpan w:val="2"/>
          </w:tcPr>
          <w:p>
            <w:pPr>
              <w:jc w:val="right"/>
              <w:ind w:right="220"/>
              <w:spacing w:after="0" w:line="129"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29" w:lineRule="exact"/>
              <w:rPr>
                <w:sz w:val="20"/>
                <w:szCs w:val="20"/>
                <w:color w:val="auto"/>
              </w:rPr>
            </w:pPr>
            <w:r>
              <w:rPr>
                <w:rFonts w:ascii="Arial" w:cs="Arial" w:eastAsia="Arial" w:hAnsi="Arial"/>
                <w:sz w:val="13"/>
                <w:szCs w:val="13"/>
                <w:color w:val="auto"/>
              </w:rPr>
              <w:t>2,413</w:t>
            </w:r>
          </w:p>
        </w:tc>
        <w:tc>
          <w:tcPr>
            <w:tcW w:w="420" w:type="dxa"/>
            <w:vAlign w:val="bottom"/>
            <w:gridSpan w:val="2"/>
          </w:tcPr>
          <w:p>
            <w:pPr>
              <w:jc w:val="right"/>
              <w:ind w:right="220"/>
              <w:spacing w:after="0" w:line="129"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line="129" w:lineRule="exact"/>
              <w:rPr>
                <w:sz w:val="20"/>
                <w:szCs w:val="20"/>
                <w:color w:val="auto"/>
              </w:rPr>
            </w:pPr>
            <w:r>
              <w:rPr>
                <w:rFonts w:ascii="Arial" w:cs="Arial" w:eastAsia="Arial" w:hAnsi="Arial"/>
                <w:sz w:val="13"/>
                <w:szCs w:val="13"/>
                <w:color w:val="auto"/>
              </w:rPr>
              <w:t>(5,564)</w:t>
            </w:r>
          </w:p>
        </w:tc>
        <w:tc>
          <w:tcPr>
            <w:tcW w:w="440" w:type="dxa"/>
            <w:vAlign w:val="bottom"/>
            <w:gridSpan w:val="2"/>
          </w:tcPr>
          <w:p>
            <w:pPr>
              <w:jc w:val="right"/>
              <w:ind w:right="220"/>
              <w:spacing w:after="0" w:line="129"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29" w:lineRule="exact"/>
              <w:rPr>
                <w:sz w:val="20"/>
                <w:szCs w:val="20"/>
                <w:color w:val="auto"/>
              </w:rPr>
            </w:pPr>
            <w:r>
              <w:rPr>
                <w:rFonts w:ascii="Arial" w:cs="Arial" w:eastAsia="Arial" w:hAnsi="Arial"/>
                <w:sz w:val="13"/>
                <w:szCs w:val="13"/>
                <w:color w:val="auto"/>
              </w:rPr>
              <w:t>626</w:t>
            </w:r>
          </w:p>
        </w:tc>
        <w:tc>
          <w:tcPr>
            <w:tcW w:w="0" w:type="dxa"/>
            <w:vAlign w:val="bottom"/>
          </w:tcPr>
          <w:p>
            <w:pPr>
              <w:spacing w:after="0"/>
              <w:rPr>
                <w:sz w:val="1"/>
                <w:szCs w:val="1"/>
                <w:color w:val="auto"/>
              </w:rPr>
            </w:pPr>
          </w:p>
        </w:tc>
      </w:tr>
      <w:tr>
        <w:trPr>
          <w:trHeight w:val="20"/>
        </w:trPr>
        <w:tc>
          <w:tcPr>
            <w:tcW w:w="3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100" w:type="dxa"/>
            <w:vAlign w:val="bottom"/>
            <w:shd w:val="clear" w:color="auto" w:fill="CFF0FC"/>
          </w:tcPr>
          <w:p>
            <w:pPr>
              <w:spacing w:after="0" w:line="116" w:lineRule="exact"/>
              <w:rPr>
                <w:sz w:val="20"/>
                <w:szCs w:val="20"/>
                <w:color w:val="auto"/>
              </w:rPr>
            </w:pPr>
            <w:r>
              <w:rPr>
                <w:rFonts w:ascii="Arial" w:cs="Arial" w:eastAsia="Arial" w:hAnsi="Arial"/>
                <w:sz w:val="13"/>
                <w:szCs w:val="13"/>
                <w:color w:val="auto"/>
              </w:rPr>
              <w:t>Voting Earnings per common share - basic</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line="116" w:lineRule="exact"/>
              <w:rPr>
                <w:sz w:val="20"/>
                <w:szCs w:val="20"/>
                <w:color w:val="auto"/>
              </w:rPr>
            </w:pPr>
            <w:r>
              <w:rPr>
                <w:rFonts w:ascii="Arial" w:cs="Arial" w:eastAsia="Arial" w:hAnsi="Arial"/>
                <w:sz w:val="13"/>
                <w:szCs w:val="13"/>
                <w:color w:val="auto"/>
                <w:w w:val="82"/>
              </w:rPr>
              <w:t>$</w:t>
            </w:r>
          </w:p>
        </w:tc>
        <w:tc>
          <w:tcPr>
            <w:tcW w:w="920" w:type="dxa"/>
            <w:vAlign w:val="bottom"/>
            <w:tcBorders>
              <w:right w:val="single" w:sz="8" w:color="CFF0FC"/>
            </w:tcBorders>
            <w:shd w:val="clear" w:color="auto" w:fill="CFF0FC"/>
          </w:tcPr>
          <w:p>
            <w:pPr>
              <w:jc w:val="right"/>
              <w:ind w:right="57"/>
              <w:spacing w:after="0" w:line="116" w:lineRule="exact"/>
              <w:rPr>
                <w:sz w:val="20"/>
                <w:szCs w:val="20"/>
                <w:color w:val="auto"/>
              </w:rPr>
            </w:pPr>
            <w:r>
              <w:rPr>
                <w:rFonts w:ascii="Arial" w:cs="Arial" w:eastAsia="Arial" w:hAnsi="Arial"/>
                <w:sz w:val="13"/>
                <w:szCs w:val="13"/>
                <w:color w:val="auto"/>
              </w:rPr>
              <w:t>1.13</w:t>
            </w:r>
          </w:p>
        </w:tc>
        <w:tc>
          <w:tcPr>
            <w:tcW w:w="440" w:type="dxa"/>
            <w:vAlign w:val="bottom"/>
            <w:gridSpan w:val="2"/>
            <w:shd w:val="clear" w:color="auto" w:fill="CFF0FC"/>
          </w:tcPr>
          <w:p>
            <w:pPr>
              <w:jc w:val="right"/>
              <w:ind w:right="220"/>
              <w:spacing w:after="0" w:line="116" w:lineRule="exact"/>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57"/>
              <w:spacing w:after="0" w:line="116" w:lineRule="exact"/>
              <w:rPr>
                <w:sz w:val="20"/>
                <w:szCs w:val="20"/>
                <w:color w:val="auto"/>
              </w:rPr>
            </w:pPr>
            <w:r>
              <w:rPr>
                <w:rFonts w:ascii="Arial" w:cs="Arial" w:eastAsia="Arial" w:hAnsi="Arial"/>
                <w:sz w:val="13"/>
                <w:szCs w:val="13"/>
                <w:color w:val="auto"/>
              </w:rPr>
              <w:t>0.58</w:t>
            </w:r>
          </w:p>
        </w:tc>
        <w:tc>
          <w:tcPr>
            <w:tcW w:w="440" w:type="dxa"/>
            <w:vAlign w:val="bottom"/>
            <w:gridSpan w:val="2"/>
            <w:shd w:val="clear" w:color="auto" w:fill="CFF0FC"/>
          </w:tcPr>
          <w:p>
            <w:pPr>
              <w:jc w:val="right"/>
              <w:ind w:right="220"/>
              <w:spacing w:after="0" w:line="116" w:lineRule="exact"/>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57"/>
              <w:spacing w:after="0" w:line="116" w:lineRule="exact"/>
              <w:rPr>
                <w:sz w:val="20"/>
                <w:szCs w:val="20"/>
                <w:color w:val="auto"/>
              </w:rPr>
            </w:pPr>
            <w:r>
              <w:rPr>
                <w:rFonts w:ascii="Arial" w:cs="Arial" w:eastAsia="Arial" w:hAnsi="Arial"/>
                <w:sz w:val="13"/>
                <w:szCs w:val="13"/>
                <w:color w:val="auto"/>
              </w:rPr>
              <w:t>0.33</w:t>
            </w:r>
          </w:p>
        </w:tc>
        <w:tc>
          <w:tcPr>
            <w:tcW w:w="340" w:type="dxa"/>
            <w:vAlign w:val="bottom"/>
            <w:gridSpan w:val="2"/>
            <w:shd w:val="clear" w:color="auto" w:fill="CFF0FC"/>
          </w:tcPr>
          <w:p>
            <w:pPr>
              <w:jc w:val="right"/>
              <w:ind w:right="120"/>
              <w:spacing w:after="0" w:line="116" w:lineRule="exact"/>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ind w:right="57"/>
              <w:spacing w:after="0" w:line="116" w:lineRule="exact"/>
              <w:rPr>
                <w:sz w:val="20"/>
                <w:szCs w:val="20"/>
                <w:color w:val="auto"/>
              </w:rPr>
            </w:pPr>
            <w:r>
              <w:rPr>
                <w:rFonts w:ascii="Arial" w:cs="Arial" w:eastAsia="Arial" w:hAnsi="Arial"/>
                <w:sz w:val="13"/>
                <w:szCs w:val="13"/>
                <w:color w:val="auto"/>
              </w:rPr>
              <w:t>0.42</w:t>
            </w:r>
          </w:p>
        </w:tc>
        <w:tc>
          <w:tcPr>
            <w:tcW w:w="440" w:type="dxa"/>
            <w:vAlign w:val="bottom"/>
            <w:gridSpan w:val="2"/>
            <w:shd w:val="clear" w:color="auto" w:fill="CFF0FC"/>
          </w:tcPr>
          <w:p>
            <w:pPr>
              <w:jc w:val="right"/>
              <w:ind w:right="220"/>
              <w:spacing w:after="0" w:line="116" w:lineRule="exact"/>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57"/>
              <w:spacing w:after="0" w:line="116" w:lineRule="exact"/>
              <w:rPr>
                <w:sz w:val="20"/>
                <w:szCs w:val="20"/>
                <w:color w:val="auto"/>
              </w:rPr>
            </w:pPr>
            <w:r>
              <w:rPr>
                <w:rFonts w:ascii="Arial" w:cs="Arial" w:eastAsia="Arial" w:hAnsi="Arial"/>
                <w:sz w:val="13"/>
                <w:szCs w:val="13"/>
                <w:color w:val="auto"/>
              </w:rPr>
              <w:t>0.38</w:t>
            </w:r>
          </w:p>
        </w:tc>
        <w:tc>
          <w:tcPr>
            <w:tcW w:w="420" w:type="dxa"/>
            <w:vAlign w:val="bottom"/>
            <w:gridSpan w:val="2"/>
            <w:shd w:val="clear" w:color="auto" w:fill="CFF0FC"/>
          </w:tcPr>
          <w:p>
            <w:pPr>
              <w:jc w:val="right"/>
              <w:ind w:right="220"/>
              <w:spacing w:after="0" w:line="116" w:lineRule="exact"/>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17"/>
              <w:spacing w:after="0" w:line="116" w:lineRule="exact"/>
              <w:rPr>
                <w:sz w:val="20"/>
                <w:szCs w:val="20"/>
                <w:color w:val="auto"/>
              </w:rPr>
            </w:pPr>
            <w:r>
              <w:rPr>
                <w:rFonts w:ascii="Arial" w:cs="Arial" w:eastAsia="Arial" w:hAnsi="Arial"/>
                <w:sz w:val="13"/>
                <w:szCs w:val="13"/>
                <w:color w:val="auto"/>
              </w:rPr>
              <w:t>(0.89)</w:t>
            </w:r>
          </w:p>
        </w:tc>
        <w:tc>
          <w:tcPr>
            <w:tcW w:w="440" w:type="dxa"/>
            <w:vAlign w:val="bottom"/>
            <w:gridSpan w:val="2"/>
            <w:shd w:val="clear" w:color="auto" w:fill="CFF0FC"/>
          </w:tcPr>
          <w:p>
            <w:pPr>
              <w:jc w:val="right"/>
              <w:ind w:right="220"/>
              <w:spacing w:after="0" w:line="116" w:lineRule="exact"/>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57"/>
              <w:spacing w:after="0" w:line="116" w:lineRule="exact"/>
              <w:rPr>
                <w:sz w:val="20"/>
                <w:szCs w:val="20"/>
                <w:color w:val="auto"/>
              </w:rPr>
            </w:pPr>
            <w:r>
              <w:rPr>
                <w:rFonts w:ascii="Arial" w:cs="Arial" w:eastAsia="Arial" w:hAnsi="Arial"/>
                <w:sz w:val="13"/>
                <w:szCs w:val="13"/>
                <w:color w:val="auto"/>
              </w:rPr>
              <w:t>0.10</w:t>
            </w:r>
          </w:p>
        </w:tc>
        <w:tc>
          <w:tcPr>
            <w:tcW w:w="0" w:type="dxa"/>
            <w:vAlign w:val="bottom"/>
          </w:tcPr>
          <w:p>
            <w:pPr>
              <w:spacing w:after="0"/>
              <w:rPr>
                <w:sz w:val="1"/>
                <w:szCs w:val="1"/>
                <w:color w:val="auto"/>
              </w:rPr>
            </w:pPr>
          </w:p>
        </w:tc>
      </w:tr>
      <w:tr>
        <w:trPr>
          <w:trHeight w:val="20"/>
        </w:trPr>
        <w:tc>
          <w:tcPr>
            <w:tcW w:w="3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00" w:type="dxa"/>
            <w:vAlign w:val="bottom"/>
          </w:tcPr>
          <w:p>
            <w:pPr>
              <w:spacing w:after="0" w:line="116" w:lineRule="exact"/>
              <w:rPr>
                <w:sz w:val="20"/>
                <w:szCs w:val="20"/>
                <w:color w:val="auto"/>
              </w:rPr>
            </w:pPr>
            <w:r>
              <w:rPr>
                <w:rFonts w:ascii="Arial" w:cs="Arial" w:eastAsia="Arial" w:hAnsi="Arial"/>
                <w:sz w:val="13"/>
                <w:szCs w:val="13"/>
                <w:color w:val="auto"/>
              </w:rPr>
              <w:t>Voting Earnings per common share - diluted</w:t>
            </w:r>
          </w:p>
        </w:tc>
        <w:tc>
          <w:tcPr>
            <w:tcW w:w="140" w:type="dxa"/>
            <w:vAlign w:val="bottom"/>
          </w:tcPr>
          <w:p>
            <w:pPr>
              <w:spacing w:after="0"/>
              <w:rPr>
                <w:sz w:val="10"/>
                <w:szCs w:val="10"/>
                <w:color w:val="auto"/>
              </w:rPr>
            </w:pPr>
          </w:p>
        </w:tc>
        <w:tc>
          <w:tcPr>
            <w:tcW w:w="80" w:type="dxa"/>
            <w:vAlign w:val="bottom"/>
          </w:tcPr>
          <w:p>
            <w:pPr>
              <w:jc w:val="right"/>
              <w:spacing w:after="0" w:line="116" w:lineRule="exact"/>
              <w:rPr>
                <w:sz w:val="20"/>
                <w:szCs w:val="20"/>
                <w:color w:val="auto"/>
              </w:rPr>
            </w:pPr>
            <w:r>
              <w:rPr>
                <w:rFonts w:ascii="Arial" w:cs="Arial" w:eastAsia="Arial" w:hAnsi="Arial"/>
                <w:sz w:val="13"/>
                <w:szCs w:val="13"/>
                <w:color w:val="auto"/>
                <w:w w:val="82"/>
              </w:rPr>
              <w:t>$</w:t>
            </w:r>
          </w:p>
        </w:tc>
        <w:tc>
          <w:tcPr>
            <w:tcW w:w="920" w:type="dxa"/>
            <w:vAlign w:val="bottom"/>
          </w:tcPr>
          <w:p>
            <w:pPr>
              <w:jc w:val="right"/>
              <w:ind w:right="57"/>
              <w:spacing w:after="0" w:line="116" w:lineRule="exact"/>
              <w:rPr>
                <w:sz w:val="20"/>
                <w:szCs w:val="20"/>
                <w:color w:val="auto"/>
              </w:rPr>
            </w:pPr>
            <w:r>
              <w:rPr>
                <w:rFonts w:ascii="Arial" w:cs="Arial" w:eastAsia="Arial" w:hAnsi="Arial"/>
                <w:sz w:val="13"/>
                <w:szCs w:val="13"/>
                <w:color w:val="auto"/>
              </w:rPr>
              <w:t>1.12</w:t>
            </w:r>
          </w:p>
        </w:tc>
        <w:tc>
          <w:tcPr>
            <w:tcW w:w="440" w:type="dxa"/>
            <w:vAlign w:val="bottom"/>
            <w:gridSpan w:val="2"/>
          </w:tcPr>
          <w:p>
            <w:pPr>
              <w:jc w:val="right"/>
              <w:ind w:right="220"/>
              <w:spacing w:after="0" w:line="116"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line="116" w:lineRule="exact"/>
              <w:rPr>
                <w:sz w:val="20"/>
                <w:szCs w:val="20"/>
                <w:color w:val="auto"/>
              </w:rPr>
            </w:pPr>
            <w:r>
              <w:rPr>
                <w:rFonts w:ascii="Arial" w:cs="Arial" w:eastAsia="Arial" w:hAnsi="Arial"/>
                <w:sz w:val="13"/>
                <w:szCs w:val="13"/>
                <w:color w:val="auto"/>
              </w:rPr>
              <w:t>0.57</w:t>
            </w:r>
          </w:p>
        </w:tc>
        <w:tc>
          <w:tcPr>
            <w:tcW w:w="440" w:type="dxa"/>
            <w:vAlign w:val="bottom"/>
            <w:gridSpan w:val="2"/>
          </w:tcPr>
          <w:p>
            <w:pPr>
              <w:jc w:val="right"/>
              <w:ind w:right="220"/>
              <w:spacing w:after="0" w:line="116"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line="116" w:lineRule="exact"/>
              <w:rPr>
                <w:sz w:val="20"/>
                <w:szCs w:val="20"/>
                <w:color w:val="auto"/>
              </w:rPr>
            </w:pPr>
            <w:r>
              <w:rPr>
                <w:rFonts w:ascii="Arial" w:cs="Arial" w:eastAsia="Arial" w:hAnsi="Arial"/>
                <w:sz w:val="13"/>
                <w:szCs w:val="13"/>
                <w:color w:val="auto"/>
              </w:rPr>
              <w:t>0.32</w:t>
            </w:r>
          </w:p>
        </w:tc>
        <w:tc>
          <w:tcPr>
            <w:tcW w:w="340" w:type="dxa"/>
            <w:vAlign w:val="bottom"/>
            <w:gridSpan w:val="2"/>
          </w:tcPr>
          <w:p>
            <w:pPr>
              <w:jc w:val="right"/>
              <w:ind w:right="120"/>
              <w:spacing w:after="0" w:line="116"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line="116" w:lineRule="exact"/>
              <w:rPr>
                <w:sz w:val="20"/>
                <w:szCs w:val="20"/>
                <w:color w:val="auto"/>
              </w:rPr>
            </w:pPr>
            <w:r>
              <w:rPr>
                <w:rFonts w:ascii="Arial" w:cs="Arial" w:eastAsia="Arial" w:hAnsi="Arial"/>
                <w:sz w:val="13"/>
                <w:szCs w:val="13"/>
                <w:color w:val="auto"/>
              </w:rPr>
              <w:t>0.42</w:t>
            </w:r>
          </w:p>
        </w:tc>
        <w:tc>
          <w:tcPr>
            <w:tcW w:w="440" w:type="dxa"/>
            <w:vAlign w:val="bottom"/>
            <w:gridSpan w:val="2"/>
          </w:tcPr>
          <w:p>
            <w:pPr>
              <w:jc w:val="right"/>
              <w:ind w:right="220"/>
              <w:spacing w:after="0" w:line="116"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16" w:lineRule="exact"/>
              <w:rPr>
                <w:sz w:val="20"/>
                <w:szCs w:val="20"/>
                <w:color w:val="auto"/>
              </w:rPr>
            </w:pPr>
            <w:r>
              <w:rPr>
                <w:rFonts w:ascii="Arial" w:cs="Arial" w:eastAsia="Arial" w:hAnsi="Arial"/>
                <w:sz w:val="13"/>
                <w:szCs w:val="13"/>
                <w:color w:val="auto"/>
              </w:rPr>
              <w:t>0.38</w:t>
            </w:r>
          </w:p>
        </w:tc>
        <w:tc>
          <w:tcPr>
            <w:tcW w:w="420" w:type="dxa"/>
            <w:vAlign w:val="bottom"/>
            <w:gridSpan w:val="2"/>
          </w:tcPr>
          <w:p>
            <w:pPr>
              <w:jc w:val="right"/>
              <w:ind w:right="220"/>
              <w:spacing w:after="0" w:line="116"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line="116" w:lineRule="exact"/>
              <w:rPr>
                <w:sz w:val="20"/>
                <w:szCs w:val="20"/>
                <w:color w:val="auto"/>
              </w:rPr>
            </w:pPr>
            <w:r>
              <w:rPr>
                <w:rFonts w:ascii="Arial" w:cs="Arial" w:eastAsia="Arial" w:hAnsi="Arial"/>
                <w:sz w:val="13"/>
                <w:szCs w:val="13"/>
                <w:color w:val="auto"/>
              </w:rPr>
              <w:t>(0.88)</w:t>
            </w:r>
          </w:p>
        </w:tc>
        <w:tc>
          <w:tcPr>
            <w:tcW w:w="440" w:type="dxa"/>
            <w:vAlign w:val="bottom"/>
            <w:gridSpan w:val="2"/>
          </w:tcPr>
          <w:p>
            <w:pPr>
              <w:jc w:val="right"/>
              <w:ind w:right="220"/>
              <w:spacing w:after="0" w:line="116"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line="116" w:lineRule="exact"/>
              <w:rPr>
                <w:sz w:val="20"/>
                <w:szCs w:val="20"/>
                <w:color w:val="auto"/>
              </w:rPr>
            </w:pPr>
            <w:r>
              <w:rPr>
                <w:rFonts w:ascii="Arial" w:cs="Arial" w:eastAsia="Arial" w:hAnsi="Arial"/>
                <w:sz w:val="13"/>
                <w:szCs w:val="13"/>
                <w:color w:val="auto"/>
              </w:rPr>
              <w:t>0.10</w:t>
            </w:r>
          </w:p>
        </w:tc>
        <w:tc>
          <w:tcPr>
            <w:tcW w:w="0" w:type="dxa"/>
            <w:vAlign w:val="bottom"/>
          </w:tcPr>
          <w:p>
            <w:pPr>
              <w:spacing w:after="0"/>
              <w:rPr>
                <w:sz w:val="1"/>
                <w:szCs w:val="1"/>
                <w:color w:val="auto"/>
              </w:rPr>
            </w:pPr>
          </w:p>
        </w:tc>
      </w:tr>
      <w:tr>
        <w:trPr>
          <w:trHeight w:val="20"/>
        </w:trPr>
        <w:tc>
          <w:tcPr>
            <w:tcW w:w="3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240" w:type="dxa"/>
            <w:vAlign w:val="bottom"/>
            <w:gridSpan w:val="2"/>
            <w:shd w:val="clear" w:color="auto" w:fill="CFF0FC"/>
          </w:tcPr>
          <w:p>
            <w:pPr>
              <w:spacing w:after="0" w:line="98" w:lineRule="exact"/>
              <w:rPr>
                <w:sz w:val="20"/>
                <w:szCs w:val="20"/>
                <w:color w:val="auto"/>
              </w:rPr>
            </w:pPr>
            <w:r>
              <w:rPr>
                <w:rFonts w:ascii="Arial" w:cs="Arial" w:eastAsia="Arial" w:hAnsi="Arial"/>
                <w:sz w:val="10"/>
                <w:szCs w:val="10"/>
                <w:color w:val="auto"/>
              </w:rPr>
              <w:t>Series A Non-Voting Earnings per common share-</w:t>
            </w:r>
          </w:p>
        </w:tc>
        <w:tc>
          <w:tcPr>
            <w:tcW w:w="80" w:type="dxa"/>
            <w:vAlign w:val="bottom"/>
            <w:shd w:val="clear" w:color="auto" w:fill="CFF0FC"/>
          </w:tcPr>
          <w:p>
            <w:pPr>
              <w:spacing w:after="0"/>
              <w:rPr>
                <w:sz w:val="8"/>
                <w:szCs w:val="8"/>
                <w:color w:val="auto"/>
              </w:rPr>
            </w:pPr>
          </w:p>
        </w:tc>
        <w:tc>
          <w:tcPr>
            <w:tcW w:w="920" w:type="dxa"/>
            <w:vAlign w:val="bottom"/>
            <w:tcBorders>
              <w:right w:val="single" w:sz="8" w:color="CFF0FC"/>
            </w:tcBorders>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3100" w:type="dxa"/>
            <w:vAlign w:val="bottom"/>
            <w:shd w:val="clear" w:color="auto" w:fill="CFF0FC"/>
          </w:tcPr>
          <w:p>
            <w:pPr>
              <w:spacing w:after="0"/>
              <w:rPr>
                <w:sz w:val="20"/>
                <w:szCs w:val="20"/>
                <w:color w:val="auto"/>
              </w:rPr>
            </w:pPr>
            <w:r>
              <w:rPr>
                <w:rFonts w:ascii="Arial" w:cs="Arial" w:eastAsia="Arial" w:hAnsi="Arial"/>
                <w:sz w:val="13"/>
                <w:szCs w:val="13"/>
                <w:color w:val="auto"/>
              </w:rPr>
              <w:t>basic</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1.13</w:t>
            </w: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0.58</w:t>
            </w: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0.33</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0.42</w:t>
            </w: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0.38</w:t>
            </w: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(0.89)</w:t>
            </w: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0.10</w:t>
            </w:r>
          </w:p>
        </w:tc>
        <w:tc>
          <w:tcPr>
            <w:tcW w:w="0" w:type="dxa"/>
            <w:vAlign w:val="bottom"/>
          </w:tcPr>
          <w:p>
            <w:pPr>
              <w:spacing w:after="0"/>
              <w:rPr>
                <w:sz w:val="1"/>
                <w:szCs w:val="1"/>
                <w:color w:val="auto"/>
              </w:rPr>
            </w:pPr>
          </w:p>
        </w:tc>
      </w:tr>
      <w:tr>
        <w:trPr>
          <w:trHeight w:val="98"/>
        </w:trPr>
        <w:tc>
          <w:tcPr>
            <w:tcW w:w="3100" w:type="dxa"/>
            <w:vAlign w:val="bottom"/>
            <w:tcBorders>
              <w:top w:val="single" w:sz="8" w:color="auto"/>
            </w:tcBorders>
          </w:tcPr>
          <w:p>
            <w:pPr>
              <w:spacing w:after="0" w:line="98" w:lineRule="exact"/>
              <w:rPr>
                <w:sz w:val="20"/>
                <w:szCs w:val="20"/>
                <w:color w:val="auto"/>
              </w:rPr>
            </w:pPr>
            <w:r>
              <w:rPr>
                <w:rFonts w:ascii="Arial" w:cs="Arial" w:eastAsia="Arial" w:hAnsi="Arial"/>
                <w:sz w:val="10"/>
                <w:szCs w:val="10"/>
                <w:color w:val="auto"/>
              </w:rPr>
              <w:t>Series A Non-Voting Earnings per common share-</w:t>
            </w:r>
          </w:p>
        </w:tc>
        <w:tc>
          <w:tcPr>
            <w:tcW w:w="14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60" w:type="dxa"/>
            <w:vAlign w:val="bottom"/>
            <w:tcBorders>
              <w:top w:val="single" w:sz="8" w:color="CFF0FC"/>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60" w:type="dxa"/>
            <w:vAlign w:val="bottom"/>
            <w:tcBorders>
              <w:top w:val="single" w:sz="8" w:color="CFF0FC"/>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60" w:type="dxa"/>
            <w:vAlign w:val="bottom"/>
            <w:tcBorders>
              <w:top w:val="single" w:sz="8" w:color="CFF0FC"/>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60" w:type="dxa"/>
            <w:vAlign w:val="bottom"/>
            <w:tcBorders>
              <w:top w:val="single" w:sz="8" w:color="CFF0FC"/>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240" w:type="dxa"/>
            <w:vAlign w:val="bottom"/>
            <w:gridSpan w:val="2"/>
          </w:tcPr>
          <w:p>
            <w:pPr>
              <w:spacing w:after="0"/>
              <w:rPr>
                <w:sz w:val="20"/>
                <w:szCs w:val="20"/>
                <w:color w:val="auto"/>
              </w:rPr>
            </w:pPr>
            <w:r>
              <w:rPr>
                <w:rFonts w:ascii="Arial" w:cs="Arial" w:eastAsia="Arial" w:hAnsi="Arial"/>
                <w:sz w:val="13"/>
                <w:szCs w:val="13"/>
                <w:color w:val="auto"/>
              </w:rPr>
              <w:t>diluted</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1.12</w:t>
            </w:r>
          </w:p>
        </w:tc>
        <w:tc>
          <w:tcPr>
            <w:tcW w:w="4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0.57</w:t>
            </w:r>
          </w:p>
        </w:tc>
        <w:tc>
          <w:tcPr>
            <w:tcW w:w="4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0.32</w:t>
            </w: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0.42</w:t>
            </w:r>
          </w:p>
        </w:tc>
        <w:tc>
          <w:tcPr>
            <w:tcW w:w="4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0.38</w:t>
            </w: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(0.88)</w:t>
            </w:r>
          </w:p>
        </w:tc>
        <w:tc>
          <w:tcPr>
            <w:tcW w:w="4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0.10</w:t>
            </w:r>
          </w:p>
        </w:tc>
        <w:tc>
          <w:tcPr>
            <w:tcW w:w="0" w:type="dxa"/>
            <w:vAlign w:val="bottom"/>
          </w:tcPr>
          <w:p>
            <w:pPr>
              <w:spacing w:after="0"/>
              <w:rPr>
                <w:sz w:val="1"/>
                <w:szCs w:val="1"/>
                <w:color w:val="auto"/>
              </w:rPr>
            </w:pPr>
          </w:p>
        </w:tc>
      </w:tr>
      <w:tr>
        <w:trPr>
          <w:trHeight w:val="20"/>
        </w:trPr>
        <w:tc>
          <w:tcPr>
            <w:tcW w:w="3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240" w:type="dxa"/>
            <w:vAlign w:val="bottom"/>
            <w:gridSpan w:val="2"/>
            <w:shd w:val="clear" w:color="auto" w:fill="CFF0FC"/>
          </w:tcPr>
          <w:p>
            <w:pPr>
              <w:spacing w:after="0" w:line="98" w:lineRule="exact"/>
              <w:rPr>
                <w:sz w:val="20"/>
                <w:szCs w:val="20"/>
                <w:color w:val="auto"/>
              </w:rPr>
            </w:pPr>
            <w:r>
              <w:rPr>
                <w:rFonts w:ascii="Arial" w:cs="Arial" w:eastAsia="Arial" w:hAnsi="Arial"/>
                <w:sz w:val="10"/>
                <w:szCs w:val="10"/>
                <w:color w:val="auto"/>
              </w:rPr>
              <w:t>Dividends per common share (Voting and Series A</w:t>
            </w:r>
          </w:p>
        </w:tc>
        <w:tc>
          <w:tcPr>
            <w:tcW w:w="80" w:type="dxa"/>
            <w:vAlign w:val="bottom"/>
            <w:shd w:val="clear" w:color="auto" w:fill="CFF0FC"/>
          </w:tcPr>
          <w:p>
            <w:pPr>
              <w:spacing w:after="0"/>
              <w:rPr>
                <w:sz w:val="8"/>
                <w:szCs w:val="8"/>
                <w:color w:val="auto"/>
              </w:rPr>
            </w:pPr>
          </w:p>
        </w:tc>
        <w:tc>
          <w:tcPr>
            <w:tcW w:w="920" w:type="dxa"/>
            <w:vAlign w:val="bottom"/>
            <w:tcBorders>
              <w:right w:val="single" w:sz="8" w:color="CFF0FC"/>
            </w:tcBorders>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100" w:type="dxa"/>
            <w:vAlign w:val="bottom"/>
            <w:shd w:val="clear" w:color="auto" w:fill="CFF0FC"/>
          </w:tcPr>
          <w:p>
            <w:pPr>
              <w:spacing w:after="0"/>
              <w:rPr>
                <w:sz w:val="20"/>
                <w:szCs w:val="20"/>
                <w:color w:val="auto"/>
              </w:rPr>
            </w:pPr>
            <w:r>
              <w:rPr>
                <w:rFonts w:ascii="Arial" w:cs="Arial" w:eastAsia="Arial" w:hAnsi="Arial"/>
                <w:sz w:val="13"/>
                <w:szCs w:val="13"/>
                <w:color w:val="auto"/>
              </w:rPr>
              <w:t>Non-Voting)</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0.30</w:t>
            </w: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0.30</w:t>
            </w: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0.10</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0.10</w:t>
            </w: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0.10</w:t>
            </w: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0.10</w:t>
            </w: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0.10</w:t>
            </w:r>
          </w:p>
        </w:tc>
        <w:tc>
          <w:tcPr>
            <w:tcW w:w="0" w:type="dxa"/>
            <w:vAlign w:val="bottom"/>
          </w:tcPr>
          <w:p>
            <w:pPr>
              <w:spacing w:after="0"/>
              <w:rPr>
                <w:sz w:val="1"/>
                <w:szCs w:val="1"/>
                <w:color w:val="auto"/>
              </w:rPr>
            </w:pPr>
          </w:p>
        </w:tc>
      </w:tr>
      <w:tr>
        <w:trPr>
          <w:trHeight w:val="20"/>
        </w:trPr>
        <w:tc>
          <w:tcPr>
            <w:tcW w:w="3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-4893945</wp:posOffset>
            </wp:positionV>
            <wp:extent cx="946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-4893945</wp:posOffset>
            </wp:positionV>
            <wp:extent cx="946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-4893945</wp:posOffset>
            </wp:positionV>
            <wp:extent cx="946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-4893945</wp:posOffset>
            </wp:positionV>
            <wp:extent cx="946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-4893945</wp:posOffset>
            </wp:positionV>
            <wp:extent cx="939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-4893945</wp:posOffset>
            </wp:positionV>
            <wp:extent cx="939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-4893945</wp:posOffset>
            </wp:positionV>
            <wp:extent cx="946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-4362450</wp:posOffset>
            </wp:positionV>
            <wp:extent cx="946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-4362450</wp:posOffset>
            </wp:positionV>
            <wp:extent cx="946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-4362450</wp:posOffset>
            </wp:positionV>
            <wp:extent cx="946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-4362450</wp:posOffset>
            </wp:positionV>
            <wp:extent cx="946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-4362450</wp:posOffset>
            </wp:positionV>
            <wp:extent cx="939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-4362450</wp:posOffset>
            </wp:positionV>
            <wp:extent cx="939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-4362450</wp:posOffset>
            </wp:positionV>
            <wp:extent cx="946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-3830955</wp:posOffset>
            </wp:positionV>
            <wp:extent cx="946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-3830955</wp:posOffset>
            </wp:positionV>
            <wp:extent cx="946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-3830955</wp:posOffset>
            </wp:positionV>
            <wp:extent cx="946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-3830955</wp:posOffset>
            </wp:positionV>
            <wp:extent cx="946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-3830955</wp:posOffset>
            </wp:positionV>
            <wp:extent cx="939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-3830955</wp:posOffset>
            </wp:positionV>
            <wp:extent cx="939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-3830955</wp:posOffset>
            </wp:positionV>
            <wp:extent cx="946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-3557270</wp:posOffset>
            </wp:positionV>
            <wp:extent cx="946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-3557270</wp:posOffset>
            </wp:positionV>
            <wp:extent cx="946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-3557270</wp:posOffset>
            </wp:positionV>
            <wp:extent cx="946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-3557270</wp:posOffset>
            </wp:positionV>
            <wp:extent cx="946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-3557270</wp:posOffset>
            </wp:positionV>
            <wp:extent cx="939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-3557270</wp:posOffset>
            </wp:positionV>
            <wp:extent cx="939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-3557270</wp:posOffset>
            </wp:positionV>
            <wp:extent cx="946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-2348230</wp:posOffset>
            </wp:positionV>
            <wp:extent cx="9461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-2348230</wp:posOffset>
            </wp:positionV>
            <wp:extent cx="946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-2348230</wp:posOffset>
            </wp:positionV>
            <wp:extent cx="946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-2348230</wp:posOffset>
            </wp:positionV>
            <wp:extent cx="946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-2348230</wp:posOffset>
            </wp:positionV>
            <wp:extent cx="93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-2348230</wp:posOffset>
            </wp:positionV>
            <wp:extent cx="93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-2348230</wp:posOffset>
            </wp:positionV>
            <wp:extent cx="946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-1122680</wp:posOffset>
            </wp:positionV>
            <wp:extent cx="946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-1122680</wp:posOffset>
            </wp:positionV>
            <wp:extent cx="946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-1122680</wp:posOffset>
            </wp:positionV>
            <wp:extent cx="946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-1122680</wp:posOffset>
            </wp:positionV>
            <wp:extent cx="946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-1122680</wp:posOffset>
            </wp:positionV>
            <wp:extent cx="93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-1122680</wp:posOffset>
            </wp:positionV>
            <wp:extent cx="93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-1122680</wp:posOffset>
            </wp:positionV>
            <wp:extent cx="946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-934085</wp:posOffset>
            </wp:positionV>
            <wp:extent cx="946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-934085</wp:posOffset>
            </wp:positionV>
            <wp:extent cx="946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-934085</wp:posOffset>
            </wp:positionV>
            <wp:extent cx="946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-934085</wp:posOffset>
            </wp:positionV>
            <wp:extent cx="9461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-934085</wp:posOffset>
            </wp:positionV>
            <wp:extent cx="93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-934085</wp:posOffset>
            </wp:positionV>
            <wp:extent cx="93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-934085</wp:posOffset>
            </wp:positionV>
            <wp:extent cx="9461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-728345</wp:posOffset>
            </wp:positionV>
            <wp:extent cx="946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-710565</wp:posOffset>
            </wp:positionV>
            <wp:extent cx="946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-728345</wp:posOffset>
            </wp:positionV>
            <wp:extent cx="946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-710565</wp:posOffset>
            </wp:positionV>
            <wp:extent cx="946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-728345</wp:posOffset>
            </wp:positionV>
            <wp:extent cx="946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-710565</wp:posOffset>
            </wp:positionV>
            <wp:extent cx="946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-728345</wp:posOffset>
            </wp:positionV>
            <wp:extent cx="946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-710565</wp:posOffset>
            </wp:positionV>
            <wp:extent cx="946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-728345</wp:posOffset>
            </wp:positionV>
            <wp:extent cx="939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-710565</wp:posOffset>
            </wp:positionV>
            <wp:extent cx="939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-728345</wp:posOffset>
            </wp:positionV>
            <wp:extent cx="939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-710565</wp:posOffset>
            </wp:positionV>
            <wp:extent cx="939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-728345</wp:posOffset>
            </wp:positionV>
            <wp:extent cx="946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-710565</wp:posOffset>
            </wp:positionV>
            <wp:extent cx="946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-419735</wp:posOffset>
            </wp:positionV>
            <wp:extent cx="946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-402590</wp:posOffset>
            </wp:positionV>
            <wp:extent cx="946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-419735</wp:posOffset>
            </wp:positionV>
            <wp:extent cx="946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-402590</wp:posOffset>
            </wp:positionV>
            <wp:extent cx="946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-419735</wp:posOffset>
            </wp:positionV>
            <wp:extent cx="946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-402590</wp:posOffset>
            </wp:positionV>
            <wp:extent cx="946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-419735</wp:posOffset>
            </wp:positionV>
            <wp:extent cx="946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-402590</wp:posOffset>
            </wp:positionV>
            <wp:extent cx="946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-419735</wp:posOffset>
            </wp:positionV>
            <wp:extent cx="939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-402590</wp:posOffset>
            </wp:positionV>
            <wp:extent cx="939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-419735</wp:posOffset>
            </wp:positionV>
            <wp:extent cx="939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-402590</wp:posOffset>
            </wp:positionV>
            <wp:extent cx="939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-419735</wp:posOffset>
            </wp:positionV>
            <wp:extent cx="946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-402590</wp:posOffset>
            </wp:positionV>
            <wp:extent cx="946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-25400</wp:posOffset>
            </wp:positionV>
            <wp:extent cx="946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-8255</wp:posOffset>
            </wp:positionV>
            <wp:extent cx="9461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-25400</wp:posOffset>
            </wp:positionV>
            <wp:extent cx="946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-8255</wp:posOffset>
            </wp:positionV>
            <wp:extent cx="946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-25400</wp:posOffset>
            </wp:positionV>
            <wp:extent cx="946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9461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-25400</wp:posOffset>
            </wp:positionV>
            <wp:extent cx="9461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-8255</wp:posOffset>
            </wp:positionV>
            <wp:extent cx="9461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-25400</wp:posOffset>
            </wp:positionV>
            <wp:extent cx="939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-8255</wp:posOffset>
            </wp:positionV>
            <wp:extent cx="939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-25400</wp:posOffset>
            </wp:positionV>
            <wp:extent cx="939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-8255</wp:posOffset>
            </wp:positionV>
            <wp:extent cx="939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946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-8255</wp:posOffset>
            </wp:positionV>
            <wp:extent cx="9461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ind w:right="3240" w:firstLine="8"/>
        <w:spacing w:after="0" w:line="490" w:lineRule="auto"/>
        <w:tabs>
          <w:tab w:leader="none" w:pos="60" w:val="left"/>
        </w:tabs>
        <w:numPr>
          <w:ilvl w:val="0"/>
          <w:numId w:val="7"/>
        </w:numPr>
        <w:rPr>
          <w:rFonts w:ascii="Arial" w:cs="Arial" w:eastAsia="Arial" w:hAnsi="Arial"/>
          <w:sz w:val="7"/>
          <w:szCs w:val="7"/>
          <w:color w:val="auto"/>
        </w:rPr>
      </w:pPr>
      <w:r>
        <w:rPr>
          <w:rFonts w:ascii="Arial" w:cs="Arial" w:eastAsia="Arial" w:hAnsi="Arial"/>
          <w:sz w:val="11"/>
          <w:szCs w:val="11"/>
          <w:color w:val="auto"/>
        </w:rPr>
        <w:t>The loss reflects a valuation adjustment “Lower-of-cost-or-market" adjustment on loans held for sale to their estimated market value based on active sale negotiations. The above information is unaudited and preliminary, based on the Company's data available at the time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49"/>
        </w:trPr>
        <w:tc>
          <w:tcPr>
            <w:tcW w:w="3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gridSpan w:val="4"/>
          </w:tcPr>
          <w:p>
            <w:pPr>
              <w:jc w:val="center"/>
              <w:ind w:right="177"/>
              <w:spacing w:after="0"/>
              <w:rPr>
                <w:sz w:val="20"/>
                <w:szCs w:val="20"/>
                <w:color w:val="auto"/>
              </w:rPr>
            </w:pPr>
            <w:r>
              <w:rPr>
                <w:rFonts w:ascii="Arial" w:cs="Arial" w:eastAsia="Arial" w:hAnsi="Arial"/>
                <w:sz w:val="13"/>
                <w:szCs w:val="13"/>
                <w:b w:val="1"/>
                <w:bCs w:val="1"/>
                <w:color w:val="auto"/>
                <w:w w:val="96"/>
              </w:rPr>
              <w:t>Nine Months Ended September</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ind w:right="377"/>
              <w:spacing w:after="0"/>
              <w:rPr>
                <w:sz w:val="20"/>
                <w:szCs w:val="20"/>
                <w:color w:val="auto"/>
              </w:rPr>
            </w:pPr>
            <w:r>
              <w:rPr>
                <w:rFonts w:ascii="Arial" w:cs="Arial" w:eastAsia="Arial" w:hAnsi="Arial"/>
                <w:sz w:val="13"/>
                <w:szCs w:val="13"/>
                <w:b w:val="1"/>
                <w:bCs w:val="1"/>
                <w:color w:val="auto"/>
              </w:rPr>
              <w:t>2026</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2025</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20" w:type="dxa"/>
            <w:vAlign w:val="bottom"/>
            <w:vMerge w:val="restart"/>
          </w:tcPr>
          <w:p>
            <w:pPr>
              <w:spacing w:after="0"/>
              <w:rPr>
                <w:sz w:val="20"/>
                <w:szCs w:val="20"/>
                <w:color w:val="auto"/>
              </w:rPr>
            </w:pPr>
            <w:r>
              <w:rPr>
                <w:rFonts w:ascii="Arial" w:cs="Arial" w:eastAsia="Arial" w:hAnsi="Arial"/>
                <w:sz w:val="13"/>
                <w:szCs w:val="13"/>
                <w:b w:val="1"/>
                <w:bCs w:val="1"/>
                <w:color w:val="auto"/>
              </w:rPr>
              <w:t>FINANCIAL HIGHLIGHTS: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30,</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0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ind w:right="97"/>
              <w:spacing w:after="0" w:line="129" w:lineRule="exact"/>
              <w:rPr>
                <w:sz w:val="20"/>
                <w:szCs w:val="20"/>
                <w:color w:val="auto"/>
              </w:rPr>
            </w:pPr>
            <w:r>
              <w:rPr>
                <w:rFonts w:ascii="Arial" w:cs="Arial" w:eastAsia="Arial" w:hAnsi="Arial"/>
                <w:sz w:val="13"/>
                <w:szCs w:val="13"/>
                <w:b w:val="1"/>
                <w:bCs w:val="1"/>
                <w:color w:val="auto"/>
              </w:rPr>
              <w:t>2026</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ind w:right="77"/>
              <w:spacing w:after="0" w:line="129" w:lineRule="exact"/>
              <w:rPr>
                <w:sz w:val="20"/>
                <w:szCs w:val="20"/>
                <w:color w:val="auto"/>
              </w:rPr>
            </w:pPr>
            <w:r>
              <w:rPr>
                <w:rFonts w:ascii="Arial" w:cs="Arial" w:eastAsia="Arial" w:hAnsi="Arial"/>
                <w:sz w:val="13"/>
                <w:szCs w:val="13"/>
                <w:b w:val="1"/>
                <w:bCs w:val="1"/>
                <w:color w:val="auto"/>
              </w:rPr>
              <w:t>2025</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77"/>
              <w:spacing w:after="0" w:line="129" w:lineRule="exact"/>
              <w:rPr>
                <w:sz w:val="20"/>
                <w:szCs w:val="20"/>
                <w:color w:val="auto"/>
              </w:rPr>
            </w:pPr>
            <w:r>
              <w:rPr>
                <w:rFonts w:ascii="Arial" w:cs="Arial" w:eastAsia="Arial" w:hAnsi="Arial"/>
                <w:sz w:val="13"/>
                <w:szCs w:val="13"/>
                <w:b w:val="1"/>
                <w:bCs w:val="1"/>
                <w:color w:val="auto"/>
              </w:rPr>
              <w:t>Q3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ind w:right="97"/>
              <w:spacing w:after="0" w:line="129" w:lineRule="exact"/>
              <w:rPr>
                <w:sz w:val="20"/>
                <w:szCs w:val="20"/>
                <w:color w:val="auto"/>
              </w:rPr>
            </w:pPr>
            <w:r>
              <w:rPr>
                <w:rFonts w:ascii="Arial" w:cs="Arial" w:eastAsia="Arial" w:hAnsi="Arial"/>
                <w:sz w:val="13"/>
                <w:szCs w:val="13"/>
                <w:b w:val="1"/>
                <w:bCs w:val="1"/>
                <w:color w:val="auto"/>
              </w:rPr>
              <w:t>Q2</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ind w:right="97"/>
              <w:spacing w:after="0" w:line="129" w:lineRule="exact"/>
              <w:rPr>
                <w:sz w:val="20"/>
                <w:szCs w:val="20"/>
                <w:color w:val="auto"/>
              </w:rPr>
            </w:pPr>
            <w:r>
              <w:rPr>
                <w:rFonts w:ascii="Arial" w:cs="Arial" w:eastAsia="Arial" w:hAnsi="Arial"/>
                <w:sz w:val="13"/>
                <w:szCs w:val="13"/>
                <w:b w:val="1"/>
                <w:bCs w:val="1"/>
                <w:color w:val="auto"/>
              </w:rPr>
              <w:t>Q1</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jc w:val="right"/>
              <w:ind w:right="300"/>
              <w:spacing w:after="0" w:line="129" w:lineRule="exact"/>
              <w:rPr>
                <w:sz w:val="20"/>
                <w:szCs w:val="20"/>
                <w:color w:val="auto"/>
              </w:rPr>
            </w:pPr>
            <w:r>
              <w:rPr>
                <w:rFonts w:ascii="Arial" w:cs="Arial" w:eastAsia="Arial" w:hAnsi="Arial"/>
                <w:sz w:val="13"/>
                <w:szCs w:val="13"/>
                <w:b w:val="1"/>
                <w:bCs w:val="1"/>
                <w:color w:val="auto"/>
              </w:rPr>
              <w:t>Q4</w:t>
            </w:r>
          </w:p>
        </w:tc>
        <w:tc>
          <w:tcPr>
            <w:tcW w:w="240" w:type="dxa"/>
            <w:vAlign w:val="bottom"/>
          </w:tcPr>
          <w:p>
            <w:pPr>
              <w:spacing w:after="0"/>
              <w:rPr>
                <w:sz w:val="11"/>
                <w:szCs w:val="11"/>
                <w:color w:val="auto"/>
              </w:rPr>
            </w:pPr>
          </w:p>
        </w:tc>
        <w:tc>
          <w:tcPr>
            <w:tcW w:w="780" w:type="dxa"/>
            <w:vAlign w:val="bottom"/>
          </w:tcPr>
          <w:p>
            <w:pPr>
              <w:jc w:val="right"/>
              <w:ind w:right="77"/>
              <w:spacing w:after="0" w:line="129" w:lineRule="exact"/>
              <w:rPr>
                <w:sz w:val="20"/>
                <w:szCs w:val="20"/>
                <w:color w:val="auto"/>
              </w:rPr>
            </w:pPr>
            <w:r>
              <w:rPr>
                <w:rFonts w:ascii="Arial" w:cs="Arial" w:eastAsia="Arial" w:hAnsi="Arial"/>
                <w:sz w:val="13"/>
                <w:szCs w:val="13"/>
                <w:b w:val="1"/>
                <w:bCs w:val="1"/>
                <w:color w:val="auto"/>
              </w:rPr>
              <w:t>Q3</w:t>
            </w:r>
          </w:p>
        </w:tc>
        <w:tc>
          <w:tcPr>
            <w:tcW w:w="0" w:type="dxa"/>
            <w:vAlign w:val="bottom"/>
          </w:tcPr>
          <w:p>
            <w:pPr>
              <w:spacing w:after="0"/>
              <w:rPr>
                <w:sz w:val="1"/>
                <w:szCs w:val="1"/>
                <w:color w:val="auto"/>
              </w:rPr>
            </w:pPr>
          </w:p>
        </w:tc>
      </w:tr>
      <w:tr>
        <w:trPr>
          <w:trHeight w:val="128"/>
        </w:trPr>
        <w:tc>
          <w:tcPr>
            <w:tcW w:w="3020" w:type="dxa"/>
            <w:vAlign w:val="bottom"/>
            <w:tcBorders>
              <w:top w:val="single" w:sz="8" w:color="auto"/>
            </w:tcBorders>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Selected Ratios:</w:t>
            </w:r>
          </w:p>
        </w:tc>
        <w:tc>
          <w:tcPr>
            <w:tcW w:w="16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40"/>
              <w:spacing w:after="0" w:line="135" w:lineRule="exact"/>
              <w:rPr>
                <w:sz w:val="20"/>
                <w:szCs w:val="20"/>
                <w:color w:val="auto"/>
              </w:rPr>
            </w:pPr>
            <w:r>
              <w:rPr>
                <w:rFonts w:ascii="Arial" w:cs="Arial" w:eastAsia="Arial" w:hAnsi="Arial"/>
                <w:sz w:val="13"/>
                <w:szCs w:val="13"/>
                <w:color w:val="auto"/>
              </w:rPr>
              <w:t>Return on average assets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0.66%</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0.33%</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0.56%</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0.73%</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0.68%</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-1.54%</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0.17%</w:t>
            </w:r>
          </w:p>
        </w:tc>
        <w:tc>
          <w:tcPr>
            <w:tcW w:w="0" w:type="dxa"/>
            <w:vAlign w:val="bottom"/>
          </w:tcPr>
          <w:p>
            <w:pPr>
              <w:spacing w:after="0"/>
              <w:rPr>
                <w:sz w:val="1"/>
                <w:szCs w:val="1"/>
                <w:color w:val="auto"/>
              </w:rPr>
            </w:pPr>
          </w:p>
        </w:tc>
      </w:tr>
      <w:tr>
        <w:trPr>
          <w:trHeight w:val="135"/>
        </w:trPr>
        <w:tc>
          <w:tcPr>
            <w:tcW w:w="3020" w:type="dxa"/>
            <w:vAlign w:val="bottom"/>
            <w:shd w:val="clear" w:color="auto" w:fill="CFF0FC"/>
          </w:tcPr>
          <w:p>
            <w:pPr>
              <w:ind w:left="40"/>
              <w:spacing w:after="0" w:line="135" w:lineRule="exact"/>
              <w:rPr>
                <w:sz w:val="20"/>
                <w:szCs w:val="20"/>
                <w:color w:val="auto"/>
              </w:rPr>
            </w:pPr>
            <w:r>
              <w:rPr>
                <w:rFonts w:ascii="Arial" w:cs="Arial" w:eastAsia="Arial" w:hAnsi="Arial"/>
                <w:sz w:val="13"/>
                <w:szCs w:val="13"/>
                <w:color w:val="auto"/>
              </w:rPr>
              <w:t>Return on average common equity</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7.64%</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3.87%</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6.60%</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8.56%</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7.78%</w:t>
            </w: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-17.29%</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1.98%</w:t>
            </w:r>
          </w:p>
        </w:tc>
        <w:tc>
          <w:tcPr>
            <w:tcW w:w="0" w:type="dxa"/>
            <w:vAlign w:val="bottom"/>
          </w:tcPr>
          <w:p>
            <w:pPr>
              <w:spacing w:after="0"/>
              <w:rPr>
                <w:sz w:val="1"/>
                <w:szCs w:val="1"/>
                <w:color w:val="auto"/>
              </w:rPr>
            </w:pPr>
          </w:p>
        </w:tc>
      </w:tr>
      <w:tr>
        <w:trPr>
          <w:trHeight w:val="135"/>
        </w:trPr>
        <w:tc>
          <w:tcPr>
            <w:tcW w:w="3020" w:type="dxa"/>
            <w:vAlign w:val="bottom"/>
          </w:tcPr>
          <w:p>
            <w:pPr>
              <w:ind w:left="40"/>
              <w:spacing w:after="0" w:line="135" w:lineRule="exact"/>
              <w:rPr>
                <w:sz w:val="20"/>
                <w:szCs w:val="20"/>
                <w:color w:val="auto"/>
              </w:rPr>
            </w:pPr>
            <w:r>
              <w:rPr>
                <w:rFonts w:ascii="Arial" w:cs="Arial" w:eastAsia="Arial" w:hAnsi="Arial"/>
                <w:sz w:val="13"/>
                <w:szCs w:val="13"/>
                <w:color w:val="auto"/>
              </w:rPr>
              <w:t>Return on average equity</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7.64%</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3.87%</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6.60%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8.56%</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7.78%</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-17.29%</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1.98%</w:t>
            </w:r>
          </w:p>
        </w:tc>
        <w:tc>
          <w:tcPr>
            <w:tcW w:w="0" w:type="dxa"/>
            <w:vAlign w:val="bottom"/>
          </w:tcPr>
          <w:p>
            <w:pPr>
              <w:spacing w:after="0"/>
              <w:rPr>
                <w:sz w:val="1"/>
                <w:szCs w:val="1"/>
                <w:color w:val="auto"/>
              </w:rPr>
            </w:pPr>
          </w:p>
        </w:tc>
      </w:tr>
      <w:tr>
        <w:trPr>
          <w:trHeight w:val="135"/>
        </w:trPr>
        <w:tc>
          <w:tcPr>
            <w:tcW w:w="3020" w:type="dxa"/>
            <w:vAlign w:val="bottom"/>
            <w:shd w:val="clear" w:color="auto" w:fill="CFF0FC"/>
          </w:tcPr>
          <w:p>
            <w:pPr>
              <w:ind w:left="40"/>
              <w:spacing w:after="0" w:line="135" w:lineRule="exact"/>
              <w:rPr>
                <w:sz w:val="20"/>
                <w:szCs w:val="20"/>
                <w:color w:val="auto"/>
              </w:rPr>
            </w:pPr>
            <w:r>
              <w:rPr>
                <w:rFonts w:ascii="Arial" w:cs="Arial" w:eastAsia="Arial" w:hAnsi="Arial"/>
                <w:sz w:val="12"/>
                <w:szCs w:val="12"/>
                <w:color w:val="auto"/>
              </w:rPr>
              <w:t xml:space="preserve">Return on average tangible common equity </w:t>
            </w:r>
            <w:r>
              <w:rPr>
                <w:rFonts w:ascii="Arial" w:cs="Arial" w:eastAsia="Arial" w:hAnsi="Arial"/>
                <w:sz w:val="15"/>
                <w:szCs w:val="15"/>
                <w:color w:val="auto"/>
                <w:vertAlign w:val="superscript"/>
              </w:rPr>
              <w:t>1</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8.35%</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4.25%</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7.12%</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9.34%</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8.61%</w:t>
            </w: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-18.67%</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2.17%</w:t>
            </w:r>
          </w:p>
        </w:tc>
        <w:tc>
          <w:tcPr>
            <w:tcW w:w="0" w:type="dxa"/>
            <w:vAlign w:val="bottom"/>
          </w:tcPr>
          <w:p>
            <w:pPr>
              <w:spacing w:after="0"/>
              <w:rPr>
                <w:sz w:val="1"/>
                <w:szCs w:val="1"/>
                <w:color w:val="auto"/>
              </w:rPr>
            </w:pPr>
          </w:p>
        </w:tc>
      </w:tr>
      <w:tr>
        <w:trPr>
          <w:trHeight w:val="135"/>
        </w:trPr>
        <w:tc>
          <w:tcPr>
            <w:tcW w:w="3020" w:type="dxa"/>
            <w:vAlign w:val="bottom"/>
          </w:tcPr>
          <w:p>
            <w:pPr>
              <w:ind w:left="40"/>
              <w:spacing w:after="0" w:line="135" w:lineRule="exact"/>
              <w:rPr>
                <w:sz w:val="20"/>
                <w:szCs w:val="20"/>
                <w:color w:val="auto"/>
              </w:rPr>
            </w:pPr>
            <w:r>
              <w:rPr>
                <w:rFonts w:ascii="Arial" w:cs="Arial" w:eastAsia="Arial" w:hAnsi="Arial"/>
                <w:sz w:val="13"/>
                <w:szCs w:val="13"/>
                <w:color w:val="auto"/>
              </w:rPr>
              <w:t>Net interest margin</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3.08%</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3.25%</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3.07%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3.08%</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3.10%</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3.09%</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3.34%</w:t>
            </w:r>
          </w:p>
        </w:tc>
        <w:tc>
          <w:tcPr>
            <w:tcW w:w="0" w:type="dxa"/>
            <w:vAlign w:val="bottom"/>
          </w:tcPr>
          <w:p>
            <w:pPr>
              <w:spacing w:after="0"/>
              <w:rPr>
                <w:sz w:val="1"/>
                <w:szCs w:val="1"/>
                <w:color w:val="auto"/>
              </w:rPr>
            </w:pPr>
          </w:p>
        </w:tc>
      </w:tr>
      <w:tr>
        <w:trPr>
          <w:trHeight w:val="135"/>
        </w:trPr>
        <w:tc>
          <w:tcPr>
            <w:tcW w:w="3020" w:type="dxa"/>
            <w:vAlign w:val="bottom"/>
            <w:shd w:val="clear" w:color="auto" w:fill="CFF0FC"/>
          </w:tcPr>
          <w:p>
            <w:pPr>
              <w:ind w:left="40"/>
              <w:spacing w:after="0" w:line="135" w:lineRule="exact"/>
              <w:rPr>
                <w:sz w:val="20"/>
                <w:szCs w:val="20"/>
                <w:color w:val="auto"/>
              </w:rPr>
            </w:pPr>
            <w:r>
              <w:rPr>
                <w:rFonts w:ascii="Arial" w:cs="Arial" w:eastAsia="Arial" w:hAnsi="Arial"/>
                <w:sz w:val="13"/>
                <w:szCs w:val="13"/>
                <w:color w:val="auto"/>
              </w:rPr>
              <w:t>Loans / deposits</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75.36%</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73.34%</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75.36%</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75.70%</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73.88%</w:t>
            </w: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75.74%</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73.34%</w:t>
            </w:r>
          </w:p>
        </w:tc>
        <w:tc>
          <w:tcPr>
            <w:tcW w:w="0" w:type="dxa"/>
            <w:vAlign w:val="bottom"/>
          </w:tcPr>
          <w:p>
            <w:pPr>
              <w:spacing w:after="0"/>
              <w:rPr>
                <w:sz w:val="1"/>
                <w:szCs w:val="1"/>
                <w:color w:val="auto"/>
              </w:rPr>
            </w:pPr>
          </w:p>
        </w:tc>
      </w:tr>
      <w:tr>
        <w:trPr>
          <w:trHeight w:val="135"/>
        </w:trPr>
        <w:tc>
          <w:tcPr>
            <w:tcW w:w="3020" w:type="dxa"/>
            <w:vAlign w:val="bottom"/>
          </w:tcPr>
          <w:p>
            <w:pPr>
              <w:ind w:left="40"/>
              <w:spacing w:after="0" w:line="135" w:lineRule="exact"/>
              <w:rPr>
                <w:sz w:val="20"/>
                <w:szCs w:val="20"/>
                <w:color w:val="auto"/>
              </w:rPr>
            </w:pPr>
            <w:r>
              <w:rPr>
                <w:rFonts w:ascii="Arial" w:cs="Arial" w:eastAsia="Arial" w:hAnsi="Arial"/>
                <w:sz w:val="13"/>
                <w:szCs w:val="13"/>
                <w:color w:val="auto"/>
              </w:rPr>
              <w:t>Annualized noninterest expense / average assets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2.46%</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2.30%</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2.51%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2.39%</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2.48%</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2.51%</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r>
        <w:trPr>
          <w:trHeight w:val="135"/>
        </w:trPr>
        <w:tc>
          <w:tcPr>
            <w:tcW w:w="3020" w:type="dxa"/>
            <w:vAlign w:val="bottom"/>
            <w:shd w:val="clear" w:color="auto" w:fill="CFF0FC"/>
          </w:tcPr>
          <w:p>
            <w:pPr>
              <w:ind w:left="40"/>
              <w:spacing w:after="0" w:line="135" w:lineRule="exact"/>
              <w:rPr>
                <w:sz w:val="20"/>
                <w:szCs w:val="20"/>
                <w:color w:val="auto"/>
              </w:rPr>
            </w:pPr>
            <w:r>
              <w:rPr>
                <w:rFonts w:ascii="Arial" w:cs="Arial" w:eastAsia="Arial" w:hAnsi="Arial"/>
                <w:sz w:val="12"/>
                <w:szCs w:val="12"/>
                <w:color w:val="auto"/>
              </w:rPr>
              <w:t xml:space="preserve">Commercial real estate / risk-based capital </w:t>
            </w:r>
            <w:r>
              <w:rPr>
                <w:rFonts w:ascii="Arial" w:cs="Arial" w:eastAsia="Arial" w:hAnsi="Arial"/>
                <w:sz w:val="15"/>
                <w:szCs w:val="15"/>
                <w:color w:val="auto"/>
                <w:vertAlign w:val="superscript"/>
              </w:rPr>
              <w:t>2</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185.23%</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174.67%</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185.23%</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187.11%</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189.84%</w:t>
            </w: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190.37%</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174.67%</w:t>
            </w:r>
          </w:p>
        </w:tc>
        <w:tc>
          <w:tcPr>
            <w:tcW w:w="0" w:type="dxa"/>
            <w:vAlign w:val="bottom"/>
          </w:tcPr>
          <w:p>
            <w:pPr>
              <w:spacing w:after="0"/>
              <w:rPr>
                <w:sz w:val="1"/>
                <w:szCs w:val="1"/>
                <w:color w:val="auto"/>
              </w:rPr>
            </w:pPr>
          </w:p>
        </w:tc>
      </w:tr>
      <w:tr>
        <w:trPr>
          <w:trHeight w:val="135"/>
        </w:trPr>
        <w:tc>
          <w:tcPr>
            <w:tcW w:w="3020" w:type="dxa"/>
            <w:vAlign w:val="bottom"/>
          </w:tcPr>
          <w:p>
            <w:pPr>
              <w:ind w:left="40"/>
              <w:spacing w:after="0" w:line="135" w:lineRule="exact"/>
              <w:rPr>
                <w:sz w:val="20"/>
                <w:szCs w:val="20"/>
                <w:color w:val="auto"/>
              </w:rPr>
            </w:pPr>
            <w:r>
              <w:rPr>
                <w:rFonts w:ascii="Arial" w:cs="Arial" w:eastAsia="Arial" w:hAnsi="Arial"/>
                <w:sz w:val="12"/>
                <w:szCs w:val="12"/>
                <w:color w:val="auto"/>
              </w:rPr>
              <w:t xml:space="preserve">Efficiency ratio </w:t>
            </w:r>
            <w:r>
              <w:rPr>
                <w:rFonts w:ascii="Arial" w:cs="Arial" w:eastAsia="Arial" w:hAnsi="Arial"/>
                <w:sz w:val="15"/>
                <w:szCs w:val="15"/>
                <w:color w:val="auto"/>
                <w:vertAlign w:val="superscript"/>
              </w:rPr>
              <w:t>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76.03%</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67.24%</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78.13%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74.26%</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75.65%</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74.96%</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68.78%</w:t>
            </w:r>
          </w:p>
        </w:tc>
        <w:tc>
          <w:tcPr>
            <w:tcW w:w="0" w:type="dxa"/>
            <w:vAlign w:val="bottom"/>
          </w:tcPr>
          <w:p>
            <w:pPr>
              <w:spacing w:after="0"/>
              <w:rPr>
                <w:sz w:val="1"/>
                <w:szCs w:val="1"/>
                <w:color w:val="auto"/>
              </w:rPr>
            </w:pPr>
          </w:p>
        </w:tc>
      </w:tr>
      <w:tr>
        <w:trPr>
          <w:trHeight w:val="135"/>
        </w:trPr>
        <w:tc>
          <w:tcPr>
            <w:tcW w:w="30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spacing w:after="0" w:line="135" w:lineRule="exact"/>
              <w:rPr>
                <w:sz w:val="20"/>
                <w:szCs w:val="20"/>
                <w:color w:val="auto"/>
              </w:rPr>
            </w:pPr>
            <w:r>
              <w:rPr>
                <w:rFonts w:ascii="Arial" w:cs="Arial" w:eastAsia="Arial" w:hAnsi="Arial"/>
                <w:sz w:val="13"/>
                <w:szCs w:val="13"/>
                <w:b w:val="1"/>
                <w:bCs w:val="1"/>
                <w:color w:val="auto"/>
              </w:rPr>
              <w:t>Other Selected Data:</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FF0FC"/>
          </w:tcPr>
          <w:p>
            <w:pPr>
              <w:ind w:left="40"/>
              <w:spacing w:after="0" w:line="135" w:lineRule="exact"/>
              <w:rPr>
                <w:sz w:val="20"/>
                <w:szCs w:val="20"/>
                <w:color w:val="auto"/>
              </w:rPr>
            </w:pPr>
            <w:r>
              <w:rPr>
                <w:rFonts w:ascii="Arial" w:cs="Arial" w:eastAsia="Arial" w:hAnsi="Arial"/>
                <w:sz w:val="13"/>
                <w:szCs w:val="13"/>
                <w:color w:val="auto"/>
              </w:rPr>
              <w:t>Average yield on loans</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5.60%</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5.94%</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5.72%</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5.59%</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5.48%</w:t>
            </w: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5.74%</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6.09%</w:t>
            </w:r>
          </w:p>
        </w:tc>
        <w:tc>
          <w:tcPr>
            <w:tcW w:w="0" w:type="dxa"/>
            <w:vAlign w:val="bottom"/>
          </w:tcPr>
          <w:p>
            <w:pPr>
              <w:spacing w:after="0"/>
              <w:rPr>
                <w:sz w:val="1"/>
                <w:szCs w:val="1"/>
                <w:color w:val="auto"/>
              </w:rPr>
            </w:pPr>
          </w:p>
        </w:tc>
      </w:tr>
      <w:tr>
        <w:trPr>
          <w:trHeight w:val="135"/>
        </w:trPr>
        <w:tc>
          <w:tcPr>
            <w:tcW w:w="3020" w:type="dxa"/>
            <w:vAlign w:val="bottom"/>
          </w:tcPr>
          <w:p>
            <w:pPr>
              <w:ind w:left="40"/>
              <w:spacing w:after="0" w:line="135" w:lineRule="exact"/>
              <w:rPr>
                <w:sz w:val="20"/>
                <w:szCs w:val="20"/>
                <w:color w:val="auto"/>
              </w:rPr>
            </w:pPr>
            <w:r>
              <w:rPr>
                <w:rFonts w:ascii="Arial" w:cs="Arial" w:eastAsia="Arial" w:hAnsi="Arial"/>
                <w:sz w:val="13"/>
                <w:szCs w:val="13"/>
                <w:color w:val="auto"/>
              </w:rPr>
              <w:t>Average cost of interest-bearing deposits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2.47%</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2.76%</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2.48%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2.48%</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2.45%</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2.68%</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2.71%</w:t>
            </w:r>
          </w:p>
        </w:tc>
        <w:tc>
          <w:tcPr>
            <w:tcW w:w="0" w:type="dxa"/>
            <w:vAlign w:val="bottom"/>
          </w:tcPr>
          <w:p>
            <w:pPr>
              <w:spacing w:after="0"/>
              <w:rPr>
                <w:sz w:val="1"/>
                <w:szCs w:val="1"/>
                <w:color w:val="auto"/>
              </w:rPr>
            </w:pPr>
          </w:p>
        </w:tc>
      </w:tr>
      <w:tr>
        <w:trPr>
          <w:trHeight w:val="117"/>
        </w:trPr>
        <w:tc>
          <w:tcPr>
            <w:tcW w:w="3020" w:type="dxa"/>
            <w:vAlign w:val="bottom"/>
            <w:shd w:val="clear" w:color="auto" w:fill="CFF0FC"/>
          </w:tcPr>
          <w:p>
            <w:pPr>
              <w:ind w:left="40"/>
              <w:spacing w:after="0" w:line="117" w:lineRule="exact"/>
              <w:rPr>
                <w:sz w:val="20"/>
                <w:szCs w:val="20"/>
                <w:color w:val="auto"/>
              </w:rPr>
            </w:pPr>
            <w:r>
              <w:rPr>
                <w:rFonts w:ascii="Arial" w:cs="Arial" w:eastAsia="Arial" w:hAnsi="Arial"/>
                <w:sz w:val="13"/>
                <w:szCs w:val="13"/>
                <w:color w:val="auto"/>
                <w:w w:val="98"/>
              </w:rPr>
              <w:t>Average cost of total deposits, including noninterest-</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20" w:type="dxa"/>
            <w:vAlign w:val="bottom"/>
            <w:shd w:val="clear" w:color="auto" w:fill="CFF0FC"/>
          </w:tcPr>
          <w:p>
            <w:pPr>
              <w:ind w:left="40"/>
              <w:spacing w:after="0"/>
              <w:rPr>
                <w:sz w:val="20"/>
                <w:szCs w:val="20"/>
                <w:color w:val="auto"/>
              </w:rPr>
            </w:pPr>
            <w:r>
              <w:rPr>
                <w:rFonts w:ascii="Arial" w:cs="Arial" w:eastAsia="Arial" w:hAnsi="Arial"/>
                <w:sz w:val="13"/>
                <w:szCs w:val="13"/>
                <w:color w:val="auto"/>
              </w:rPr>
              <w:t>bearing</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2.06%</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2.31%</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2.04%</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2.06%</w:t>
            </w: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2.24%</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135"/>
        </w:trPr>
        <w:tc>
          <w:tcPr>
            <w:tcW w:w="3020" w:type="dxa"/>
            <w:vAlign w:val="bottom"/>
          </w:tcPr>
          <w:p>
            <w:pPr>
              <w:ind w:left="40"/>
              <w:spacing w:after="0" w:line="135" w:lineRule="exact"/>
              <w:rPr>
                <w:sz w:val="20"/>
                <w:szCs w:val="20"/>
                <w:color w:val="auto"/>
              </w:rPr>
            </w:pPr>
            <w:r>
              <w:rPr>
                <w:rFonts w:ascii="Arial" w:cs="Arial" w:eastAsia="Arial" w:hAnsi="Arial"/>
                <w:sz w:val="13"/>
                <w:szCs w:val="13"/>
                <w:color w:val="auto"/>
              </w:rPr>
              <w:t>Deposits/branch</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96,543</w:t>
            </w:r>
          </w:p>
        </w:tc>
        <w:tc>
          <w:tcPr>
            <w:tcW w:w="160" w:type="dxa"/>
            <w:vAlign w:val="bottom"/>
          </w:tcPr>
          <w:p>
            <w:pPr>
              <w:spacing w:after="0"/>
              <w:rPr>
                <w:sz w:val="11"/>
                <w:szCs w:val="11"/>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102,090</w:t>
            </w:r>
          </w:p>
        </w:tc>
        <w:tc>
          <w:tcPr>
            <w:tcW w:w="4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96,543</w:t>
            </w:r>
          </w:p>
        </w:tc>
        <w:tc>
          <w:tcPr>
            <w:tcW w:w="3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97,856</w:t>
            </w: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100,977</w:t>
            </w:r>
          </w:p>
        </w:tc>
        <w:tc>
          <w:tcPr>
            <w:tcW w:w="4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98,654</w:t>
            </w:r>
          </w:p>
        </w:tc>
        <w:tc>
          <w:tcPr>
            <w:tcW w:w="160" w:type="dxa"/>
            <w:vAlign w:val="bottom"/>
          </w:tcPr>
          <w:p>
            <w:pPr>
              <w:spacing w:after="0"/>
              <w:rPr>
                <w:sz w:val="11"/>
                <w:szCs w:val="11"/>
                <w:color w:val="auto"/>
              </w:rPr>
            </w:pPr>
          </w:p>
        </w:tc>
        <w:tc>
          <w:tcPr>
            <w:tcW w:w="240" w:type="dxa"/>
            <w:vAlign w:val="bottom"/>
          </w:tcPr>
          <w:p>
            <w:pPr>
              <w:jc w:val="right"/>
              <w:ind w:right="97"/>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102,090</w:t>
            </w:r>
          </w:p>
        </w:tc>
        <w:tc>
          <w:tcPr>
            <w:tcW w:w="0" w:type="dxa"/>
            <w:vAlign w:val="bottom"/>
          </w:tcPr>
          <w:p>
            <w:pPr>
              <w:spacing w:after="0"/>
              <w:rPr>
                <w:sz w:val="1"/>
                <w:szCs w:val="1"/>
                <w:color w:val="auto"/>
              </w:rPr>
            </w:pPr>
          </w:p>
        </w:tc>
      </w:tr>
      <w:tr>
        <w:trPr>
          <w:trHeight w:val="135"/>
        </w:trPr>
        <w:tc>
          <w:tcPr>
            <w:tcW w:w="3020" w:type="dxa"/>
            <w:vAlign w:val="bottom"/>
            <w:shd w:val="clear" w:color="auto" w:fill="CFF0FC"/>
          </w:tcPr>
          <w:p>
            <w:pPr>
              <w:ind w:left="40"/>
              <w:spacing w:after="0" w:line="135" w:lineRule="exact"/>
              <w:rPr>
                <w:sz w:val="20"/>
                <w:szCs w:val="20"/>
                <w:color w:val="auto"/>
              </w:rPr>
            </w:pPr>
            <w:r>
              <w:rPr>
                <w:rFonts w:ascii="Arial" w:cs="Arial" w:eastAsia="Arial" w:hAnsi="Arial"/>
                <w:sz w:val="12"/>
                <w:szCs w:val="12"/>
                <w:color w:val="auto"/>
              </w:rPr>
              <w:t xml:space="preserve">Pre-tax, pre-provision net income </w:t>
            </w:r>
            <w:r>
              <w:rPr>
                <w:rFonts w:ascii="Arial" w:cs="Arial" w:eastAsia="Arial" w:hAnsi="Arial"/>
                <w:sz w:val="15"/>
                <w:szCs w:val="15"/>
                <w:color w:val="auto"/>
                <w:vertAlign w:val="superscript"/>
              </w:rPr>
              <w:t>1</w:t>
            </w:r>
          </w:p>
        </w:tc>
        <w:tc>
          <w:tcPr>
            <w:tcW w:w="24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ind w:right="97"/>
              <w:spacing w:after="0" w:line="135" w:lineRule="exact"/>
              <w:rPr>
                <w:sz w:val="20"/>
                <w:szCs w:val="20"/>
                <w:color w:val="auto"/>
              </w:rPr>
            </w:pPr>
            <w:r>
              <w:rPr>
                <w:rFonts w:ascii="Arial" w:cs="Arial" w:eastAsia="Arial" w:hAnsi="Arial"/>
                <w:sz w:val="13"/>
                <w:szCs w:val="13"/>
                <w:color w:val="auto"/>
              </w:rPr>
              <w:t>8,419</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jc w:val="right"/>
              <w:ind w:right="12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12,391</w:t>
            </w:r>
          </w:p>
        </w:tc>
        <w:tc>
          <w:tcPr>
            <w:tcW w:w="440" w:type="dxa"/>
            <w:vAlign w:val="bottom"/>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2,619</w:t>
            </w:r>
          </w:p>
        </w:tc>
        <w:tc>
          <w:tcPr>
            <w:tcW w:w="340" w:type="dxa"/>
            <w:vAlign w:val="bottom"/>
            <w:gridSpan w:val="2"/>
            <w:shd w:val="clear" w:color="auto" w:fill="CFF0FC"/>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ind w:right="97"/>
              <w:spacing w:after="0" w:line="135" w:lineRule="exact"/>
              <w:rPr>
                <w:sz w:val="20"/>
                <w:szCs w:val="20"/>
                <w:color w:val="auto"/>
              </w:rPr>
            </w:pPr>
            <w:r>
              <w:rPr>
                <w:rFonts w:ascii="Arial" w:cs="Arial" w:eastAsia="Arial" w:hAnsi="Arial"/>
                <w:sz w:val="13"/>
                <w:szCs w:val="13"/>
                <w:color w:val="auto"/>
              </w:rPr>
              <w:t>3,003</w:t>
            </w:r>
          </w:p>
        </w:tc>
        <w:tc>
          <w:tcPr>
            <w:tcW w:w="400" w:type="dxa"/>
            <w:vAlign w:val="bottom"/>
            <w:gridSpan w:val="2"/>
            <w:shd w:val="clear" w:color="auto" w:fill="CFF0F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ind w:right="97"/>
              <w:spacing w:after="0" w:line="135" w:lineRule="exact"/>
              <w:rPr>
                <w:sz w:val="20"/>
                <w:szCs w:val="20"/>
                <w:color w:val="auto"/>
              </w:rPr>
            </w:pPr>
            <w:r>
              <w:rPr>
                <w:rFonts w:ascii="Arial" w:cs="Arial" w:eastAsia="Arial" w:hAnsi="Arial"/>
                <w:sz w:val="13"/>
                <w:szCs w:val="13"/>
                <w:color w:val="auto"/>
              </w:rPr>
              <w:t>2,797</w:t>
            </w:r>
          </w:p>
        </w:tc>
        <w:tc>
          <w:tcPr>
            <w:tcW w:w="420" w:type="dxa"/>
            <w:vAlign w:val="bottom"/>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3,056</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jc w:val="right"/>
              <w:ind w:right="97"/>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4,057</w:t>
            </w:r>
          </w:p>
        </w:tc>
        <w:tc>
          <w:tcPr>
            <w:tcW w:w="0" w:type="dxa"/>
            <w:vAlign w:val="bottom"/>
          </w:tcPr>
          <w:p>
            <w:pPr>
              <w:spacing w:after="0"/>
              <w:rPr>
                <w:sz w:val="1"/>
                <w:szCs w:val="1"/>
                <w:color w:val="auto"/>
              </w:rPr>
            </w:pPr>
          </w:p>
        </w:tc>
      </w:tr>
      <w:tr>
        <w:trPr>
          <w:trHeight w:val="135"/>
        </w:trPr>
        <w:tc>
          <w:tcPr>
            <w:tcW w:w="3020" w:type="dxa"/>
            <w:vAlign w:val="bottom"/>
          </w:tcPr>
          <w:p>
            <w:pPr>
              <w:ind w:left="40"/>
              <w:spacing w:after="0" w:line="135" w:lineRule="exact"/>
              <w:rPr>
                <w:sz w:val="20"/>
                <w:szCs w:val="20"/>
                <w:color w:val="auto"/>
              </w:rPr>
            </w:pPr>
            <w:r>
              <w:rPr>
                <w:rFonts w:ascii="Arial" w:cs="Arial" w:eastAsia="Arial" w:hAnsi="Arial"/>
                <w:sz w:val="12"/>
                <w:szCs w:val="12"/>
                <w:color w:val="auto"/>
              </w:rPr>
              <w:t xml:space="preserve">Total revenue </w:t>
            </w:r>
            <w:r>
              <w:rPr>
                <w:rFonts w:ascii="Arial" w:cs="Arial" w:eastAsia="Arial" w:hAnsi="Arial"/>
                <w:sz w:val="15"/>
                <w:szCs w:val="15"/>
                <w:color w:val="auto"/>
                <w:vertAlign w:val="superscript"/>
              </w:rPr>
              <w:t>1</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35,127</w:t>
            </w:r>
          </w:p>
        </w:tc>
        <w:tc>
          <w:tcPr>
            <w:tcW w:w="160" w:type="dxa"/>
            <w:vAlign w:val="bottom"/>
          </w:tcPr>
          <w:p>
            <w:pPr>
              <w:spacing w:after="0"/>
              <w:rPr>
                <w:sz w:val="11"/>
                <w:szCs w:val="11"/>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37,822</w:t>
            </w:r>
          </w:p>
        </w:tc>
        <w:tc>
          <w:tcPr>
            <w:tcW w:w="4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11,973</w:t>
            </w:r>
          </w:p>
        </w:tc>
        <w:tc>
          <w:tcPr>
            <w:tcW w:w="3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11,665</w:t>
            </w: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11,489</w:t>
            </w:r>
          </w:p>
        </w:tc>
        <w:tc>
          <w:tcPr>
            <w:tcW w:w="4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12,206</w:t>
            </w:r>
          </w:p>
        </w:tc>
        <w:tc>
          <w:tcPr>
            <w:tcW w:w="160" w:type="dxa"/>
            <w:vAlign w:val="bottom"/>
          </w:tcPr>
          <w:p>
            <w:pPr>
              <w:spacing w:after="0"/>
              <w:rPr>
                <w:sz w:val="11"/>
                <w:szCs w:val="11"/>
                <w:color w:val="auto"/>
              </w:rPr>
            </w:pPr>
          </w:p>
        </w:tc>
        <w:tc>
          <w:tcPr>
            <w:tcW w:w="240" w:type="dxa"/>
            <w:vAlign w:val="bottom"/>
          </w:tcPr>
          <w:p>
            <w:pPr>
              <w:jc w:val="right"/>
              <w:ind w:right="97"/>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12,994</w:t>
            </w:r>
          </w:p>
        </w:tc>
        <w:tc>
          <w:tcPr>
            <w:tcW w:w="0" w:type="dxa"/>
            <w:vAlign w:val="bottom"/>
          </w:tcPr>
          <w:p>
            <w:pPr>
              <w:spacing w:after="0"/>
              <w:rPr>
                <w:sz w:val="1"/>
                <w:szCs w:val="1"/>
                <w:color w:val="auto"/>
              </w:rPr>
            </w:pPr>
          </w:p>
        </w:tc>
      </w:tr>
      <w:tr>
        <w:trPr>
          <w:trHeight w:val="135"/>
        </w:trPr>
        <w:tc>
          <w:tcPr>
            <w:tcW w:w="30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spacing w:after="0" w:line="135" w:lineRule="exact"/>
              <w:rPr>
                <w:sz w:val="20"/>
                <w:szCs w:val="20"/>
                <w:color w:val="auto"/>
              </w:rPr>
            </w:pPr>
            <w:r>
              <w:rPr>
                <w:rFonts w:ascii="Arial" w:cs="Arial" w:eastAsia="Arial" w:hAnsi="Arial"/>
                <w:sz w:val="13"/>
                <w:szCs w:val="13"/>
                <w:b w:val="1"/>
                <w:bCs w:val="1"/>
                <w:color w:val="auto"/>
              </w:rPr>
              <w:t>Share and Per Share Data:</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FF0FC"/>
          </w:tcPr>
          <w:p>
            <w:pPr>
              <w:ind w:left="40"/>
              <w:spacing w:after="0" w:line="135" w:lineRule="exact"/>
              <w:rPr>
                <w:sz w:val="20"/>
                <w:szCs w:val="20"/>
                <w:color w:val="auto"/>
              </w:rPr>
            </w:pPr>
            <w:r>
              <w:rPr>
                <w:rFonts w:ascii="Arial" w:cs="Arial" w:eastAsia="Arial" w:hAnsi="Arial"/>
                <w:sz w:val="13"/>
                <w:szCs w:val="13"/>
                <w:color w:val="auto"/>
              </w:rPr>
              <w:t>Cash dividends per share</w:t>
            </w:r>
          </w:p>
        </w:tc>
        <w:tc>
          <w:tcPr>
            <w:tcW w:w="24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ind w:right="97"/>
              <w:spacing w:after="0" w:line="135" w:lineRule="exact"/>
              <w:rPr>
                <w:sz w:val="20"/>
                <w:szCs w:val="20"/>
                <w:color w:val="auto"/>
              </w:rPr>
            </w:pPr>
            <w:r>
              <w:rPr>
                <w:rFonts w:ascii="Arial" w:cs="Arial" w:eastAsia="Arial" w:hAnsi="Arial"/>
                <w:sz w:val="13"/>
                <w:szCs w:val="13"/>
                <w:color w:val="auto"/>
              </w:rPr>
              <w:t>0.30</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jc w:val="right"/>
              <w:ind w:right="12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0.30</w:t>
            </w:r>
          </w:p>
        </w:tc>
        <w:tc>
          <w:tcPr>
            <w:tcW w:w="440" w:type="dxa"/>
            <w:vAlign w:val="bottom"/>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0.10</w:t>
            </w:r>
          </w:p>
        </w:tc>
        <w:tc>
          <w:tcPr>
            <w:tcW w:w="340" w:type="dxa"/>
            <w:vAlign w:val="bottom"/>
            <w:gridSpan w:val="2"/>
            <w:shd w:val="clear" w:color="auto" w:fill="CFF0FC"/>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ind w:right="97"/>
              <w:spacing w:after="0" w:line="135" w:lineRule="exact"/>
              <w:rPr>
                <w:sz w:val="20"/>
                <w:szCs w:val="20"/>
                <w:color w:val="auto"/>
              </w:rPr>
            </w:pPr>
            <w:r>
              <w:rPr>
                <w:rFonts w:ascii="Arial" w:cs="Arial" w:eastAsia="Arial" w:hAnsi="Arial"/>
                <w:sz w:val="13"/>
                <w:szCs w:val="13"/>
                <w:color w:val="auto"/>
              </w:rPr>
              <w:t>0.10</w:t>
            </w:r>
          </w:p>
        </w:tc>
        <w:tc>
          <w:tcPr>
            <w:tcW w:w="400" w:type="dxa"/>
            <w:vAlign w:val="bottom"/>
            <w:gridSpan w:val="2"/>
            <w:shd w:val="clear" w:color="auto" w:fill="CFF0F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ind w:right="97"/>
              <w:spacing w:after="0" w:line="135" w:lineRule="exact"/>
              <w:rPr>
                <w:sz w:val="20"/>
                <w:szCs w:val="20"/>
                <w:color w:val="auto"/>
              </w:rPr>
            </w:pPr>
            <w:r>
              <w:rPr>
                <w:rFonts w:ascii="Arial" w:cs="Arial" w:eastAsia="Arial" w:hAnsi="Arial"/>
                <w:sz w:val="13"/>
                <w:szCs w:val="13"/>
                <w:color w:val="auto"/>
              </w:rPr>
              <w:t>0.10</w:t>
            </w:r>
          </w:p>
        </w:tc>
        <w:tc>
          <w:tcPr>
            <w:tcW w:w="420" w:type="dxa"/>
            <w:vAlign w:val="bottom"/>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0.10</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jc w:val="right"/>
              <w:ind w:right="97"/>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0.10</w:t>
            </w:r>
          </w:p>
        </w:tc>
        <w:tc>
          <w:tcPr>
            <w:tcW w:w="0" w:type="dxa"/>
            <w:vAlign w:val="bottom"/>
          </w:tcPr>
          <w:p>
            <w:pPr>
              <w:spacing w:after="0"/>
              <w:rPr>
                <w:sz w:val="1"/>
                <w:szCs w:val="1"/>
                <w:color w:val="auto"/>
              </w:rPr>
            </w:pPr>
          </w:p>
        </w:tc>
      </w:tr>
      <w:tr>
        <w:trPr>
          <w:trHeight w:val="135"/>
        </w:trPr>
        <w:tc>
          <w:tcPr>
            <w:tcW w:w="3020" w:type="dxa"/>
            <w:vAlign w:val="bottom"/>
          </w:tcPr>
          <w:p>
            <w:pPr>
              <w:ind w:left="40"/>
              <w:spacing w:after="0" w:line="135" w:lineRule="exact"/>
              <w:rPr>
                <w:sz w:val="20"/>
                <w:szCs w:val="20"/>
                <w:color w:val="auto"/>
              </w:rPr>
            </w:pPr>
            <w:r>
              <w:rPr>
                <w:rFonts w:ascii="Arial" w:cs="Arial" w:eastAsia="Arial" w:hAnsi="Arial"/>
                <w:sz w:val="13"/>
                <w:szCs w:val="13"/>
                <w:color w:val="auto"/>
              </w:rPr>
              <w:t>Book value per common share</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18.91</w:t>
            </w:r>
          </w:p>
        </w:tc>
        <w:tc>
          <w:tcPr>
            <w:tcW w:w="160" w:type="dxa"/>
            <w:vAlign w:val="bottom"/>
          </w:tcPr>
          <w:p>
            <w:pPr>
              <w:spacing w:after="0"/>
              <w:rPr>
                <w:sz w:val="11"/>
                <w:szCs w:val="11"/>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20.46</w:t>
            </w:r>
          </w:p>
        </w:tc>
        <w:tc>
          <w:tcPr>
            <w:tcW w:w="4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18.91</w:t>
            </w:r>
          </w:p>
        </w:tc>
        <w:tc>
          <w:tcPr>
            <w:tcW w:w="3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20.03</w:t>
            </w: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19.75</w:t>
            </w:r>
          </w:p>
        </w:tc>
        <w:tc>
          <w:tcPr>
            <w:tcW w:w="4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19.80</w:t>
            </w:r>
          </w:p>
        </w:tc>
        <w:tc>
          <w:tcPr>
            <w:tcW w:w="160" w:type="dxa"/>
            <w:vAlign w:val="bottom"/>
          </w:tcPr>
          <w:p>
            <w:pPr>
              <w:spacing w:after="0"/>
              <w:rPr>
                <w:sz w:val="11"/>
                <w:szCs w:val="11"/>
                <w:color w:val="auto"/>
              </w:rPr>
            </w:pPr>
          </w:p>
        </w:tc>
        <w:tc>
          <w:tcPr>
            <w:tcW w:w="240" w:type="dxa"/>
            <w:vAlign w:val="bottom"/>
          </w:tcPr>
          <w:p>
            <w:pPr>
              <w:jc w:val="right"/>
              <w:ind w:right="97"/>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20.46</w:t>
            </w:r>
          </w:p>
        </w:tc>
        <w:tc>
          <w:tcPr>
            <w:tcW w:w="0" w:type="dxa"/>
            <w:vAlign w:val="bottom"/>
          </w:tcPr>
          <w:p>
            <w:pPr>
              <w:spacing w:after="0"/>
              <w:rPr>
                <w:sz w:val="1"/>
                <w:szCs w:val="1"/>
                <w:color w:val="auto"/>
              </w:rPr>
            </w:pPr>
          </w:p>
        </w:tc>
      </w:tr>
      <w:tr>
        <w:trPr>
          <w:trHeight w:val="135"/>
        </w:trPr>
        <w:tc>
          <w:tcPr>
            <w:tcW w:w="3020" w:type="dxa"/>
            <w:vAlign w:val="bottom"/>
            <w:shd w:val="clear" w:color="auto" w:fill="CFF0FC"/>
          </w:tcPr>
          <w:p>
            <w:pPr>
              <w:ind w:left="40"/>
              <w:spacing w:after="0" w:line="135" w:lineRule="exact"/>
              <w:rPr>
                <w:sz w:val="20"/>
                <w:szCs w:val="20"/>
                <w:color w:val="auto"/>
              </w:rPr>
            </w:pPr>
            <w:r>
              <w:rPr>
                <w:rFonts w:ascii="Arial" w:cs="Arial" w:eastAsia="Arial" w:hAnsi="Arial"/>
                <w:sz w:val="12"/>
                <w:szCs w:val="12"/>
                <w:color w:val="auto"/>
              </w:rPr>
              <w:t xml:space="preserve">Tangible book value per common share </w:t>
            </w:r>
            <w:r>
              <w:rPr>
                <w:rFonts w:ascii="Arial" w:cs="Arial" w:eastAsia="Arial" w:hAnsi="Arial"/>
                <w:sz w:val="15"/>
                <w:szCs w:val="15"/>
                <w:color w:val="auto"/>
                <w:vertAlign w:val="superscript"/>
              </w:rPr>
              <w:t>1</w:t>
            </w:r>
          </w:p>
        </w:tc>
        <w:tc>
          <w:tcPr>
            <w:tcW w:w="24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ind w:right="97"/>
              <w:spacing w:after="0" w:line="135" w:lineRule="exact"/>
              <w:rPr>
                <w:sz w:val="20"/>
                <w:szCs w:val="20"/>
                <w:color w:val="auto"/>
              </w:rPr>
            </w:pPr>
            <w:r>
              <w:rPr>
                <w:rFonts w:ascii="Arial" w:cs="Arial" w:eastAsia="Arial" w:hAnsi="Arial"/>
                <w:sz w:val="13"/>
                <w:szCs w:val="13"/>
                <w:color w:val="auto"/>
              </w:rPr>
              <w:t>17.33</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jc w:val="right"/>
              <w:ind w:right="12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18.75</w:t>
            </w:r>
          </w:p>
        </w:tc>
        <w:tc>
          <w:tcPr>
            <w:tcW w:w="440" w:type="dxa"/>
            <w:vAlign w:val="bottom"/>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17.33</w:t>
            </w:r>
          </w:p>
        </w:tc>
        <w:tc>
          <w:tcPr>
            <w:tcW w:w="340" w:type="dxa"/>
            <w:vAlign w:val="bottom"/>
            <w:gridSpan w:val="2"/>
            <w:shd w:val="clear" w:color="auto" w:fill="CFF0FC"/>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ind w:right="97"/>
              <w:spacing w:after="0" w:line="135" w:lineRule="exact"/>
              <w:rPr>
                <w:sz w:val="20"/>
                <w:szCs w:val="20"/>
                <w:color w:val="auto"/>
              </w:rPr>
            </w:pPr>
            <w:r>
              <w:rPr>
                <w:rFonts w:ascii="Arial" w:cs="Arial" w:eastAsia="Arial" w:hAnsi="Arial"/>
                <w:sz w:val="13"/>
                <w:szCs w:val="13"/>
                <w:color w:val="auto"/>
              </w:rPr>
              <w:t>18.42</w:t>
            </w:r>
          </w:p>
        </w:tc>
        <w:tc>
          <w:tcPr>
            <w:tcW w:w="400" w:type="dxa"/>
            <w:vAlign w:val="bottom"/>
            <w:gridSpan w:val="2"/>
            <w:shd w:val="clear" w:color="auto" w:fill="CFF0F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ind w:right="97"/>
              <w:spacing w:after="0" w:line="135" w:lineRule="exact"/>
              <w:rPr>
                <w:sz w:val="20"/>
                <w:szCs w:val="20"/>
                <w:color w:val="auto"/>
              </w:rPr>
            </w:pPr>
            <w:r>
              <w:rPr>
                <w:rFonts w:ascii="Arial" w:cs="Arial" w:eastAsia="Arial" w:hAnsi="Arial"/>
                <w:sz w:val="13"/>
                <w:szCs w:val="13"/>
                <w:color w:val="auto"/>
              </w:rPr>
              <w:t>18.11</w:t>
            </w:r>
          </w:p>
        </w:tc>
        <w:tc>
          <w:tcPr>
            <w:tcW w:w="420" w:type="dxa"/>
            <w:vAlign w:val="bottom"/>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18.11</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jc w:val="right"/>
              <w:ind w:right="97"/>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18.75</w:t>
            </w:r>
          </w:p>
        </w:tc>
        <w:tc>
          <w:tcPr>
            <w:tcW w:w="0" w:type="dxa"/>
            <w:vAlign w:val="bottom"/>
          </w:tcPr>
          <w:p>
            <w:pPr>
              <w:spacing w:after="0"/>
              <w:rPr>
                <w:sz w:val="1"/>
                <w:szCs w:val="1"/>
                <w:color w:val="auto"/>
              </w:rPr>
            </w:pPr>
          </w:p>
        </w:tc>
      </w:tr>
      <w:tr>
        <w:trPr>
          <w:trHeight w:val="135"/>
        </w:trPr>
        <w:tc>
          <w:tcPr>
            <w:tcW w:w="3020" w:type="dxa"/>
            <w:vAlign w:val="bottom"/>
          </w:tcPr>
          <w:p>
            <w:pPr>
              <w:ind w:left="40"/>
              <w:spacing w:after="0" w:line="135" w:lineRule="exact"/>
              <w:rPr>
                <w:sz w:val="20"/>
                <w:szCs w:val="20"/>
                <w:color w:val="auto"/>
              </w:rPr>
            </w:pPr>
            <w:r>
              <w:rPr>
                <w:rFonts w:ascii="Arial" w:cs="Arial" w:eastAsia="Arial" w:hAnsi="Arial"/>
                <w:sz w:val="13"/>
                <w:szCs w:val="13"/>
                <w:color w:val="auto"/>
                <w:w w:val="98"/>
              </w:rPr>
              <w:t>Basic weighted average shares outstanding - Voting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4,876</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4,769</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4,898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4,890</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4,838</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4,799</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4,790</w:t>
            </w:r>
          </w:p>
        </w:tc>
        <w:tc>
          <w:tcPr>
            <w:tcW w:w="0" w:type="dxa"/>
            <w:vAlign w:val="bottom"/>
          </w:tcPr>
          <w:p>
            <w:pPr>
              <w:spacing w:after="0"/>
              <w:rPr>
                <w:sz w:val="1"/>
                <w:szCs w:val="1"/>
                <w:color w:val="auto"/>
              </w:rPr>
            </w:pPr>
          </w:p>
        </w:tc>
      </w:tr>
      <w:tr>
        <w:trPr>
          <w:trHeight w:val="117"/>
        </w:trPr>
        <w:tc>
          <w:tcPr>
            <w:tcW w:w="3020" w:type="dxa"/>
            <w:vAlign w:val="bottom"/>
            <w:shd w:val="clear" w:color="auto" w:fill="CFF0FC"/>
          </w:tcPr>
          <w:p>
            <w:pPr>
              <w:ind w:left="40"/>
              <w:spacing w:after="0" w:line="117" w:lineRule="exact"/>
              <w:rPr>
                <w:sz w:val="20"/>
                <w:szCs w:val="20"/>
                <w:color w:val="auto"/>
              </w:rPr>
            </w:pPr>
            <w:r>
              <w:rPr>
                <w:rFonts w:ascii="Arial" w:cs="Arial" w:eastAsia="Arial" w:hAnsi="Arial"/>
                <w:sz w:val="13"/>
                <w:szCs w:val="13"/>
                <w:color w:val="auto"/>
              </w:rPr>
              <w:t>Diluted weighted average shares outstanding -</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20" w:type="dxa"/>
            <w:vAlign w:val="bottom"/>
            <w:shd w:val="clear" w:color="auto" w:fill="CFF0FC"/>
          </w:tcPr>
          <w:p>
            <w:pPr>
              <w:ind w:left="40"/>
              <w:spacing w:after="0"/>
              <w:rPr>
                <w:sz w:val="20"/>
                <w:szCs w:val="20"/>
                <w:color w:val="auto"/>
              </w:rPr>
            </w:pPr>
            <w:r>
              <w:rPr>
                <w:rFonts w:ascii="Arial" w:cs="Arial" w:eastAsia="Arial" w:hAnsi="Arial"/>
                <w:sz w:val="13"/>
                <w:szCs w:val="13"/>
                <w:color w:val="auto"/>
              </w:rPr>
              <w:t>Voting</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4,946</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4,821</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4,995</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4,956</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4,885</w:t>
            </w: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4,859</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4,842</w:t>
            </w:r>
          </w:p>
        </w:tc>
        <w:tc>
          <w:tcPr>
            <w:tcW w:w="0" w:type="dxa"/>
            <w:vAlign w:val="bottom"/>
          </w:tcPr>
          <w:p>
            <w:pPr>
              <w:spacing w:after="0"/>
              <w:rPr>
                <w:sz w:val="1"/>
                <w:szCs w:val="1"/>
                <w:color w:val="auto"/>
              </w:rPr>
            </w:pPr>
          </w:p>
        </w:tc>
      </w:tr>
      <w:tr>
        <w:trPr>
          <w:trHeight w:val="135"/>
        </w:trPr>
        <w:tc>
          <w:tcPr>
            <w:tcW w:w="3020" w:type="dxa"/>
            <w:vAlign w:val="bottom"/>
          </w:tcPr>
          <w:p>
            <w:pPr>
              <w:ind w:left="40"/>
              <w:spacing w:after="0" w:line="135" w:lineRule="exact"/>
              <w:rPr>
                <w:sz w:val="20"/>
                <w:szCs w:val="20"/>
                <w:color w:val="auto"/>
              </w:rPr>
            </w:pPr>
            <w:r>
              <w:rPr>
                <w:rFonts w:ascii="Arial" w:cs="Arial" w:eastAsia="Arial" w:hAnsi="Arial"/>
                <w:sz w:val="12"/>
                <w:szCs w:val="12"/>
                <w:color w:val="auto"/>
              </w:rPr>
              <w:t xml:space="preserve">Basic earnings per share - Voting </w:t>
            </w:r>
            <w:r>
              <w:rPr>
                <w:rFonts w:ascii="Arial" w:cs="Arial" w:eastAsia="Arial" w:hAnsi="Arial"/>
                <w:sz w:val="15"/>
                <w:szCs w:val="15"/>
                <w:color w:val="auto"/>
                <w:vertAlign w:val="superscript"/>
              </w:rPr>
              <w:t>3</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1.13</w:t>
            </w:r>
          </w:p>
        </w:tc>
        <w:tc>
          <w:tcPr>
            <w:tcW w:w="160" w:type="dxa"/>
            <w:vAlign w:val="bottom"/>
          </w:tcPr>
          <w:p>
            <w:pPr>
              <w:spacing w:after="0"/>
              <w:rPr>
                <w:sz w:val="11"/>
                <w:szCs w:val="11"/>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0.58</w:t>
            </w:r>
          </w:p>
        </w:tc>
        <w:tc>
          <w:tcPr>
            <w:tcW w:w="4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0.33</w:t>
            </w:r>
          </w:p>
        </w:tc>
        <w:tc>
          <w:tcPr>
            <w:tcW w:w="3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0.42</w:t>
            </w: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0.38</w:t>
            </w:r>
          </w:p>
        </w:tc>
        <w:tc>
          <w:tcPr>
            <w:tcW w:w="4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(0.89)</w:t>
            </w:r>
          </w:p>
        </w:tc>
        <w:tc>
          <w:tcPr>
            <w:tcW w:w="160" w:type="dxa"/>
            <w:vAlign w:val="bottom"/>
          </w:tcPr>
          <w:p>
            <w:pPr>
              <w:spacing w:after="0"/>
              <w:rPr>
                <w:sz w:val="11"/>
                <w:szCs w:val="11"/>
                <w:color w:val="auto"/>
              </w:rPr>
            </w:pPr>
          </w:p>
        </w:tc>
        <w:tc>
          <w:tcPr>
            <w:tcW w:w="240" w:type="dxa"/>
            <w:vAlign w:val="bottom"/>
          </w:tcPr>
          <w:p>
            <w:pPr>
              <w:jc w:val="right"/>
              <w:ind w:right="97"/>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0.10</w:t>
            </w:r>
          </w:p>
        </w:tc>
        <w:tc>
          <w:tcPr>
            <w:tcW w:w="0" w:type="dxa"/>
            <w:vAlign w:val="bottom"/>
          </w:tcPr>
          <w:p>
            <w:pPr>
              <w:spacing w:after="0"/>
              <w:rPr>
                <w:sz w:val="1"/>
                <w:szCs w:val="1"/>
                <w:color w:val="auto"/>
              </w:rPr>
            </w:pPr>
          </w:p>
        </w:tc>
      </w:tr>
      <w:tr>
        <w:trPr>
          <w:trHeight w:val="135"/>
        </w:trPr>
        <w:tc>
          <w:tcPr>
            <w:tcW w:w="3020" w:type="dxa"/>
            <w:vAlign w:val="bottom"/>
            <w:shd w:val="clear" w:color="auto" w:fill="CFF0FC"/>
          </w:tcPr>
          <w:p>
            <w:pPr>
              <w:ind w:left="40"/>
              <w:spacing w:after="0" w:line="135" w:lineRule="exact"/>
              <w:rPr>
                <w:sz w:val="20"/>
                <w:szCs w:val="20"/>
                <w:color w:val="auto"/>
              </w:rPr>
            </w:pPr>
            <w:r>
              <w:rPr>
                <w:rFonts w:ascii="Arial" w:cs="Arial" w:eastAsia="Arial" w:hAnsi="Arial"/>
                <w:sz w:val="12"/>
                <w:szCs w:val="12"/>
                <w:color w:val="auto"/>
              </w:rPr>
              <w:t xml:space="preserve">Diluted earnings per share - Voting </w:t>
            </w:r>
            <w:r>
              <w:rPr>
                <w:rFonts w:ascii="Arial" w:cs="Arial" w:eastAsia="Arial" w:hAnsi="Arial"/>
                <w:sz w:val="15"/>
                <w:szCs w:val="15"/>
                <w:color w:val="auto"/>
                <w:vertAlign w:val="superscript"/>
              </w:rPr>
              <w:t>3</w:t>
            </w:r>
          </w:p>
        </w:tc>
        <w:tc>
          <w:tcPr>
            <w:tcW w:w="24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ind w:right="97"/>
              <w:spacing w:after="0" w:line="135" w:lineRule="exact"/>
              <w:rPr>
                <w:sz w:val="20"/>
                <w:szCs w:val="20"/>
                <w:color w:val="auto"/>
              </w:rPr>
            </w:pPr>
            <w:r>
              <w:rPr>
                <w:rFonts w:ascii="Arial" w:cs="Arial" w:eastAsia="Arial" w:hAnsi="Arial"/>
                <w:sz w:val="13"/>
                <w:szCs w:val="13"/>
                <w:color w:val="auto"/>
              </w:rPr>
              <w:t>1.12</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jc w:val="right"/>
              <w:ind w:right="12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0.57</w:t>
            </w:r>
          </w:p>
        </w:tc>
        <w:tc>
          <w:tcPr>
            <w:tcW w:w="440" w:type="dxa"/>
            <w:vAlign w:val="bottom"/>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0.32</w:t>
            </w:r>
          </w:p>
        </w:tc>
        <w:tc>
          <w:tcPr>
            <w:tcW w:w="340" w:type="dxa"/>
            <w:vAlign w:val="bottom"/>
            <w:gridSpan w:val="2"/>
            <w:shd w:val="clear" w:color="auto" w:fill="CFF0FC"/>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ind w:right="97"/>
              <w:spacing w:after="0" w:line="135" w:lineRule="exact"/>
              <w:rPr>
                <w:sz w:val="20"/>
                <w:szCs w:val="20"/>
                <w:color w:val="auto"/>
              </w:rPr>
            </w:pPr>
            <w:r>
              <w:rPr>
                <w:rFonts w:ascii="Arial" w:cs="Arial" w:eastAsia="Arial" w:hAnsi="Arial"/>
                <w:sz w:val="13"/>
                <w:szCs w:val="13"/>
                <w:color w:val="auto"/>
              </w:rPr>
              <w:t>0.42</w:t>
            </w:r>
          </w:p>
        </w:tc>
        <w:tc>
          <w:tcPr>
            <w:tcW w:w="400" w:type="dxa"/>
            <w:vAlign w:val="bottom"/>
            <w:gridSpan w:val="2"/>
            <w:shd w:val="clear" w:color="auto" w:fill="CFF0F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ind w:right="97"/>
              <w:spacing w:after="0" w:line="135" w:lineRule="exact"/>
              <w:rPr>
                <w:sz w:val="20"/>
                <w:szCs w:val="20"/>
                <w:color w:val="auto"/>
              </w:rPr>
            </w:pPr>
            <w:r>
              <w:rPr>
                <w:rFonts w:ascii="Arial" w:cs="Arial" w:eastAsia="Arial" w:hAnsi="Arial"/>
                <w:sz w:val="13"/>
                <w:szCs w:val="13"/>
                <w:color w:val="auto"/>
              </w:rPr>
              <w:t>0.38</w:t>
            </w:r>
          </w:p>
        </w:tc>
        <w:tc>
          <w:tcPr>
            <w:tcW w:w="420" w:type="dxa"/>
            <w:vAlign w:val="bottom"/>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17"/>
              <w:spacing w:after="0" w:line="135" w:lineRule="exact"/>
              <w:rPr>
                <w:sz w:val="20"/>
                <w:szCs w:val="20"/>
                <w:color w:val="auto"/>
              </w:rPr>
            </w:pPr>
            <w:r>
              <w:rPr>
                <w:rFonts w:ascii="Arial" w:cs="Arial" w:eastAsia="Arial" w:hAnsi="Arial"/>
                <w:sz w:val="13"/>
                <w:szCs w:val="13"/>
                <w:color w:val="auto"/>
              </w:rPr>
              <w:t>(0.88)</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jc w:val="right"/>
              <w:ind w:right="97"/>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0.10</w:t>
            </w:r>
          </w:p>
        </w:tc>
        <w:tc>
          <w:tcPr>
            <w:tcW w:w="0" w:type="dxa"/>
            <w:vAlign w:val="bottom"/>
          </w:tcPr>
          <w:p>
            <w:pPr>
              <w:spacing w:after="0"/>
              <w:rPr>
                <w:sz w:val="1"/>
                <w:szCs w:val="1"/>
                <w:color w:val="auto"/>
              </w:rPr>
            </w:pPr>
          </w:p>
        </w:tc>
      </w:tr>
      <w:tr>
        <w:trPr>
          <w:trHeight w:val="117"/>
        </w:trPr>
        <w:tc>
          <w:tcPr>
            <w:tcW w:w="3020" w:type="dxa"/>
            <w:vAlign w:val="bottom"/>
          </w:tcPr>
          <w:p>
            <w:pPr>
              <w:ind w:left="40"/>
              <w:spacing w:after="0" w:line="117" w:lineRule="exact"/>
              <w:rPr>
                <w:sz w:val="20"/>
                <w:szCs w:val="20"/>
                <w:color w:val="auto"/>
              </w:rPr>
            </w:pPr>
            <w:r>
              <w:rPr>
                <w:rFonts w:ascii="Arial" w:cs="Arial" w:eastAsia="Arial" w:hAnsi="Arial"/>
                <w:sz w:val="13"/>
                <w:szCs w:val="13"/>
                <w:color w:val="auto"/>
              </w:rPr>
              <w:t>Basic and diluted weighted average shares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20" w:type="dxa"/>
            <w:vAlign w:val="bottom"/>
          </w:tcPr>
          <w:p>
            <w:pPr>
              <w:ind w:left="40"/>
              <w:spacing w:after="0"/>
              <w:rPr>
                <w:sz w:val="20"/>
                <w:szCs w:val="20"/>
                <w:color w:val="auto"/>
              </w:rPr>
            </w:pPr>
            <w:r>
              <w:rPr>
                <w:rFonts w:ascii="Arial" w:cs="Arial" w:eastAsia="Arial" w:hAnsi="Arial"/>
                <w:sz w:val="13"/>
                <w:szCs w:val="13"/>
                <w:color w:val="auto"/>
              </w:rPr>
              <w:t>outstanding - Series A Non-Voting</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1,380</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1,380</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1,380</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1,380</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1,380</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1,380</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1,380</w:t>
            </w:r>
          </w:p>
        </w:tc>
        <w:tc>
          <w:tcPr>
            <w:tcW w:w="0" w:type="dxa"/>
            <w:vAlign w:val="bottom"/>
          </w:tcPr>
          <w:p>
            <w:pPr>
              <w:spacing w:after="0"/>
              <w:rPr>
                <w:sz w:val="1"/>
                <w:szCs w:val="1"/>
                <w:color w:val="auto"/>
              </w:rPr>
            </w:pPr>
          </w:p>
        </w:tc>
      </w:tr>
      <w:tr>
        <w:trPr>
          <w:trHeight w:val="135"/>
        </w:trPr>
        <w:tc>
          <w:tcPr>
            <w:tcW w:w="3020" w:type="dxa"/>
            <w:vAlign w:val="bottom"/>
            <w:shd w:val="clear" w:color="auto" w:fill="CFF0FC"/>
          </w:tcPr>
          <w:p>
            <w:pPr>
              <w:ind w:left="40"/>
              <w:spacing w:after="0" w:line="135" w:lineRule="exact"/>
              <w:rPr>
                <w:sz w:val="20"/>
                <w:szCs w:val="20"/>
                <w:color w:val="auto"/>
              </w:rPr>
            </w:pPr>
            <w:r>
              <w:rPr>
                <w:rFonts w:ascii="Arial" w:cs="Arial" w:eastAsia="Arial" w:hAnsi="Arial"/>
                <w:sz w:val="12"/>
                <w:szCs w:val="12"/>
                <w:color w:val="auto"/>
              </w:rPr>
              <w:t xml:space="preserve">Basic earnings per share - Series A Non-Voting </w:t>
            </w:r>
            <w:r>
              <w:rPr>
                <w:rFonts w:ascii="Arial" w:cs="Arial" w:eastAsia="Arial" w:hAnsi="Arial"/>
                <w:sz w:val="15"/>
                <w:szCs w:val="15"/>
                <w:color w:val="auto"/>
                <w:vertAlign w:val="superscript"/>
              </w:rPr>
              <w:t>3</w:t>
            </w:r>
          </w:p>
        </w:tc>
        <w:tc>
          <w:tcPr>
            <w:tcW w:w="24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ind w:right="97"/>
              <w:spacing w:after="0" w:line="135" w:lineRule="exact"/>
              <w:rPr>
                <w:sz w:val="20"/>
                <w:szCs w:val="20"/>
                <w:color w:val="auto"/>
              </w:rPr>
            </w:pPr>
            <w:r>
              <w:rPr>
                <w:rFonts w:ascii="Arial" w:cs="Arial" w:eastAsia="Arial" w:hAnsi="Arial"/>
                <w:sz w:val="13"/>
                <w:szCs w:val="13"/>
                <w:color w:val="auto"/>
              </w:rPr>
              <w:t>1.13</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jc w:val="right"/>
              <w:ind w:right="12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0.58</w:t>
            </w:r>
          </w:p>
        </w:tc>
        <w:tc>
          <w:tcPr>
            <w:tcW w:w="440" w:type="dxa"/>
            <w:vAlign w:val="bottom"/>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0.33</w:t>
            </w:r>
          </w:p>
        </w:tc>
        <w:tc>
          <w:tcPr>
            <w:tcW w:w="340" w:type="dxa"/>
            <w:vAlign w:val="bottom"/>
            <w:gridSpan w:val="2"/>
            <w:shd w:val="clear" w:color="auto" w:fill="CFF0FC"/>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ind w:right="97"/>
              <w:spacing w:after="0" w:line="135" w:lineRule="exact"/>
              <w:rPr>
                <w:sz w:val="20"/>
                <w:szCs w:val="20"/>
                <w:color w:val="auto"/>
              </w:rPr>
            </w:pPr>
            <w:r>
              <w:rPr>
                <w:rFonts w:ascii="Arial" w:cs="Arial" w:eastAsia="Arial" w:hAnsi="Arial"/>
                <w:sz w:val="13"/>
                <w:szCs w:val="13"/>
                <w:color w:val="auto"/>
              </w:rPr>
              <w:t>0.42</w:t>
            </w:r>
          </w:p>
        </w:tc>
        <w:tc>
          <w:tcPr>
            <w:tcW w:w="400" w:type="dxa"/>
            <w:vAlign w:val="bottom"/>
            <w:gridSpan w:val="2"/>
            <w:shd w:val="clear" w:color="auto" w:fill="CFF0F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ind w:right="97"/>
              <w:spacing w:after="0" w:line="135" w:lineRule="exact"/>
              <w:rPr>
                <w:sz w:val="20"/>
                <w:szCs w:val="20"/>
                <w:color w:val="auto"/>
              </w:rPr>
            </w:pPr>
            <w:r>
              <w:rPr>
                <w:rFonts w:ascii="Arial" w:cs="Arial" w:eastAsia="Arial" w:hAnsi="Arial"/>
                <w:sz w:val="13"/>
                <w:szCs w:val="13"/>
                <w:color w:val="auto"/>
              </w:rPr>
              <w:t>0.38</w:t>
            </w:r>
          </w:p>
        </w:tc>
        <w:tc>
          <w:tcPr>
            <w:tcW w:w="420" w:type="dxa"/>
            <w:vAlign w:val="bottom"/>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17"/>
              <w:spacing w:after="0" w:line="135" w:lineRule="exact"/>
              <w:rPr>
                <w:sz w:val="20"/>
                <w:szCs w:val="20"/>
                <w:color w:val="auto"/>
              </w:rPr>
            </w:pPr>
            <w:r>
              <w:rPr>
                <w:rFonts w:ascii="Arial" w:cs="Arial" w:eastAsia="Arial" w:hAnsi="Arial"/>
                <w:sz w:val="13"/>
                <w:szCs w:val="13"/>
                <w:color w:val="auto"/>
              </w:rPr>
              <w:t>(0.89)</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jc w:val="right"/>
              <w:ind w:right="97"/>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0.10</w:t>
            </w:r>
          </w:p>
        </w:tc>
        <w:tc>
          <w:tcPr>
            <w:tcW w:w="0" w:type="dxa"/>
            <w:vAlign w:val="bottom"/>
          </w:tcPr>
          <w:p>
            <w:pPr>
              <w:spacing w:after="0"/>
              <w:rPr>
                <w:sz w:val="1"/>
                <w:szCs w:val="1"/>
                <w:color w:val="auto"/>
              </w:rPr>
            </w:pPr>
          </w:p>
        </w:tc>
      </w:tr>
      <w:tr>
        <w:trPr>
          <w:trHeight w:val="135"/>
        </w:trPr>
        <w:tc>
          <w:tcPr>
            <w:tcW w:w="3020" w:type="dxa"/>
            <w:vAlign w:val="bottom"/>
          </w:tcPr>
          <w:p>
            <w:pPr>
              <w:ind w:left="40"/>
              <w:spacing w:after="0" w:line="135" w:lineRule="exact"/>
              <w:rPr>
                <w:sz w:val="20"/>
                <w:szCs w:val="20"/>
                <w:color w:val="auto"/>
              </w:rPr>
            </w:pPr>
            <w:r>
              <w:rPr>
                <w:rFonts w:ascii="Arial" w:cs="Arial" w:eastAsia="Arial" w:hAnsi="Arial"/>
                <w:sz w:val="12"/>
                <w:szCs w:val="12"/>
                <w:color w:val="auto"/>
              </w:rPr>
              <w:t xml:space="preserve">Diluted earnings per share - Series A Non-Voting </w:t>
            </w:r>
            <w:r>
              <w:rPr>
                <w:rFonts w:ascii="Arial" w:cs="Arial" w:eastAsia="Arial" w:hAnsi="Arial"/>
                <w:sz w:val="15"/>
                <w:szCs w:val="15"/>
                <w:color w:val="auto"/>
                <w:vertAlign w:val="superscript"/>
              </w:rPr>
              <w:t>3</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1.12</w:t>
            </w:r>
          </w:p>
        </w:tc>
        <w:tc>
          <w:tcPr>
            <w:tcW w:w="160" w:type="dxa"/>
            <w:vAlign w:val="bottom"/>
          </w:tcPr>
          <w:p>
            <w:pPr>
              <w:spacing w:after="0"/>
              <w:rPr>
                <w:sz w:val="11"/>
                <w:szCs w:val="11"/>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0.57</w:t>
            </w:r>
          </w:p>
        </w:tc>
        <w:tc>
          <w:tcPr>
            <w:tcW w:w="4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0.32</w:t>
            </w:r>
          </w:p>
        </w:tc>
        <w:tc>
          <w:tcPr>
            <w:tcW w:w="3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0.42</w:t>
            </w: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0.38</w:t>
            </w:r>
          </w:p>
        </w:tc>
        <w:tc>
          <w:tcPr>
            <w:tcW w:w="4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(0.88)</w:t>
            </w:r>
          </w:p>
        </w:tc>
        <w:tc>
          <w:tcPr>
            <w:tcW w:w="160" w:type="dxa"/>
            <w:vAlign w:val="bottom"/>
          </w:tcPr>
          <w:p>
            <w:pPr>
              <w:spacing w:after="0"/>
              <w:rPr>
                <w:sz w:val="11"/>
                <w:szCs w:val="11"/>
                <w:color w:val="auto"/>
              </w:rPr>
            </w:pPr>
          </w:p>
        </w:tc>
        <w:tc>
          <w:tcPr>
            <w:tcW w:w="240" w:type="dxa"/>
            <w:vAlign w:val="bottom"/>
          </w:tcPr>
          <w:p>
            <w:pPr>
              <w:jc w:val="right"/>
              <w:ind w:right="97"/>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0.10</w:t>
            </w:r>
          </w:p>
        </w:tc>
        <w:tc>
          <w:tcPr>
            <w:tcW w:w="0" w:type="dxa"/>
            <w:vAlign w:val="bottom"/>
          </w:tcPr>
          <w:p>
            <w:pPr>
              <w:spacing w:after="0"/>
              <w:rPr>
                <w:sz w:val="1"/>
                <w:szCs w:val="1"/>
                <w:color w:val="auto"/>
              </w:rPr>
            </w:pPr>
          </w:p>
        </w:tc>
      </w:tr>
      <w:tr>
        <w:trPr>
          <w:trHeight w:val="135"/>
        </w:trPr>
        <w:tc>
          <w:tcPr>
            <w:tcW w:w="3020" w:type="dxa"/>
            <w:vAlign w:val="bottom"/>
            <w:shd w:val="clear" w:color="auto" w:fill="CFF0FC"/>
          </w:tcPr>
          <w:p>
            <w:pPr>
              <w:ind w:left="40"/>
              <w:spacing w:after="0" w:line="135" w:lineRule="exact"/>
              <w:rPr>
                <w:sz w:val="20"/>
                <w:szCs w:val="20"/>
                <w:color w:val="auto"/>
              </w:rPr>
            </w:pPr>
            <w:r>
              <w:rPr>
                <w:rFonts w:ascii="Arial" w:cs="Arial" w:eastAsia="Arial" w:hAnsi="Arial"/>
                <w:sz w:val="13"/>
                <w:szCs w:val="13"/>
                <w:color w:val="auto"/>
              </w:rPr>
              <w:t>Common shares outstanding at period end</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97"/>
              <w:spacing w:after="0" w:line="135" w:lineRule="exact"/>
              <w:rPr>
                <w:sz w:val="20"/>
                <w:szCs w:val="20"/>
                <w:color w:val="auto"/>
              </w:rPr>
            </w:pPr>
            <w:r>
              <w:rPr>
                <w:rFonts w:ascii="Arial" w:cs="Arial" w:eastAsia="Arial" w:hAnsi="Arial"/>
                <w:sz w:val="13"/>
                <w:szCs w:val="13"/>
                <w:color w:val="auto"/>
              </w:rPr>
              <w:t>6,279</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6,175</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6,279</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97"/>
              <w:spacing w:after="0" w:line="135" w:lineRule="exact"/>
              <w:rPr>
                <w:sz w:val="20"/>
                <w:szCs w:val="20"/>
                <w:color w:val="auto"/>
              </w:rPr>
            </w:pPr>
            <w:r>
              <w:rPr>
                <w:rFonts w:ascii="Arial" w:cs="Arial" w:eastAsia="Arial" w:hAnsi="Arial"/>
                <w:sz w:val="13"/>
                <w:szCs w:val="13"/>
                <w:color w:val="auto"/>
              </w:rPr>
              <w:t>6,279</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97"/>
              <w:spacing w:after="0" w:line="135" w:lineRule="exact"/>
              <w:rPr>
                <w:sz w:val="20"/>
                <w:szCs w:val="20"/>
                <w:color w:val="auto"/>
              </w:rPr>
            </w:pPr>
            <w:r>
              <w:rPr>
                <w:rFonts w:ascii="Arial" w:cs="Arial" w:eastAsia="Arial" w:hAnsi="Arial"/>
                <w:sz w:val="13"/>
                <w:szCs w:val="13"/>
                <w:color w:val="auto"/>
              </w:rPr>
              <w:t>6,256</w:t>
            </w: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6,186</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77"/>
              <w:spacing w:after="0" w:line="135" w:lineRule="exact"/>
              <w:rPr>
                <w:sz w:val="20"/>
                <w:szCs w:val="20"/>
                <w:color w:val="auto"/>
              </w:rPr>
            </w:pPr>
            <w:r>
              <w:rPr>
                <w:rFonts w:ascii="Arial" w:cs="Arial" w:eastAsia="Arial" w:hAnsi="Arial"/>
                <w:sz w:val="13"/>
                <w:szCs w:val="13"/>
                <w:color w:val="auto"/>
              </w:rPr>
              <w:t>6,175</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FF0FC"/>
          </w:tcPr>
          <w:p>
            <w:pPr>
              <w:spacing w:after="0" w:line="135" w:lineRule="exact"/>
              <w:rPr>
                <w:sz w:val="20"/>
                <w:szCs w:val="20"/>
                <w:color w:val="auto"/>
              </w:rPr>
            </w:pPr>
            <w:r>
              <w:rPr>
                <w:rFonts w:ascii="Arial" w:cs="Arial" w:eastAsia="Arial" w:hAnsi="Arial"/>
                <w:sz w:val="13"/>
                <w:szCs w:val="13"/>
                <w:b w:val="1"/>
                <w:bCs w:val="1"/>
                <w:color w:val="auto"/>
              </w:rPr>
              <w:t>Pathfinder Bancorp, Inc. Capital Ratios:</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20" w:type="dxa"/>
            <w:vAlign w:val="bottom"/>
          </w:tcPr>
          <w:p>
            <w:pPr>
              <w:ind w:left="40"/>
              <w:spacing w:after="0" w:line="108" w:lineRule="exact"/>
              <w:rPr>
                <w:sz w:val="20"/>
                <w:szCs w:val="20"/>
                <w:color w:val="auto"/>
              </w:rPr>
            </w:pPr>
            <w:r>
              <w:rPr>
                <w:rFonts w:ascii="Arial" w:cs="Arial" w:eastAsia="Arial" w:hAnsi="Arial"/>
                <w:sz w:val="12"/>
                <w:szCs w:val="12"/>
                <w:color w:val="auto"/>
              </w:rPr>
              <w:t>Company tangible common equity to tangible</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40"/>
              <w:spacing w:after="0" w:line="162" w:lineRule="exact"/>
              <w:rPr>
                <w:sz w:val="20"/>
                <w:szCs w:val="20"/>
                <w:color w:val="auto"/>
              </w:rPr>
            </w:pPr>
            <w:r>
              <w:rPr>
                <w:rFonts w:ascii="Arial" w:cs="Arial" w:eastAsia="Arial" w:hAnsi="Arial"/>
                <w:sz w:val="13"/>
                <w:szCs w:val="13"/>
                <w:color w:val="auto"/>
              </w:rPr>
              <w:t xml:space="preserve">assets </w:t>
            </w:r>
            <w:r>
              <w:rPr>
                <w:rFonts w:ascii="Arial" w:cs="Arial" w:eastAsia="Arial" w:hAnsi="Arial"/>
                <w:sz w:val="16"/>
                <w:szCs w:val="16"/>
                <w:color w:val="auto"/>
                <w:vertAlign w:val="superscript"/>
              </w:rPr>
              <w:t>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7.34%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7.92%</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7.34%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7.80%</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8.03%</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7.91%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7.92%</w:t>
            </w:r>
          </w:p>
        </w:tc>
        <w:tc>
          <w:tcPr>
            <w:tcW w:w="0" w:type="dxa"/>
            <w:vAlign w:val="bottom"/>
          </w:tcPr>
          <w:p>
            <w:pPr>
              <w:spacing w:after="0"/>
              <w:rPr>
                <w:sz w:val="1"/>
                <w:szCs w:val="1"/>
                <w:color w:val="auto"/>
              </w:rPr>
            </w:pPr>
          </w:p>
        </w:tc>
      </w:tr>
      <w:tr>
        <w:trPr>
          <w:trHeight w:val="117"/>
        </w:trPr>
        <w:tc>
          <w:tcPr>
            <w:tcW w:w="3020" w:type="dxa"/>
            <w:vAlign w:val="bottom"/>
            <w:shd w:val="clear" w:color="auto" w:fill="CFF0FC"/>
          </w:tcPr>
          <w:p>
            <w:pPr>
              <w:ind w:left="40"/>
              <w:spacing w:after="0" w:line="117" w:lineRule="exact"/>
              <w:rPr>
                <w:sz w:val="20"/>
                <w:szCs w:val="20"/>
                <w:color w:val="auto"/>
              </w:rPr>
            </w:pPr>
            <w:r>
              <w:rPr>
                <w:rFonts w:ascii="Arial" w:cs="Arial" w:eastAsia="Arial" w:hAnsi="Arial"/>
                <w:sz w:val="13"/>
                <w:szCs w:val="13"/>
                <w:color w:val="auto"/>
              </w:rPr>
              <w:t>Company Total Core Capital (to Risk-Weighted</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20" w:type="dxa"/>
            <w:vAlign w:val="bottom"/>
            <w:shd w:val="clear" w:color="auto" w:fill="CFF0FC"/>
          </w:tcPr>
          <w:p>
            <w:pPr>
              <w:ind w:left="40"/>
              <w:spacing w:after="0"/>
              <w:rPr>
                <w:sz w:val="20"/>
                <w:szCs w:val="20"/>
                <w:color w:val="auto"/>
              </w:rPr>
            </w:pPr>
            <w:r>
              <w:rPr>
                <w:rFonts w:ascii="Arial" w:cs="Arial" w:eastAsia="Arial" w:hAnsi="Arial"/>
                <w:sz w:val="13"/>
                <w:szCs w:val="13"/>
                <w:color w:val="auto"/>
              </w:rPr>
              <w:t>Assets)</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16.06%</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15.81%</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16.06%</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15.91%</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16.18%</w:t>
            </w: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15.57%</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15.81%</w:t>
            </w:r>
          </w:p>
        </w:tc>
        <w:tc>
          <w:tcPr>
            <w:tcW w:w="0" w:type="dxa"/>
            <w:vAlign w:val="bottom"/>
          </w:tcPr>
          <w:p>
            <w:pPr>
              <w:spacing w:after="0"/>
              <w:rPr>
                <w:sz w:val="1"/>
                <w:szCs w:val="1"/>
                <w:color w:val="auto"/>
              </w:rPr>
            </w:pPr>
          </w:p>
        </w:tc>
      </w:tr>
      <w:tr>
        <w:trPr>
          <w:trHeight w:val="135"/>
        </w:trPr>
        <w:tc>
          <w:tcPr>
            <w:tcW w:w="3020" w:type="dxa"/>
            <w:vAlign w:val="bottom"/>
          </w:tcPr>
          <w:p>
            <w:pPr>
              <w:ind w:left="40"/>
              <w:spacing w:after="0" w:line="135" w:lineRule="exact"/>
              <w:rPr>
                <w:sz w:val="20"/>
                <w:szCs w:val="20"/>
                <w:color w:val="auto"/>
              </w:rPr>
            </w:pPr>
            <w:r>
              <w:rPr>
                <w:rFonts w:ascii="Arial" w:cs="Arial" w:eastAsia="Arial" w:hAnsi="Arial"/>
                <w:sz w:val="13"/>
                <w:szCs w:val="13"/>
                <w:color w:val="auto"/>
              </w:rPr>
              <w:t>Company Tier 1 Capital (to Risk-Weighted Assets)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12.41%</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12.17%</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12.41%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12.25%</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12.43%</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12.29%</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12.17%</w:t>
            </w:r>
          </w:p>
        </w:tc>
        <w:tc>
          <w:tcPr>
            <w:tcW w:w="0" w:type="dxa"/>
            <w:vAlign w:val="bottom"/>
          </w:tcPr>
          <w:p>
            <w:pPr>
              <w:spacing w:after="0"/>
              <w:rPr>
                <w:sz w:val="1"/>
                <w:szCs w:val="1"/>
                <w:color w:val="auto"/>
              </w:rPr>
            </w:pPr>
          </w:p>
        </w:tc>
      </w:tr>
      <w:tr>
        <w:trPr>
          <w:trHeight w:val="117"/>
        </w:trPr>
        <w:tc>
          <w:tcPr>
            <w:tcW w:w="3020" w:type="dxa"/>
            <w:vAlign w:val="bottom"/>
            <w:shd w:val="clear" w:color="auto" w:fill="CFF0FC"/>
          </w:tcPr>
          <w:p>
            <w:pPr>
              <w:ind w:left="40"/>
              <w:spacing w:after="0" w:line="117" w:lineRule="exact"/>
              <w:rPr>
                <w:sz w:val="20"/>
                <w:szCs w:val="20"/>
                <w:color w:val="auto"/>
              </w:rPr>
            </w:pPr>
            <w:r>
              <w:rPr>
                <w:rFonts w:ascii="Arial" w:cs="Arial" w:eastAsia="Arial" w:hAnsi="Arial"/>
                <w:sz w:val="13"/>
                <w:szCs w:val="13"/>
                <w:color w:val="auto"/>
              </w:rPr>
              <w:t>Company Tier 1 Common Equity (to Risk-Weighted</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20" w:type="dxa"/>
            <w:vAlign w:val="bottom"/>
            <w:shd w:val="clear" w:color="auto" w:fill="CFF0FC"/>
          </w:tcPr>
          <w:p>
            <w:pPr>
              <w:ind w:left="40"/>
              <w:spacing w:after="0"/>
              <w:rPr>
                <w:sz w:val="20"/>
                <w:szCs w:val="20"/>
                <w:color w:val="auto"/>
              </w:rPr>
            </w:pPr>
            <w:r>
              <w:rPr>
                <w:rFonts w:ascii="Arial" w:cs="Arial" w:eastAsia="Arial" w:hAnsi="Arial"/>
                <w:sz w:val="13"/>
                <w:szCs w:val="13"/>
                <w:color w:val="auto"/>
              </w:rPr>
              <w:t>Assets)</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11.92%</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11.68%</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11.92%</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11.76%</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11.92%</w:t>
            </w: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11.78%</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11.68%</w:t>
            </w:r>
          </w:p>
        </w:tc>
        <w:tc>
          <w:tcPr>
            <w:tcW w:w="0" w:type="dxa"/>
            <w:vAlign w:val="bottom"/>
          </w:tcPr>
          <w:p>
            <w:pPr>
              <w:spacing w:after="0"/>
              <w:rPr>
                <w:sz w:val="1"/>
                <w:szCs w:val="1"/>
                <w:color w:val="auto"/>
              </w:rPr>
            </w:pPr>
          </w:p>
        </w:tc>
      </w:tr>
      <w:tr>
        <w:trPr>
          <w:trHeight w:val="135"/>
        </w:trPr>
        <w:tc>
          <w:tcPr>
            <w:tcW w:w="3020" w:type="dxa"/>
            <w:vAlign w:val="bottom"/>
          </w:tcPr>
          <w:p>
            <w:pPr>
              <w:ind w:left="40"/>
              <w:spacing w:after="0" w:line="135" w:lineRule="exact"/>
              <w:rPr>
                <w:sz w:val="20"/>
                <w:szCs w:val="20"/>
                <w:color w:val="auto"/>
              </w:rPr>
            </w:pPr>
            <w:r>
              <w:rPr>
                <w:rFonts w:ascii="Arial" w:cs="Arial" w:eastAsia="Arial" w:hAnsi="Arial"/>
                <w:sz w:val="13"/>
                <w:szCs w:val="13"/>
                <w:color w:val="auto"/>
              </w:rPr>
              <w:t>Company Tier 1 Capital (to Assets)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8.90%</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8.79%</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8.90%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8.93%</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8.95%</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8.57%</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8.79%</w:t>
            </w:r>
          </w:p>
        </w:tc>
        <w:tc>
          <w:tcPr>
            <w:tcW w:w="0" w:type="dxa"/>
            <w:vAlign w:val="bottom"/>
          </w:tcPr>
          <w:p>
            <w:pPr>
              <w:spacing w:after="0"/>
              <w:rPr>
                <w:sz w:val="1"/>
                <w:szCs w:val="1"/>
                <w:color w:val="auto"/>
              </w:rPr>
            </w:pPr>
          </w:p>
        </w:tc>
      </w:tr>
      <w:tr>
        <w:trPr>
          <w:trHeight w:val="135"/>
        </w:trPr>
        <w:tc>
          <w:tcPr>
            <w:tcW w:w="30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spacing w:after="0" w:line="135" w:lineRule="exact"/>
              <w:rPr>
                <w:sz w:val="20"/>
                <w:szCs w:val="20"/>
                <w:color w:val="auto"/>
              </w:rPr>
            </w:pPr>
            <w:r>
              <w:rPr>
                <w:rFonts w:ascii="Arial" w:cs="Arial" w:eastAsia="Arial" w:hAnsi="Arial"/>
                <w:sz w:val="13"/>
                <w:szCs w:val="13"/>
                <w:b w:val="1"/>
                <w:bCs w:val="1"/>
                <w:color w:val="auto"/>
              </w:rPr>
              <w:t>Pathfinder Bank Capital Ratios: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FF0FC"/>
          </w:tcPr>
          <w:p>
            <w:pPr>
              <w:ind w:left="40"/>
              <w:spacing w:after="0" w:line="135" w:lineRule="exact"/>
              <w:rPr>
                <w:sz w:val="20"/>
                <w:szCs w:val="20"/>
                <w:color w:val="auto"/>
              </w:rPr>
            </w:pPr>
            <w:r>
              <w:rPr>
                <w:rFonts w:ascii="Arial" w:cs="Arial" w:eastAsia="Arial" w:hAnsi="Arial"/>
                <w:sz w:val="13"/>
                <w:szCs w:val="13"/>
                <w:color w:val="auto"/>
              </w:rPr>
              <w:t>Bank Total Core Capital (to Risk-Weighted Assets)</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14.80%</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14.71%</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14.80%</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14.62%</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14.87%</w:t>
            </w:r>
          </w:p>
        </w:tc>
        <w:tc>
          <w:tcPr>
            <w:tcW w:w="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14.72%</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14.71%</w:t>
            </w:r>
          </w:p>
        </w:tc>
        <w:tc>
          <w:tcPr>
            <w:tcW w:w="0" w:type="dxa"/>
            <w:vAlign w:val="bottom"/>
          </w:tcPr>
          <w:p>
            <w:pPr>
              <w:spacing w:after="0"/>
              <w:rPr>
                <w:sz w:val="1"/>
                <w:szCs w:val="1"/>
                <w:color w:val="auto"/>
              </w:rPr>
            </w:pPr>
          </w:p>
        </w:tc>
      </w:tr>
      <w:tr>
        <w:trPr>
          <w:trHeight w:val="135"/>
        </w:trPr>
        <w:tc>
          <w:tcPr>
            <w:tcW w:w="3020" w:type="dxa"/>
            <w:vAlign w:val="bottom"/>
          </w:tcPr>
          <w:p>
            <w:pPr>
              <w:ind w:left="40"/>
              <w:spacing w:after="0" w:line="135" w:lineRule="exact"/>
              <w:rPr>
                <w:sz w:val="20"/>
                <w:szCs w:val="20"/>
                <w:color w:val="auto"/>
              </w:rPr>
            </w:pPr>
            <w:r>
              <w:rPr>
                <w:rFonts w:ascii="Arial" w:cs="Arial" w:eastAsia="Arial" w:hAnsi="Arial"/>
                <w:sz w:val="13"/>
                <w:szCs w:val="13"/>
                <w:color w:val="auto"/>
              </w:rPr>
              <w:t>Bank Tier 1 Capital (to Risk-Weighted Assets)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13.54%</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13.45%</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13.54%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13.36%</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13.59%</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13.45%</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13.45%</w:t>
            </w:r>
          </w:p>
        </w:tc>
        <w:tc>
          <w:tcPr>
            <w:tcW w:w="0" w:type="dxa"/>
            <w:vAlign w:val="bottom"/>
          </w:tcPr>
          <w:p>
            <w:pPr>
              <w:spacing w:after="0"/>
              <w:rPr>
                <w:sz w:val="1"/>
                <w:szCs w:val="1"/>
                <w:color w:val="auto"/>
              </w:rPr>
            </w:pPr>
          </w:p>
        </w:tc>
      </w:tr>
      <w:tr>
        <w:trPr>
          <w:trHeight w:val="117"/>
        </w:trPr>
        <w:tc>
          <w:tcPr>
            <w:tcW w:w="3020" w:type="dxa"/>
            <w:vAlign w:val="bottom"/>
            <w:shd w:val="clear" w:color="auto" w:fill="CFF0FC"/>
          </w:tcPr>
          <w:p>
            <w:pPr>
              <w:ind w:left="40"/>
              <w:spacing w:after="0" w:line="117" w:lineRule="exact"/>
              <w:rPr>
                <w:sz w:val="20"/>
                <w:szCs w:val="20"/>
                <w:color w:val="auto"/>
              </w:rPr>
            </w:pPr>
            <w:r>
              <w:rPr>
                <w:rFonts w:ascii="Arial" w:cs="Arial" w:eastAsia="Arial" w:hAnsi="Arial"/>
                <w:sz w:val="13"/>
                <w:szCs w:val="13"/>
                <w:color w:val="auto"/>
              </w:rPr>
              <w:t>Bank Tier 1 Common Equity (to Risk-Weighted</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20" w:type="dxa"/>
            <w:vAlign w:val="bottom"/>
            <w:shd w:val="clear" w:color="auto" w:fill="CFF0FC"/>
          </w:tcPr>
          <w:p>
            <w:pPr>
              <w:ind w:left="40"/>
              <w:spacing w:after="0"/>
              <w:rPr>
                <w:sz w:val="20"/>
                <w:szCs w:val="20"/>
                <w:color w:val="auto"/>
              </w:rPr>
            </w:pPr>
            <w:r>
              <w:rPr>
                <w:rFonts w:ascii="Arial" w:cs="Arial" w:eastAsia="Arial" w:hAnsi="Arial"/>
                <w:sz w:val="13"/>
                <w:szCs w:val="13"/>
                <w:color w:val="auto"/>
              </w:rPr>
              <w:t>Assets)</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13.54%</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13.45%</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13.54%</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13.36%</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13.59%</w:t>
            </w: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13.45%</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13.45%</w:t>
            </w:r>
          </w:p>
        </w:tc>
        <w:tc>
          <w:tcPr>
            <w:tcW w:w="0" w:type="dxa"/>
            <w:vAlign w:val="bottom"/>
          </w:tcPr>
          <w:p>
            <w:pPr>
              <w:spacing w:after="0"/>
              <w:rPr>
                <w:sz w:val="1"/>
                <w:szCs w:val="1"/>
                <w:color w:val="auto"/>
              </w:rPr>
            </w:pPr>
          </w:p>
        </w:tc>
      </w:tr>
      <w:tr>
        <w:trPr>
          <w:trHeight w:val="166"/>
        </w:trPr>
        <w:tc>
          <w:tcPr>
            <w:tcW w:w="3020" w:type="dxa"/>
            <w:vAlign w:val="bottom"/>
          </w:tcPr>
          <w:p>
            <w:pPr>
              <w:ind w:left="40"/>
              <w:spacing w:after="0"/>
              <w:rPr>
                <w:sz w:val="20"/>
                <w:szCs w:val="20"/>
                <w:color w:val="auto"/>
              </w:rPr>
            </w:pPr>
            <w:r>
              <w:rPr>
                <w:rFonts w:ascii="Arial" w:cs="Arial" w:eastAsia="Arial" w:hAnsi="Arial"/>
                <w:sz w:val="13"/>
                <w:szCs w:val="13"/>
                <w:color w:val="auto"/>
              </w:rPr>
              <w:t>Bank Tier 1 Capital (to Assets)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9.58%</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9.72%</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9.58%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9.64%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9.79%</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9.41%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9.72%</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80" w:hanging="72"/>
        <w:spacing w:after="0"/>
        <w:tabs>
          <w:tab w:leader="none" w:pos="80" w:val="left"/>
        </w:tabs>
        <w:numPr>
          <w:ilvl w:val="0"/>
          <w:numId w:val="8"/>
        </w:numPr>
        <w:rPr>
          <w:rFonts w:ascii="Arial" w:cs="Arial" w:eastAsia="Arial" w:hAnsi="Arial"/>
          <w:sz w:val="7"/>
          <w:szCs w:val="7"/>
          <w:color w:val="auto"/>
        </w:rPr>
      </w:pPr>
      <w:r>
        <w:rPr>
          <w:rFonts w:ascii="Arial" w:cs="Arial" w:eastAsia="Arial" w:hAnsi="Arial"/>
          <w:sz w:val="11"/>
          <w:szCs w:val="11"/>
          <w:color w:val="auto"/>
        </w:rPr>
        <w:t>Non-GAAP financial metrics. See non-GAAP reconciliation included herein for the most directly comparable GAAP measures.</w:t>
      </w:r>
    </w:p>
    <w:p>
      <w:pPr>
        <w:spacing w:after="0" w:line="15" w:lineRule="exact"/>
        <w:rPr>
          <w:sz w:val="20"/>
          <w:szCs w:val="20"/>
          <w:color w:val="auto"/>
        </w:rPr>
      </w:pPr>
    </w:p>
    <w:p>
      <w:pPr>
        <w:ind w:left="80" w:hanging="72"/>
        <w:spacing w:after="0"/>
        <w:tabs>
          <w:tab w:leader="none" w:pos="80" w:val="left"/>
        </w:tabs>
        <w:numPr>
          <w:ilvl w:val="0"/>
          <w:numId w:val="9"/>
        </w:numPr>
        <w:rPr>
          <w:rFonts w:ascii="Arial" w:cs="Arial" w:eastAsia="Arial" w:hAnsi="Arial"/>
          <w:sz w:val="7"/>
          <w:szCs w:val="7"/>
          <w:color w:val="auto"/>
        </w:rPr>
      </w:pPr>
      <w:r>
        <w:rPr>
          <w:rFonts w:ascii="Arial" w:cs="Arial" w:eastAsia="Arial" w:hAnsi="Arial"/>
          <w:sz w:val="11"/>
          <w:szCs w:val="11"/>
          <w:color w:val="auto"/>
        </w:rPr>
        <w:t>Construction and development, multifamily, and non-owner occupied CRE loans as a percentage of Pathfinder Bank total capital.</w:t>
      </w:r>
    </w:p>
    <w:p>
      <w:pPr>
        <w:spacing w:after="0" w:line="8" w:lineRule="exact"/>
        <w:rPr>
          <w:rFonts w:ascii="Arial" w:cs="Arial" w:eastAsia="Arial" w:hAnsi="Arial"/>
          <w:sz w:val="7"/>
          <w:szCs w:val="7"/>
          <w:color w:val="auto"/>
        </w:rPr>
      </w:pPr>
    </w:p>
    <w:p>
      <w:pPr>
        <w:spacing w:after="0"/>
        <w:rPr>
          <w:rFonts w:ascii="Arial" w:cs="Arial" w:eastAsia="Arial" w:hAnsi="Arial"/>
          <w:sz w:val="7"/>
          <w:szCs w:val="7"/>
          <w:color w:val="auto"/>
        </w:rPr>
      </w:pPr>
      <w:r>
        <w:rPr>
          <w:rFonts w:ascii="Arial" w:cs="Arial" w:eastAsia="Arial" w:hAnsi="Arial"/>
          <w:sz w:val="7"/>
          <w:szCs w:val="7"/>
          <w:color w:val="auto"/>
        </w:rPr>
        <w:t xml:space="preserve">3 </w:t>
      </w:r>
      <w:r>
        <w:rPr>
          <w:rFonts w:ascii="Arial" w:cs="Arial" w:eastAsia="Arial" w:hAnsi="Arial"/>
          <w:sz w:val="10"/>
          <w:szCs w:val="10"/>
          <w:color w:val="auto"/>
        </w:rPr>
        <w:t>Basic and diluted earnings per share are calculated based upon the two-class method.</w:t>
      </w:r>
    </w:p>
    <w:p>
      <w:pPr>
        <w:spacing w:after="0" w:line="121" w:lineRule="exact"/>
        <w:rPr>
          <w:sz w:val="20"/>
          <w:szCs w:val="20"/>
          <w:color w:val="auto"/>
        </w:rPr>
      </w:pPr>
    </w:p>
    <w:p>
      <w:pPr>
        <w:spacing w:after="0"/>
        <w:rPr>
          <w:sz w:val="20"/>
          <w:szCs w:val="20"/>
          <w:color w:val="auto"/>
        </w:rPr>
      </w:pPr>
      <w:r>
        <w:rPr>
          <w:rFonts w:ascii="Arial" w:cs="Arial" w:eastAsia="Arial" w:hAnsi="Arial"/>
          <w:sz w:val="11"/>
          <w:szCs w:val="11"/>
          <w:color w:val="auto"/>
        </w:rPr>
        <w:t>The above information is unaudited and preliminary, based on the Company's data available at the time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712470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2"/>
        </w:trPr>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4"/>
          </w:tcPr>
          <w:p>
            <w:pPr>
              <w:jc w:val="right"/>
              <w:ind w:right="424"/>
              <w:spacing w:after="0"/>
              <w:rPr>
                <w:sz w:val="20"/>
                <w:szCs w:val="20"/>
                <w:color w:val="auto"/>
              </w:rPr>
            </w:pPr>
            <w:r>
              <w:rPr>
                <w:rFonts w:ascii="Arial" w:cs="Arial" w:eastAsia="Arial" w:hAnsi="Arial"/>
                <w:sz w:val="15"/>
                <w:szCs w:val="15"/>
                <w:b w:val="1"/>
                <w:bCs w:val="1"/>
                <w:color w:val="auto"/>
              </w:rPr>
              <w:t>Nine Months Ended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ind w:right="364"/>
              <w:spacing w:after="0"/>
              <w:rPr>
                <w:sz w:val="20"/>
                <w:szCs w:val="20"/>
                <w:color w:val="auto"/>
              </w:rPr>
            </w:pPr>
            <w:r>
              <w:rPr>
                <w:rFonts w:ascii="Arial" w:cs="Arial" w:eastAsia="Arial" w:hAnsi="Arial"/>
                <w:sz w:val="15"/>
                <w:szCs w:val="15"/>
                <w:b w:val="1"/>
                <w:bCs w:val="1"/>
                <w:color w:val="auto"/>
              </w:rPr>
              <w:t>2026</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2025</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20" w:type="dxa"/>
            <w:vAlign w:val="bottom"/>
            <w:vMerge w:val="restart"/>
          </w:tcPr>
          <w:p>
            <w:pPr>
              <w:spacing w:after="0"/>
              <w:rPr>
                <w:sz w:val="20"/>
                <w:szCs w:val="20"/>
                <w:color w:val="auto"/>
              </w:rPr>
            </w:pPr>
            <w:r>
              <w:rPr>
                <w:rFonts w:ascii="Arial" w:cs="Arial" w:eastAsia="Arial" w:hAnsi="Arial"/>
                <w:sz w:val="15"/>
                <w:szCs w:val="15"/>
                <w:b w:val="1"/>
                <w:bCs w:val="1"/>
                <w:color w:val="auto"/>
              </w:rPr>
              <w:t>ASSET QUALITY:</w:t>
            </w:r>
          </w:p>
        </w:tc>
        <w:tc>
          <w:tcPr>
            <w:tcW w:w="160" w:type="dxa"/>
            <w:vAlign w:val="bottom"/>
            <w:vMerge w:val="restart"/>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5"/>
                <w:szCs w:val="15"/>
                <w:b w:val="1"/>
                <w:bCs w:val="1"/>
                <w:color w:val="auto"/>
              </w:rPr>
              <w:t>September 30,</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92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04"/>
              <w:spacing w:after="0" w:line="156" w:lineRule="exact"/>
              <w:rPr>
                <w:sz w:val="20"/>
                <w:szCs w:val="20"/>
                <w:color w:val="auto"/>
              </w:rPr>
            </w:pPr>
            <w:r>
              <w:rPr>
                <w:rFonts w:ascii="Arial" w:cs="Arial" w:eastAsia="Arial" w:hAnsi="Arial"/>
                <w:sz w:val="15"/>
                <w:szCs w:val="15"/>
                <w:b w:val="1"/>
                <w:bCs w:val="1"/>
                <w:color w:val="auto"/>
              </w:rPr>
              <w:t>2026</w:t>
            </w:r>
          </w:p>
        </w:tc>
        <w:tc>
          <w:tcPr>
            <w:tcW w:w="1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04"/>
              <w:spacing w:after="0" w:line="156" w:lineRule="exact"/>
              <w:rPr>
                <w:sz w:val="20"/>
                <w:szCs w:val="20"/>
                <w:color w:val="auto"/>
              </w:rPr>
            </w:pPr>
            <w:r>
              <w:rPr>
                <w:rFonts w:ascii="Arial" w:cs="Arial" w:eastAsia="Arial" w:hAnsi="Arial"/>
                <w:sz w:val="15"/>
                <w:szCs w:val="15"/>
                <w:b w:val="1"/>
                <w:bCs w:val="1"/>
                <w:color w:val="auto"/>
              </w:rPr>
              <w:t>2025</w:t>
            </w: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84"/>
              <w:spacing w:after="0" w:line="156" w:lineRule="exact"/>
              <w:rPr>
                <w:sz w:val="20"/>
                <w:szCs w:val="20"/>
                <w:color w:val="auto"/>
              </w:rPr>
            </w:pPr>
            <w:r>
              <w:rPr>
                <w:rFonts w:ascii="Arial" w:cs="Arial" w:eastAsia="Arial" w:hAnsi="Arial"/>
                <w:sz w:val="15"/>
                <w:szCs w:val="15"/>
                <w:b w:val="1"/>
                <w:bCs w:val="1"/>
                <w:color w:val="auto"/>
              </w:rPr>
              <w:t>Q3</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04"/>
              <w:spacing w:after="0" w:line="156" w:lineRule="exact"/>
              <w:rPr>
                <w:sz w:val="20"/>
                <w:szCs w:val="20"/>
                <w:color w:val="auto"/>
              </w:rPr>
            </w:pPr>
            <w:r>
              <w:rPr>
                <w:rFonts w:ascii="Arial" w:cs="Arial" w:eastAsia="Arial" w:hAnsi="Arial"/>
                <w:sz w:val="15"/>
                <w:szCs w:val="15"/>
                <w:b w:val="1"/>
                <w:bCs w:val="1"/>
                <w:color w:val="auto"/>
              </w:rPr>
              <w:t>Q2</w:t>
            </w: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04"/>
              <w:spacing w:after="0" w:line="156" w:lineRule="exact"/>
              <w:rPr>
                <w:sz w:val="20"/>
                <w:szCs w:val="20"/>
                <w:color w:val="auto"/>
              </w:rPr>
            </w:pPr>
            <w:r>
              <w:rPr>
                <w:rFonts w:ascii="Arial" w:cs="Arial" w:eastAsia="Arial" w:hAnsi="Arial"/>
                <w:sz w:val="15"/>
                <w:szCs w:val="15"/>
                <w:b w:val="1"/>
                <w:bCs w:val="1"/>
                <w:color w:val="auto"/>
              </w:rPr>
              <w:t>Q1</w:t>
            </w: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04"/>
              <w:spacing w:after="0" w:line="156" w:lineRule="exact"/>
              <w:rPr>
                <w:sz w:val="20"/>
                <w:szCs w:val="20"/>
                <w:color w:val="auto"/>
              </w:rPr>
            </w:pPr>
            <w:r>
              <w:rPr>
                <w:rFonts w:ascii="Arial" w:cs="Arial" w:eastAsia="Arial" w:hAnsi="Arial"/>
                <w:sz w:val="15"/>
                <w:szCs w:val="15"/>
                <w:b w:val="1"/>
                <w:bCs w:val="1"/>
                <w:color w:val="auto"/>
              </w:rPr>
              <w:t>Q4</w:t>
            </w: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04"/>
              <w:spacing w:after="0" w:line="156" w:lineRule="exact"/>
              <w:rPr>
                <w:sz w:val="20"/>
                <w:szCs w:val="20"/>
                <w:color w:val="auto"/>
              </w:rPr>
            </w:pPr>
            <w:r>
              <w:rPr>
                <w:rFonts w:ascii="Arial" w:cs="Arial" w:eastAsia="Arial" w:hAnsi="Arial"/>
                <w:sz w:val="15"/>
                <w:szCs w:val="15"/>
                <w:b w:val="1"/>
                <w:bCs w:val="1"/>
                <w:color w:val="auto"/>
              </w:rPr>
              <w:t>Q3</w:t>
            </w:r>
          </w:p>
        </w:tc>
        <w:tc>
          <w:tcPr>
            <w:tcW w:w="0" w:type="dxa"/>
            <w:vAlign w:val="bottom"/>
          </w:tcPr>
          <w:p>
            <w:pPr>
              <w:spacing w:after="0"/>
              <w:rPr>
                <w:sz w:val="1"/>
                <w:szCs w:val="1"/>
                <w:color w:val="auto"/>
              </w:rPr>
            </w:pPr>
          </w:p>
        </w:tc>
      </w:tr>
      <w:tr>
        <w:trPr>
          <w:trHeight w:val="156"/>
        </w:trPr>
        <w:tc>
          <w:tcPr>
            <w:tcW w:w="3080" w:type="dxa"/>
            <w:vAlign w:val="bottom"/>
            <w:gridSpan w:val="2"/>
            <w:shd w:val="clear" w:color="auto" w:fill="CFF0FC"/>
          </w:tcPr>
          <w:p>
            <w:pPr>
              <w:ind w:left="40"/>
              <w:spacing w:after="0" w:line="156" w:lineRule="exact"/>
              <w:rPr>
                <w:sz w:val="20"/>
                <w:szCs w:val="20"/>
                <w:color w:val="auto"/>
              </w:rPr>
            </w:pPr>
            <w:r>
              <w:rPr>
                <w:rFonts w:ascii="Arial" w:cs="Arial" w:eastAsia="Arial" w:hAnsi="Arial"/>
                <w:sz w:val="15"/>
                <w:szCs w:val="15"/>
                <w:color w:val="auto"/>
              </w:rPr>
              <w:t>Total loan charge-offs</w:t>
            </w:r>
          </w:p>
        </w:tc>
        <w:tc>
          <w:tcPr>
            <w:tcW w:w="200" w:type="dxa"/>
            <w:vAlign w:val="bottom"/>
            <w:shd w:val="clear" w:color="auto" w:fill="CFF0FC"/>
          </w:tcPr>
          <w:p>
            <w:pPr>
              <w:jc w:val="right"/>
              <w:ind w:right="24"/>
              <w:spacing w:after="0" w:line="156" w:lineRule="exact"/>
              <w:rPr>
                <w:sz w:val="20"/>
                <w:szCs w:val="20"/>
                <w:color w:val="auto"/>
              </w:rPr>
            </w:pPr>
            <w:r>
              <w:rPr>
                <w:rFonts w:ascii="Arial" w:cs="Arial" w:eastAsia="Arial" w:hAnsi="Arial"/>
                <w:sz w:val="15"/>
                <w:szCs w:val="15"/>
                <w:color w:val="auto"/>
                <w:w w:val="95"/>
              </w:rPr>
              <w:t>$</w:t>
            </w:r>
          </w:p>
        </w:tc>
        <w:tc>
          <w:tcPr>
            <w:tcW w:w="840" w:type="dxa"/>
            <w:vAlign w:val="bottom"/>
            <w:shd w:val="clear" w:color="auto" w:fill="CFF0FC"/>
          </w:tcPr>
          <w:p>
            <w:pPr>
              <w:jc w:val="right"/>
              <w:ind w:right="104"/>
              <w:spacing w:after="0" w:line="156" w:lineRule="exact"/>
              <w:rPr>
                <w:sz w:val="20"/>
                <w:szCs w:val="20"/>
                <w:color w:val="auto"/>
              </w:rPr>
            </w:pPr>
            <w:r>
              <w:rPr>
                <w:rFonts w:ascii="Arial" w:cs="Arial" w:eastAsia="Arial" w:hAnsi="Arial"/>
                <w:sz w:val="15"/>
                <w:szCs w:val="15"/>
                <w:color w:val="auto"/>
              </w:rPr>
              <w:t>7,458</w:t>
            </w:r>
          </w:p>
        </w:tc>
        <w:tc>
          <w:tcPr>
            <w:tcW w:w="520" w:type="dxa"/>
            <w:vAlign w:val="bottom"/>
            <w:gridSpan w:val="2"/>
            <w:shd w:val="clear" w:color="auto" w:fill="CFF0FC"/>
          </w:tcPr>
          <w:p>
            <w:pPr>
              <w:jc w:val="right"/>
              <w:ind w:right="280"/>
              <w:spacing w:after="0" w:line="156" w:lineRule="exact"/>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ind w:right="104"/>
              <w:spacing w:after="0" w:line="156" w:lineRule="exact"/>
              <w:rPr>
                <w:sz w:val="20"/>
                <w:szCs w:val="20"/>
                <w:color w:val="auto"/>
              </w:rPr>
            </w:pPr>
            <w:r>
              <w:rPr>
                <w:rFonts w:ascii="Arial" w:cs="Arial" w:eastAsia="Arial" w:hAnsi="Arial"/>
                <w:sz w:val="15"/>
                <w:szCs w:val="15"/>
                <w:color w:val="auto"/>
              </w:rPr>
              <w:t>1,431</w:t>
            </w:r>
          </w:p>
        </w:tc>
        <w:tc>
          <w:tcPr>
            <w:tcW w:w="400" w:type="dxa"/>
            <w:vAlign w:val="bottom"/>
            <w:gridSpan w:val="2"/>
            <w:shd w:val="clear" w:color="auto" w:fill="CFF0FC"/>
          </w:tcPr>
          <w:p>
            <w:pPr>
              <w:jc w:val="right"/>
              <w:ind w:right="160"/>
              <w:spacing w:after="0" w:line="156" w:lineRule="exact"/>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ind w:right="84"/>
              <w:spacing w:after="0" w:line="156" w:lineRule="exact"/>
              <w:rPr>
                <w:sz w:val="20"/>
                <w:szCs w:val="20"/>
                <w:color w:val="auto"/>
              </w:rPr>
            </w:pPr>
            <w:r>
              <w:rPr>
                <w:rFonts w:ascii="Arial" w:cs="Arial" w:eastAsia="Arial" w:hAnsi="Arial"/>
                <w:sz w:val="15"/>
                <w:szCs w:val="15"/>
                <w:color w:val="auto"/>
              </w:rPr>
              <w:t>4,531</w:t>
            </w:r>
          </w:p>
        </w:tc>
        <w:tc>
          <w:tcPr>
            <w:tcW w:w="340" w:type="dxa"/>
            <w:vAlign w:val="bottom"/>
            <w:gridSpan w:val="2"/>
            <w:shd w:val="clear" w:color="auto" w:fill="CFF0FC"/>
          </w:tcPr>
          <w:p>
            <w:pPr>
              <w:jc w:val="right"/>
              <w:ind w:right="80"/>
              <w:spacing w:after="0" w:line="156" w:lineRule="exact"/>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ind w:right="104"/>
              <w:spacing w:after="0" w:line="156" w:lineRule="exact"/>
              <w:rPr>
                <w:sz w:val="20"/>
                <w:szCs w:val="20"/>
                <w:color w:val="auto"/>
              </w:rPr>
            </w:pPr>
            <w:r>
              <w:rPr>
                <w:rFonts w:ascii="Arial" w:cs="Arial" w:eastAsia="Arial" w:hAnsi="Arial"/>
                <w:sz w:val="15"/>
                <w:szCs w:val="15"/>
                <w:color w:val="auto"/>
              </w:rPr>
              <w:t>2,162</w:t>
            </w:r>
          </w:p>
        </w:tc>
        <w:tc>
          <w:tcPr>
            <w:tcW w:w="400" w:type="dxa"/>
            <w:vAlign w:val="bottom"/>
            <w:gridSpan w:val="2"/>
            <w:shd w:val="clear" w:color="auto" w:fill="CFF0FC"/>
          </w:tcPr>
          <w:p>
            <w:pPr>
              <w:jc w:val="right"/>
              <w:ind w:right="160"/>
              <w:spacing w:after="0" w:line="156" w:lineRule="exact"/>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ind w:right="104"/>
              <w:spacing w:after="0" w:line="156" w:lineRule="exact"/>
              <w:rPr>
                <w:sz w:val="20"/>
                <w:szCs w:val="20"/>
                <w:color w:val="auto"/>
              </w:rPr>
            </w:pPr>
            <w:r>
              <w:rPr>
                <w:rFonts w:ascii="Arial" w:cs="Arial" w:eastAsia="Arial" w:hAnsi="Arial"/>
                <w:sz w:val="15"/>
                <w:szCs w:val="15"/>
                <w:color w:val="auto"/>
              </w:rPr>
              <w:t>765</w:t>
            </w:r>
          </w:p>
        </w:tc>
        <w:tc>
          <w:tcPr>
            <w:tcW w:w="400" w:type="dxa"/>
            <w:vAlign w:val="bottom"/>
            <w:gridSpan w:val="2"/>
            <w:shd w:val="clear" w:color="auto" w:fill="CFF0FC"/>
          </w:tcPr>
          <w:p>
            <w:pPr>
              <w:jc w:val="right"/>
              <w:ind w:right="140"/>
              <w:spacing w:after="0" w:line="156" w:lineRule="exact"/>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ind w:right="104"/>
              <w:spacing w:after="0" w:line="156" w:lineRule="exact"/>
              <w:rPr>
                <w:sz w:val="20"/>
                <w:szCs w:val="20"/>
                <w:color w:val="auto"/>
              </w:rPr>
            </w:pPr>
            <w:r>
              <w:rPr>
                <w:rFonts w:ascii="Arial" w:cs="Arial" w:eastAsia="Arial" w:hAnsi="Arial"/>
                <w:sz w:val="15"/>
                <w:szCs w:val="15"/>
                <w:color w:val="auto"/>
              </w:rPr>
              <w:t>767</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64"/>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104"/>
              <w:spacing w:after="0" w:line="156" w:lineRule="exact"/>
              <w:rPr>
                <w:sz w:val="20"/>
                <w:szCs w:val="20"/>
                <w:color w:val="auto"/>
              </w:rPr>
            </w:pPr>
            <w:r>
              <w:rPr>
                <w:rFonts w:ascii="Arial" w:cs="Arial" w:eastAsia="Arial" w:hAnsi="Arial"/>
                <w:sz w:val="15"/>
                <w:szCs w:val="15"/>
                <w:color w:val="auto"/>
              </w:rPr>
              <w:t>923</w:t>
            </w:r>
          </w:p>
        </w:tc>
        <w:tc>
          <w:tcPr>
            <w:tcW w:w="0" w:type="dxa"/>
            <w:vAlign w:val="bottom"/>
          </w:tcPr>
          <w:p>
            <w:pPr>
              <w:spacing w:after="0"/>
              <w:rPr>
                <w:sz w:val="1"/>
                <w:szCs w:val="1"/>
                <w:color w:val="auto"/>
              </w:rPr>
            </w:pPr>
          </w:p>
        </w:tc>
      </w:tr>
      <w:tr>
        <w:trPr>
          <w:trHeight w:val="162"/>
        </w:trPr>
        <w:tc>
          <w:tcPr>
            <w:tcW w:w="308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Total recoveries</w:t>
            </w:r>
          </w:p>
        </w:tc>
        <w:tc>
          <w:tcPr>
            <w:tcW w:w="200" w:type="dxa"/>
            <w:vAlign w:val="bottom"/>
          </w:tcPr>
          <w:p>
            <w:pPr>
              <w:spacing w:after="0"/>
              <w:rPr>
                <w:sz w:val="14"/>
                <w:szCs w:val="14"/>
                <w:color w:val="auto"/>
              </w:rPr>
            </w:pPr>
          </w:p>
        </w:tc>
        <w:tc>
          <w:tcPr>
            <w:tcW w:w="84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976</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421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84"/>
              <w:spacing w:after="0" w:line="162" w:lineRule="exact"/>
              <w:rPr>
                <w:sz w:val="20"/>
                <w:szCs w:val="20"/>
                <w:color w:val="auto"/>
              </w:rPr>
            </w:pPr>
            <w:r>
              <w:rPr>
                <w:rFonts w:ascii="Arial" w:cs="Arial" w:eastAsia="Arial" w:hAnsi="Arial"/>
                <w:sz w:val="15"/>
                <w:szCs w:val="15"/>
                <w:color w:val="auto"/>
              </w:rPr>
              <w:t>197</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298</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481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163</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253</w:t>
            </w:r>
          </w:p>
        </w:tc>
        <w:tc>
          <w:tcPr>
            <w:tcW w:w="0" w:type="dxa"/>
            <w:vAlign w:val="bottom"/>
          </w:tcPr>
          <w:p>
            <w:pPr>
              <w:spacing w:after="0"/>
              <w:rPr>
                <w:sz w:val="1"/>
                <w:szCs w:val="1"/>
                <w:color w:val="auto"/>
              </w:rPr>
            </w:pPr>
          </w:p>
        </w:tc>
      </w:tr>
      <w:tr>
        <w:trPr>
          <w:trHeight w:val="162"/>
        </w:trPr>
        <w:tc>
          <w:tcPr>
            <w:tcW w:w="3080" w:type="dxa"/>
            <w:vAlign w:val="bottom"/>
            <w:gridSpan w:val="2"/>
            <w:shd w:val="clear" w:color="auto" w:fill="CFF0FC"/>
          </w:tcPr>
          <w:p>
            <w:pPr>
              <w:ind w:left="40"/>
              <w:spacing w:after="0" w:line="162" w:lineRule="exact"/>
              <w:rPr>
                <w:sz w:val="20"/>
                <w:szCs w:val="20"/>
                <w:color w:val="auto"/>
              </w:rPr>
            </w:pPr>
            <w:r>
              <w:rPr>
                <w:rFonts w:ascii="Arial" w:cs="Arial" w:eastAsia="Arial" w:hAnsi="Arial"/>
                <w:sz w:val="15"/>
                <w:szCs w:val="15"/>
                <w:color w:val="auto"/>
              </w:rPr>
              <w:t>Net loan charge-offs</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104"/>
              <w:spacing w:after="0" w:line="162" w:lineRule="exact"/>
              <w:rPr>
                <w:sz w:val="20"/>
                <w:szCs w:val="20"/>
                <w:color w:val="auto"/>
              </w:rPr>
            </w:pPr>
            <w:r>
              <w:rPr>
                <w:rFonts w:ascii="Arial" w:cs="Arial" w:eastAsia="Arial" w:hAnsi="Arial"/>
                <w:sz w:val="15"/>
                <w:szCs w:val="15"/>
                <w:color w:val="auto"/>
              </w:rPr>
              <w:t>6,482</w:t>
            </w: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104"/>
              <w:spacing w:after="0" w:line="162" w:lineRule="exact"/>
              <w:rPr>
                <w:sz w:val="20"/>
                <w:szCs w:val="20"/>
                <w:color w:val="auto"/>
              </w:rPr>
            </w:pPr>
            <w:r>
              <w:rPr>
                <w:rFonts w:ascii="Arial" w:cs="Arial" w:eastAsia="Arial" w:hAnsi="Arial"/>
                <w:sz w:val="15"/>
                <w:szCs w:val="15"/>
                <w:color w:val="auto"/>
              </w:rPr>
              <w:t>1,010</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4"/>
              <w:spacing w:after="0" w:line="162" w:lineRule="exact"/>
              <w:rPr>
                <w:sz w:val="20"/>
                <w:szCs w:val="20"/>
                <w:color w:val="auto"/>
              </w:rPr>
            </w:pPr>
            <w:r>
              <w:rPr>
                <w:rFonts w:ascii="Arial" w:cs="Arial" w:eastAsia="Arial" w:hAnsi="Arial"/>
                <w:sz w:val="15"/>
                <w:szCs w:val="15"/>
                <w:color w:val="auto"/>
              </w:rPr>
              <w:t>4,334</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104"/>
              <w:spacing w:after="0" w:line="162" w:lineRule="exact"/>
              <w:rPr>
                <w:sz w:val="20"/>
                <w:szCs w:val="20"/>
                <w:color w:val="auto"/>
              </w:rPr>
            </w:pPr>
            <w:r>
              <w:rPr>
                <w:rFonts w:ascii="Arial" w:cs="Arial" w:eastAsia="Arial" w:hAnsi="Arial"/>
                <w:sz w:val="15"/>
                <w:szCs w:val="15"/>
                <w:color w:val="auto"/>
              </w:rPr>
              <w:t>1,864</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04"/>
              <w:spacing w:after="0" w:line="162" w:lineRule="exact"/>
              <w:rPr>
                <w:sz w:val="20"/>
                <w:szCs w:val="20"/>
                <w:color w:val="auto"/>
              </w:rPr>
            </w:pPr>
            <w:r>
              <w:rPr>
                <w:rFonts w:ascii="Arial" w:cs="Arial" w:eastAsia="Arial" w:hAnsi="Arial"/>
                <w:sz w:val="15"/>
                <w:szCs w:val="15"/>
                <w:color w:val="auto"/>
              </w:rPr>
              <w:t>284</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104"/>
              <w:spacing w:after="0" w:line="162" w:lineRule="exact"/>
              <w:rPr>
                <w:sz w:val="20"/>
                <w:szCs w:val="20"/>
                <w:color w:val="auto"/>
              </w:rPr>
            </w:pPr>
            <w:r>
              <w:rPr>
                <w:rFonts w:ascii="Arial" w:cs="Arial" w:eastAsia="Arial" w:hAnsi="Arial"/>
                <w:sz w:val="15"/>
                <w:szCs w:val="15"/>
                <w:color w:val="auto"/>
              </w:rPr>
              <w:t>604</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104"/>
              <w:spacing w:after="0" w:line="162" w:lineRule="exact"/>
              <w:rPr>
                <w:sz w:val="20"/>
                <w:szCs w:val="20"/>
                <w:color w:val="auto"/>
              </w:rPr>
            </w:pPr>
            <w:r>
              <w:rPr>
                <w:rFonts w:ascii="Arial" w:cs="Arial" w:eastAsia="Arial" w:hAnsi="Arial"/>
                <w:sz w:val="15"/>
                <w:szCs w:val="15"/>
                <w:color w:val="auto"/>
              </w:rPr>
              <w:t>670</w:t>
            </w:r>
          </w:p>
        </w:tc>
        <w:tc>
          <w:tcPr>
            <w:tcW w:w="0" w:type="dxa"/>
            <w:vAlign w:val="bottom"/>
          </w:tcPr>
          <w:p>
            <w:pPr>
              <w:spacing w:after="0"/>
              <w:rPr>
                <w:sz w:val="1"/>
                <w:szCs w:val="1"/>
                <w:color w:val="auto"/>
              </w:rPr>
            </w:pPr>
          </w:p>
        </w:tc>
      </w:tr>
      <w:tr>
        <w:trPr>
          <w:trHeight w:val="162"/>
        </w:trPr>
        <w:tc>
          <w:tcPr>
            <w:tcW w:w="308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Allowance for credit losses at period end</w:t>
            </w:r>
          </w:p>
        </w:tc>
        <w:tc>
          <w:tcPr>
            <w:tcW w:w="200" w:type="dxa"/>
            <w:vAlign w:val="bottom"/>
          </w:tcPr>
          <w:p>
            <w:pPr>
              <w:spacing w:after="0"/>
              <w:rPr>
                <w:sz w:val="14"/>
                <w:szCs w:val="14"/>
                <w:color w:val="auto"/>
              </w:rPr>
            </w:pPr>
          </w:p>
        </w:tc>
        <w:tc>
          <w:tcPr>
            <w:tcW w:w="84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22,737</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18,654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84"/>
              <w:spacing w:after="0" w:line="162" w:lineRule="exact"/>
              <w:rPr>
                <w:sz w:val="20"/>
                <w:szCs w:val="20"/>
                <w:color w:val="auto"/>
              </w:rPr>
            </w:pPr>
            <w:r>
              <w:rPr>
                <w:rFonts w:ascii="Arial" w:cs="Arial" w:eastAsia="Arial" w:hAnsi="Arial"/>
                <w:sz w:val="15"/>
                <w:szCs w:val="15"/>
                <w:color w:val="auto"/>
              </w:rPr>
              <w:t>22,737</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26,920</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28,966</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29,436</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18,654</w:t>
            </w:r>
          </w:p>
        </w:tc>
        <w:tc>
          <w:tcPr>
            <w:tcW w:w="0" w:type="dxa"/>
            <w:vAlign w:val="bottom"/>
          </w:tcPr>
          <w:p>
            <w:pPr>
              <w:spacing w:after="0"/>
              <w:rPr>
                <w:sz w:val="1"/>
                <w:szCs w:val="1"/>
                <w:color w:val="auto"/>
              </w:rPr>
            </w:pPr>
          </w:p>
        </w:tc>
      </w:tr>
      <w:tr>
        <w:trPr>
          <w:trHeight w:val="162"/>
        </w:trPr>
        <w:tc>
          <w:tcPr>
            <w:tcW w:w="3080" w:type="dxa"/>
            <w:vAlign w:val="bottom"/>
            <w:gridSpan w:val="2"/>
            <w:shd w:val="clear" w:color="auto" w:fill="CFF0FC"/>
          </w:tcPr>
          <w:p>
            <w:pPr>
              <w:ind w:left="40"/>
              <w:spacing w:after="0" w:line="162" w:lineRule="exact"/>
              <w:rPr>
                <w:sz w:val="20"/>
                <w:szCs w:val="20"/>
                <w:color w:val="auto"/>
              </w:rPr>
            </w:pPr>
            <w:r>
              <w:rPr>
                <w:rFonts w:ascii="Arial" w:cs="Arial" w:eastAsia="Arial" w:hAnsi="Arial"/>
                <w:sz w:val="15"/>
                <w:szCs w:val="15"/>
                <w:color w:val="auto"/>
              </w:rPr>
              <w:t>Nonperforming loans at period end</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104"/>
              <w:spacing w:after="0" w:line="162" w:lineRule="exact"/>
              <w:rPr>
                <w:sz w:val="20"/>
                <w:szCs w:val="20"/>
                <w:color w:val="auto"/>
              </w:rPr>
            </w:pPr>
            <w:r>
              <w:rPr>
                <w:rFonts w:ascii="Arial" w:cs="Arial" w:eastAsia="Arial" w:hAnsi="Arial"/>
                <w:sz w:val="15"/>
                <w:szCs w:val="15"/>
                <w:color w:val="auto"/>
              </w:rPr>
              <w:t>30,256</w:t>
            </w: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104"/>
              <w:spacing w:after="0" w:line="162" w:lineRule="exact"/>
              <w:rPr>
                <w:sz w:val="20"/>
                <w:szCs w:val="20"/>
                <w:color w:val="auto"/>
              </w:rPr>
            </w:pPr>
            <w:r>
              <w:rPr>
                <w:rFonts w:ascii="Arial" w:cs="Arial" w:eastAsia="Arial" w:hAnsi="Arial"/>
                <w:sz w:val="15"/>
                <w:szCs w:val="15"/>
                <w:color w:val="auto"/>
              </w:rPr>
              <w:t>23,305</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4"/>
              <w:spacing w:after="0" w:line="162" w:lineRule="exact"/>
              <w:rPr>
                <w:sz w:val="20"/>
                <w:szCs w:val="20"/>
                <w:color w:val="auto"/>
              </w:rPr>
            </w:pPr>
            <w:r>
              <w:rPr>
                <w:rFonts w:ascii="Arial" w:cs="Arial" w:eastAsia="Arial" w:hAnsi="Arial"/>
                <w:sz w:val="15"/>
                <w:szCs w:val="15"/>
                <w:color w:val="auto"/>
              </w:rPr>
              <w:t>30,256</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104"/>
              <w:spacing w:after="0" w:line="162" w:lineRule="exact"/>
              <w:rPr>
                <w:sz w:val="20"/>
                <w:szCs w:val="20"/>
                <w:color w:val="auto"/>
              </w:rPr>
            </w:pPr>
            <w:r>
              <w:rPr>
                <w:rFonts w:ascii="Arial" w:cs="Arial" w:eastAsia="Arial" w:hAnsi="Arial"/>
                <w:sz w:val="15"/>
                <w:szCs w:val="15"/>
                <w:color w:val="auto"/>
              </w:rPr>
              <w:t>35,710</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104"/>
              <w:spacing w:after="0" w:line="162" w:lineRule="exact"/>
              <w:rPr>
                <w:sz w:val="20"/>
                <w:szCs w:val="20"/>
                <w:color w:val="auto"/>
              </w:rPr>
            </w:pPr>
            <w:r>
              <w:rPr>
                <w:rFonts w:ascii="Arial" w:cs="Arial" w:eastAsia="Arial" w:hAnsi="Arial"/>
                <w:sz w:val="15"/>
                <w:szCs w:val="15"/>
                <w:color w:val="auto"/>
              </w:rPr>
              <w:t>38,160</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104"/>
              <w:spacing w:after="0" w:line="162" w:lineRule="exact"/>
              <w:rPr>
                <w:sz w:val="20"/>
                <w:szCs w:val="20"/>
                <w:color w:val="auto"/>
              </w:rPr>
            </w:pPr>
            <w:r>
              <w:rPr>
                <w:rFonts w:ascii="Arial" w:cs="Arial" w:eastAsia="Arial" w:hAnsi="Arial"/>
                <w:sz w:val="15"/>
                <w:szCs w:val="15"/>
                <w:color w:val="auto"/>
              </w:rPr>
              <w:t>27,561</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104"/>
              <w:spacing w:after="0" w:line="162" w:lineRule="exact"/>
              <w:rPr>
                <w:sz w:val="20"/>
                <w:szCs w:val="20"/>
                <w:color w:val="auto"/>
              </w:rPr>
            </w:pPr>
            <w:r>
              <w:rPr>
                <w:rFonts w:ascii="Arial" w:cs="Arial" w:eastAsia="Arial" w:hAnsi="Arial"/>
                <w:sz w:val="15"/>
                <w:szCs w:val="15"/>
                <w:color w:val="auto"/>
              </w:rPr>
              <w:t>23,305</w:t>
            </w:r>
          </w:p>
        </w:tc>
        <w:tc>
          <w:tcPr>
            <w:tcW w:w="0" w:type="dxa"/>
            <w:vAlign w:val="bottom"/>
          </w:tcPr>
          <w:p>
            <w:pPr>
              <w:spacing w:after="0"/>
              <w:rPr>
                <w:sz w:val="1"/>
                <w:szCs w:val="1"/>
                <w:color w:val="auto"/>
              </w:rPr>
            </w:pPr>
          </w:p>
        </w:tc>
      </w:tr>
      <w:tr>
        <w:trPr>
          <w:trHeight w:val="162"/>
        </w:trPr>
        <w:tc>
          <w:tcPr>
            <w:tcW w:w="308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Nonperforming assets at period end</w:t>
            </w:r>
          </w:p>
        </w:tc>
        <w:tc>
          <w:tcPr>
            <w:tcW w:w="200" w:type="dxa"/>
            <w:vAlign w:val="bottom"/>
          </w:tcPr>
          <w:p>
            <w:pPr>
              <w:jc w:val="right"/>
              <w:ind w:right="24"/>
              <w:spacing w:after="0" w:line="162" w:lineRule="exact"/>
              <w:rPr>
                <w:sz w:val="20"/>
                <w:szCs w:val="20"/>
                <w:color w:val="auto"/>
              </w:rPr>
            </w:pPr>
            <w:r>
              <w:rPr>
                <w:rFonts w:ascii="Arial" w:cs="Arial" w:eastAsia="Arial" w:hAnsi="Arial"/>
                <w:sz w:val="15"/>
                <w:szCs w:val="15"/>
                <w:color w:val="auto"/>
                <w:w w:val="95"/>
              </w:rPr>
              <w:t>$</w:t>
            </w:r>
          </w:p>
        </w:tc>
        <w:tc>
          <w:tcPr>
            <w:tcW w:w="84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30,339</w:t>
            </w:r>
          </w:p>
        </w:tc>
        <w:tc>
          <w:tcPr>
            <w:tcW w:w="52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66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23,442</w:t>
            </w:r>
          </w:p>
        </w:tc>
        <w:tc>
          <w:tcPr>
            <w:tcW w:w="40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84"/>
              <w:spacing w:after="0" w:line="162" w:lineRule="exact"/>
              <w:rPr>
                <w:sz w:val="20"/>
                <w:szCs w:val="20"/>
                <w:color w:val="auto"/>
              </w:rPr>
            </w:pPr>
            <w:r>
              <w:rPr>
                <w:rFonts w:ascii="Arial" w:cs="Arial" w:eastAsia="Arial" w:hAnsi="Arial"/>
                <w:sz w:val="15"/>
                <w:szCs w:val="15"/>
                <w:color w:val="auto"/>
              </w:rPr>
              <w:t>30,339</w:t>
            </w:r>
          </w:p>
        </w:tc>
        <w:tc>
          <w:tcPr>
            <w:tcW w:w="34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35,847</w:t>
            </w:r>
          </w:p>
        </w:tc>
        <w:tc>
          <w:tcPr>
            <w:tcW w:w="40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38,297</w:t>
            </w:r>
          </w:p>
        </w:tc>
        <w:tc>
          <w:tcPr>
            <w:tcW w:w="4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27,698</w:t>
            </w:r>
          </w:p>
        </w:tc>
        <w:tc>
          <w:tcPr>
            <w:tcW w:w="160" w:type="dxa"/>
            <w:vAlign w:val="bottom"/>
          </w:tcPr>
          <w:p>
            <w:pPr>
              <w:spacing w:after="0"/>
              <w:rPr>
                <w:sz w:val="14"/>
                <w:szCs w:val="14"/>
                <w:color w:val="auto"/>
              </w:rPr>
            </w:pPr>
          </w:p>
        </w:tc>
        <w:tc>
          <w:tcPr>
            <w:tcW w:w="220" w:type="dxa"/>
            <w:vAlign w:val="bottom"/>
          </w:tcPr>
          <w:p>
            <w:pPr>
              <w:jc w:val="right"/>
              <w:ind w:right="64"/>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23,442</w:t>
            </w:r>
          </w:p>
        </w:tc>
        <w:tc>
          <w:tcPr>
            <w:tcW w:w="0" w:type="dxa"/>
            <w:vAlign w:val="bottom"/>
          </w:tcPr>
          <w:p>
            <w:pPr>
              <w:spacing w:after="0"/>
              <w:rPr>
                <w:sz w:val="1"/>
                <w:szCs w:val="1"/>
                <w:color w:val="auto"/>
              </w:rPr>
            </w:pPr>
          </w:p>
        </w:tc>
      </w:tr>
      <w:tr>
        <w:trPr>
          <w:trHeight w:val="145"/>
        </w:trPr>
        <w:tc>
          <w:tcPr>
            <w:tcW w:w="3080" w:type="dxa"/>
            <w:vAlign w:val="bottom"/>
            <w:gridSpan w:val="2"/>
            <w:shd w:val="clear" w:color="auto" w:fill="CFF0FC"/>
          </w:tcPr>
          <w:p>
            <w:pPr>
              <w:ind w:left="40"/>
              <w:spacing w:after="0" w:line="145" w:lineRule="exact"/>
              <w:rPr>
                <w:sz w:val="20"/>
                <w:szCs w:val="20"/>
                <w:color w:val="auto"/>
              </w:rPr>
            </w:pPr>
            <w:r>
              <w:rPr>
                <w:rFonts w:ascii="Arial" w:cs="Arial" w:eastAsia="Arial" w:hAnsi="Arial"/>
                <w:sz w:val="15"/>
                <w:szCs w:val="15"/>
                <w:color w:val="auto"/>
              </w:rPr>
              <w:t>Annualized net loan charge-offs to</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08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rPr>
              <w:t>average loans</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0.96%</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0.15%</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1.96%</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0.83%</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0.13%</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0.27%</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0.30%</w:t>
            </w:r>
          </w:p>
        </w:tc>
        <w:tc>
          <w:tcPr>
            <w:tcW w:w="0" w:type="dxa"/>
            <w:vAlign w:val="bottom"/>
          </w:tcPr>
          <w:p>
            <w:pPr>
              <w:spacing w:after="0"/>
              <w:rPr>
                <w:sz w:val="1"/>
                <w:szCs w:val="1"/>
                <w:color w:val="auto"/>
              </w:rPr>
            </w:pPr>
          </w:p>
        </w:tc>
      </w:tr>
      <w:tr>
        <w:trPr>
          <w:trHeight w:val="145"/>
        </w:trPr>
        <w:tc>
          <w:tcPr>
            <w:tcW w:w="3080" w:type="dxa"/>
            <w:vAlign w:val="bottom"/>
            <w:gridSpan w:val="2"/>
          </w:tcPr>
          <w:p>
            <w:pPr>
              <w:ind w:left="40"/>
              <w:spacing w:after="0" w:line="145" w:lineRule="exact"/>
              <w:rPr>
                <w:sz w:val="20"/>
                <w:szCs w:val="20"/>
                <w:color w:val="auto"/>
              </w:rPr>
            </w:pPr>
            <w:r>
              <w:rPr>
                <w:rFonts w:ascii="Arial" w:cs="Arial" w:eastAsia="Arial" w:hAnsi="Arial"/>
                <w:sz w:val="15"/>
                <w:szCs w:val="15"/>
                <w:color w:val="auto"/>
              </w:rPr>
              <w:t>Allowance for credit losses to period end</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080" w:type="dxa"/>
            <w:vAlign w:val="bottom"/>
            <w:gridSpan w:val="2"/>
          </w:tcPr>
          <w:p>
            <w:pPr>
              <w:ind w:left="40"/>
              <w:spacing w:after="0"/>
              <w:rPr>
                <w:sz w:val="20"/>
                <w:szCs w:val="20"/>
                <w:color w:val="auto"/>
              </w:rPr>
            </w:pPr>
            <w:r>
              <w:rPr>
                <w:rFonts w:ascii="Arial" w:cs="Arial" w:eastAsia="Arial" w:hAnsi="Arial"/>
                <w:sz w:val="15"/>
                <w:szCs w:val="15"/>
                <w:color w:val="auto"/>
              </w:rPr>
              <w:t>loans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2.60%</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2.08%</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2.60%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3.03%</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3.24%</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3.28%</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2.08%</w:t>
            </w:r>
          </w:p>
        </w:tc>
        <w:tc>
          <w:tcPr>
            <w:tcW w:w="0" w:type="dxa"/>
            <w:vAlign w:val="bottom"/>
          </w:tcPr>
          <w:p>
            <w:pPr>
              <w:spacing w:after="0"/>
              <w:rPr>
                <w:sz w:val="1"/>
                <w:szCs w:val="1"/>
                <w:color w:val="auto"/>
              </w:rPr>
            </w:pPr>
          </w:p>
        </w:tc>
      </w:tr>
      <w:tr>
        <w:trPr>
          <w:trHeight w:val="145"/>
        </w:trPr>
        <w:tc>
          <w:tcPr>
            <w:tcW w:w="3080" w:type="dxa"/>
            <w:vAlign w:val="bottom"/>
            <w:gridSpan w:val="2"/>
            <w:shd w:val="clear" w:color="auto" w:fill="CFF0FC"/>
          </w:tcPr>
          <w:p>
            <w:pPr>
              <w:ind w:left="40"/>
              <w:spacing w:after="0" w:line="145" w:lineRule="exact"/>
              <w:rPr>
                <w:sz w:val="20"/>
                <w:szCs w:val="20"/>
                <w:color w:val="auto"/>
              </w:rPr>
            </w:pPr>
            <w:r>
              <w:rPr>
                <w:rFonts w:ascii="Arial" w:cs="Arial" w:eastAsia="Arial" w:hAnsi="Arial"/>
                <w:sz w:val="15"/>
                <w:szCs w:val="15"/>
                <w:color w:val="auto"/>
              </w:rPr>
              <w:t>Allowance for credit losses to</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08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rPr>
              <w:t>nonperforming loans</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75.15%</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80.04%</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75.15%</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75.39%</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75.91%</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106.80%</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80.04%</w:t>
            </w:r>
          </w:p>
        </w:tc>
        <w:tc>
          <w:tcPr>
            <w:tcW w:w="0" w:type="dxa"/>
            <w:vAlign w:val="bottom"/>
          </w:tcPr>
          <w:p>
            <w:pPr>
              <w:spacing w:after="0"/>
              <w:rPr>
                <w:sz w:val="1"/>
                <w:szCs w:val="1"/>
                <w:color w:val="auto"/>
              </w:rPr>
            </w:pPr>
          </w:p>
        </w:tc>
      </w:tr>
      <w:tr>
        <w:trPr>
          <w:trHeight w:val="162"/>
        </w:trPr>
        <w:tc>
          <w:tcPr>
            <w:tcW w:w="308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Nonperforming loans to period end loans</w:t>
            </w:r>
          </w:p>
        </w:tc>
        <w:tc>
          <w:tcPr>
            <w:tcW w:w="2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3.47%</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2.59%</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5"/>
                <w:szCs w:val="15"/>
                <w:color w:val="auto"/>
              </w:rPr>
              <w:t>3.47%</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4.02%</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5"/>
                <w:szCs w:val="15"/>
                <w:color w:val="auto"/>
              </w:rPr>
              <w:t>4.26%</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3.07%</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2.59%</w:t>
            </w:r>
          </w:p>
        </w:tc>
        <w:tc>
          <w:tcPr>
            <w:tcW w:w="0" w:type="dxa"/>
            <w:vAlign w:val="bottom"/>
          </w:tcPr>
          <w:p>
            <w:pPr>
              <w:spacing w:after="0"/>
              <w:rPr>
                <w:sz w:val="1"/>
                <w:szCs w:val="1"/>
                <w:color w:val="auto"/>
              </w:rPr>
            </w:pPr>
          </w:p>
        </w:tc>
      </w:tr>
      <w:tr>
        <w:trPr>
          <w:trHeight w:val="145"/>
        </w:trPr>
        <w:tc>
          <w:tcPr>
            <w:tcW w:w="3080" w:type="dxa"/>
            <w:vAlign w:val="bottom"/>
            <w:gridSpan w:val="2"/>
            <w:shd w:val="clear" w:color="auto" w:fill="CFF0FC"/>
          </w:tcPr>
          <w:p>
            <w:pPr>
              <w:ind w:left="40"/>
              <w:spacing w:after="0" w:line="145" w:lineRule="exact"/>
              <w:rPr>
                <w:sz w:val="20"/>
                <w:szCs w:val="20"/>
                <w:color w:val="auto"/>
              </w:rPr>
            </w:pPr>
            <w:r>
              <w:rPr>
                <w:rFonts w:ascii="Arial" w:cs="Arial" w:eastAsia="Arial" w:hAnsi="Arial"/>
                <w:sz w:val="15"/>
                <w:szCs w:val="15"/>
                <w:color w:val="auto"/>
              </w:rPr>
              <w:t>Nonperforming assets to period end</w:t>
            </w: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08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rPr>
              <w:t>assets</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2.03%</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1.59%</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2.03%</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2.40%</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2.69%</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1.94%</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2026</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2025</w:t>
            </w: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5080" w:type="dxa"/>
            <w:vAlign w:val="bottom"/>
            <w:vMerge w:val="restart"/>
          </w:tcPr>
          <w:p>
            <w:pPr>
              <w:spacing w:after="0"/>
              <w:rPr>
                <w:sz w:val="20"/>
                <w:szCs w:val="20"/>
                <w:color w:val="auto"/>
              </w:rPr>
            </w:pPr>
            <w:r>
              <w:rPr>
                <w:rFonts w:ascii="Arial" w:cs="Arial" w:eastAsia="Arial" w:hAnsi="Arial"/>
                <w:sz w:val="15"/>
                <w:szCs w:val="15"/>
                <w:b w:val="1"/>
                <w:bCs w:val="1"/>
                <w:color w:val="auto"/>
              </w:rPr>
              <w:t>LOAN COMPOSITION:</w:t>
            </w:r>
          </w:p>
        </w:tc>
        <w:tc>
          <w:tcPr>
            <w:tcW w:w="2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right"/>
              <w:ind w:right="360"/>
              <w:spacing w:after="0" w:line="136" w:lineRule="exact"/>
              <w:rPr>
                <w:sz w:val="20"/>
                <w:szCs w:val="20"/>
                <w:color w:val="auto"/>
              </w:rPr>
            </w:pPr>
            <w:r>
              <w:rPr>
                <w:rFonts w:ascii="Arial" w:cs="Arial" w:eastAsia="Arial" w:hAnsi="Arial"/>
                <w:sz w:val="15"/>
                <w:szCs w:val="15"/>
                <w:b w:val="1"/>
                <w:bCs w:val="1"/>
                <w:color w:val="auto"/>
              </w:rPr>
              <w:t>September</w:t>
            </w:r>
          </w:p>
        </w:tc>
        <w:tc>
          <w:tcPr>
            <w:tcW w:w="200" w:type="dxa"/>
            <w:vAlign w:val="bottom"/>
          </w:tcPr>
          <w:p>
            <w:pPr>
              <w:spacing w:after="0"/>
              <w:rPr>
                <w:sz w:val="11"/>
                <w:szCs w:val="11"/>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June 30,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March 31,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84"/>
              <w:spacing w:after="0" w:line="136" w:lineRule="exact"/>
              <w:rPr>
                <w:sz w:val="20"/>
                <w:szCs w:val="20"/>
                <w:color w:val="auto"/>
              </w:rPr>
            </w:pPr>
            <w:r>
              <w:rPr>
                <w:rFonts w:ascii="Arial" w:cs="Arial" w:eastAsia="Arial" w:hAnsi="Arial"/>
                <w:sz w:val="15"/>
                <w:szCs w:val="15"/>
                <w:b w:val="1"/>
                <w:bCs w:val="1"/>
                <w:color w:val="auto"/>
              </w:rPr>
              <w:t>December</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84"/>
              <w:spacing w:after="0" w:line="136" w:lineRule="exact"/>
              <w:rPr>
                <w:sz w:val="20"/>
                <w:szCs w:val="20"/>
                <w:color w:val="auto"/>
              </w:rPr>
            </w:pPr>
            <w:r>
              <w:rPr>
                <w:rFonts w:ascii="Arial" w:cs="Arial" w:eastAsia="Arial" w:hAnsi="Arial"/>
                <w:sz w:val="15"/>
                <w:szCs w:val="15"/>
                <w:b w:val="1"/>
                <w:bCs w:val="1"/>
                <w:color w:val="auto"/>
              </w:rPr>
              <w:t>September</w:t>
            </w:r>
          </w:p>
        </w:tc>
        <w:tc>
          <w:tcPr>
            <w:tcW w:w="0" w:type="dxa"/>
            <w:vAlign w:val="bottom"/>
          </w:tcPr>
          <w:p>
            <w:pPr>
              <w:spacing w:after="0"/>
              <w:rPr>
                <w:sz w:val="1"/>
                <w:szCs w:val="1"/>
                <w:color w:val="auto"/>
              </w:rPr>
            </w:pPr>
          </w:p>
        </w:tc>
      </w:tr>
      <w:tr>
        <w:trPr>
          <w:trHeight w:val="181"/>
        </w:trPr>
        <w:tc>
          <w:tcPr>
            <w:tcW w:w="508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30,</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31,</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30,</w:t>
            </w:r>
          </w:p>
        </w:tc>
        <w:tc>
          <w:tcPr>
            <w:tcW w:w="0" w:type="dxa"/>
            <w:vAlign w:val="bottom"/>
          </w:tcPr>
          <w:p>
            <w:pPr>
              <w:spacing w:after="0"/>
              <w:rPr>
                <w:sz w:val="1"/>
                <w:szCs w:val="1"/>
                <w:color w:val="auto"/>
              </w:rPr>
            </w:pPr>
          </w:p>
        </w:tc>
      </w:tr>
      <w:tr>
        <w:trPr>
          <w:trHeight w:val="156"/>
        </w:trPr>
        <w:tc>
          <w:tcPr>
            <w:tcW w:w="5280" w:type="dxa"/>
            <w:vAlign w:val="bottom"/>
            <w:gridSpan w:val="2"/>
            <w:shd w:val="clear" w:color="auto" w:fill="CFF0FC"/>
          </w:tcPr>
          <w:p>
            <w:pPr>
              <w:ind w:left="60"/>
              <w:spacing w:after="0" w:line="156" w:lineRule="exact"/>
              <w:rPr>
                <w:sz w:val="20"/>
                <w:szCs w:val="20"/>
                <w:color w:val="auto"/>
              </w:rPr>
            </w:pPr>
            <w:r>
              <w:rPr>
                <w:rFonts w:ascii="Arial" w:cs="Arial" w:eastAsia="Arial" w:hAnsi="Arial"/>
                <w:sz w:val="15"/>
                <w:szCs w:val="15"/>
                <w:color w:val="auto"/>
              </w:rPr>
              <w:t>1-4 family first-lien residential mortgages</w:t>
            </w:r>
          </w:p>
        </w:tc>
        <w:tc>
          <w:tcPr>
            <w:tcW w:w="10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64"/>
              <w:spacing w:after="0" w:line="156" w:lineRule="exact"/>
              <w:rPr>
                <w:sz w:val="20"/>
                <w:szCs w:val="20"/>
                <w:color w:val="auto"/>
              </w:rPr>
            </w:pPr>
            <w:r>
              <w:rPr>
                <w:rFonts w:ascii="Arial" w:cs="Arial" w:eastAsia="Arial" w:hAnsi="Arial"/>
                <w:sz w:val="15"/>
                <w:szCs w:val="15"/>
                <w:color w:val="auto"/>
              </w:rPr>
              <w:t>230,661</w:t>
            </w: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233,501</w:t>
            </w:r>
          </w:p>
        </w:tc>
        <w:tc>
          <w:tcPr>
            <w:tcW w:w="320" w:type="dxa"/>
            <w:vAlign w:val="bottom"/>
            <w:gridSpan w:val="2"/>
            <w:shd w:val="clear" w:color="auto" w:fill="CFF0FC"/>
          </w:tcPr>
          <w:p>
            <w:pPr>
              <w:jc w:val="right"/>
              <w:ind w:right="60"/>
              <w:spacing w:after="0" w:line="156" w:lineRule="exact"/>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234,027</w:t>
            </w:r>
          </w:p>
        </w:tc>
        <w:tc>
          <w:tcPr>
            <w:tcW w:w="300" w:type="dxa"/>
            <w:vAlign w:val="bottom"/>
            <w:gridSpan w:val="2"/>
            <w:shd w:val="clear" w:color="auto" w:fill="CFF0FC"/>
          </w:tcPr>
          <w:p>
            <w:pPr>
              <w:jc w:val="right"/>
              <w:ind w:right="20"/>
              <w:spacing w:after="0" w:line="156" w:lineRule="exact"/>
              <w:rPr>
                <w:sz w:val="20"/>
                <w:szCs w:val="20"/>
                <w:color w:val="auto"/>
              </w:rPr>
            </w:pPr>
            <w:r>
              <w:rPr>
                <w:rFonts w:ascii="Arial" w:cs="Arial" w:eastAsia="Arial" w:hAnsi="Arial"/>
                <w:sz w:val="15"/>
                <w:szCs w:val="15"/>
                <w:color w:val="auto"/>
              </w:rPr>
              <w:t>$</w:t>
            </w:r>
          </w:p>
        </w:tc>
        <w:tc>
          <w:tcPr>
            <w:tcW w:w="920" w:type="dxa"/>
            <w:vAlign w:val="bottom"/>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239,692</w:t>
            </w:r>
          </w:p>
        </w:tc>
        <w:tc>
          <w:tcPr>
            <w:tcW w:w="26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238,975</w:t>
            </w:r>
          </w:p>
        </w:tc>
        <w:tc>
          <w:tcPr>
            <w:tcW w:w="0" w:type="dxa"/>
            <w:vAlign w:val="bottom"/>
          </w:tcPr>
          <w:p>
            <w:pPr>
              <w:spacing w:after="0"/>
              <w:rPr>
                <w:sz w:val="1"/>
                <w:szCs w:val="1"/>
                <w:color w:val="auto"/>
              </w:rPr>
            </w:pPr>
          </w:p>
        </w:tc>
      </w:tr>
      <w:tr>
        <w:trPr>
          <w:trHeight w:val="162"/>
        </w:trPr>
        <w:tc>
          <w:tcPr>
            <w:tcW w:w="528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Residential construction</w:t>
            </w:r>
          </w:p>
        </w:tc>
        <w:tc>
          <w:tcPr>
            <w:tcW w:w="100" w:type="dxa"/>
            <w:vAlign w:val="bottom"/>
          </w:tcPr>
          <w:p>
            <w:pPr>
              <w:spacing w:after="0"/>
              <w:rPr>
                <w:sz w:val="14"/>
                <w:szCs w:val="14"/>
                <w:color w:val="auto"/>
              </w:rPr>
            </w:pPr>
          </w:p>
        </w:tc>
        <w:tc>
          <w:tcPr>
            <w:tcW w:w="980" w:type="dxa"/>
            <w:vAlign w:val="bottom"/>
          </w:tcPr>
          <w:p>
            <w:pPr>
              <w:jc w:val="right"/>
              <w:ind w:right="64"/>
              <w:spacing w:after="0" w:line="162" w:lineRule="exact"/>
              <w:rPr>
                <w:sz w:val="20"/>
                <w:szCs w:val="20"/>
                <w:color w:val="auto"/>
              </w:rPr>
            </w:pPr>
            <w:r>
              <w:rPr>
                <w:rFonts w:ascii="Arial" w:cs="Arial" w:eastAsia="Arial" w:hAnsi="Arial"/>
                <w:sz w:val="15"/>
                <w:szCs w:val="15"/>
                <w:color w:val="auto"/>
              </w:rPr>
              <w:t>2,150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1,242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1,259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2,039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1,406</w:t>
            </w:r>
          </w:p>
        </w:tc>
        <w:tc>
          <w:tcPr>
            <w:tcW w:w="0" w:type="dxa"/>
            <w:vAlign w:val="bottom"/>
          </w:tcPr>
          <w:p>
            <w:pPr>
              <w:spacing w:after="0"/>
              <w:rPr>
                <w:sz w:val="1"/>
                <w:szCs w:val="1"/>
                <w:color w:val="auto"/>
              </w:rPr>
            </w:pPr>
          </w:p>
        </w:tc>
      </w:tr>
      <w:tr>
        <w:trPr>
          <w:trHeight w:val="162"/>
        </w:trPr>
        <w:tc>
          <w:tcPr>
            <w:tcW w:w="5280" w:type="dxa"/>
            <w:vAlign w:val="bottom"/>
            <w:gridSpan w:val="2"/>
            <w:shd w:val="clear" w:color="auto" w:fill="CFF0FC"/>
          </w:tcPr>
          <w:p>
            <w:pPr>
              <w:ind w:left="60"/>
              <w:spacing w:after="0" w:line="162" w:lineRule="exact"/>
              <w:rPr>
                <w:sz w:val="20"/>
                <w:szCs w:val="20"/>
                <w:color w:val="auto"/>
              </w:rPr>
            </w:pPr>
            <w:r>
              <w:rPr>
                <w:rFonts w:ascii="Arial" w:cs="Arial" w:eastAsia="Arial" w:hAnsi="Arial"/>
                <w:sz w:val="15"/>
                <w:szCs w:val="15"/>
                <w:color w:val="auto"/>
              </w:rPr>
              <w:t>Commercial real estate</w:t>
            </w: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388,436</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388,154</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384,739</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380,311</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371,683</w:t>
            </w:r>
          </w:p>
        </w:tc>
        <w:tc>
          <w:tcPr>
            <w:tcW w:w="0" w:type="dxa"/>
            <w:vAlign w:val="bottom"/>
          </w:tcPr>
          <w:p>
            <w:pPr>
              <w:spacing w:after="0"/>
              <w:rPr>
                <w:sz w:val="1"/>
                <w:szCs w:val="1"/>
                <w:color w:val="auto"/>
              </w:rPr>
            </w:pPr>
          </w:p>
        </w:tc>
      </w:tr>
      <w:tr>
        <w:trPr>
          <w:trHeight w:val="162"/>
        </w:trPr>
        <w:tc>
          <w:tcPr>
            <w:tcW w:w="528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Commercial lines of credit</w:t>
            </w:r>
          </w:p>
        </w:tc>
        <w:tc>
          <w:tcPr>
            <w:tcW w:w="100" w:type="dxa"/>
            <w:vAlign w:val="bottom"/>
          </w:tcPr>
          <w:p>
            <w:pPr>
              <w:spacing w:after="0"/>
              <w:rPr>
                <w:sz w:val="14"/>
                <w:szCs w:val="14"/>
                <w:color w:val="auto"/>
              </w:rPr>
            </w:pPr>
          </w:p>
        </w:tc>
        <w:tc>
          <w:tcPr>
            <w:tcW w:w="980" w:type="dxa"/>
            <w:vAlign w:val="bottom"/>
          </w:tcPr>
          <w:p>
            <w:pPr>
              <w:jc w:val="right"/>
              <w:ind w:right="64"/>
              <w:spacing w:after="0" w:line="162" w:lineRule="exact"/>
              <w:rPr>
                <w:sz w:val="20"/>
                <w:szCs w:val="20"/>
                <w:color w:val="auto"/>
              </w:rPr>
            </w:pPr>
            <w:r>
              <w:rPr>
                <w:rFonts w:ascii="Arial" w:cs="Arial" w:eastAsia="Arial" w:hAnsi="Arial"/>
                <w:sz w:val="15"/>
                <w:szCs w:val="15"/>
                <w:color w:val="auto"/>
              </w:rPr>
              <w:t>73,240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44"/>
              <w:spacing w:after="0" w:line="162" w:lineRule="exact"/>
              <w:rPr>
                <w:sz w:val="20"/>
                <w:szCs w:val="20"/>
                <w:color w:val="auto"/>
              </w:rPr>
            </w:pPr>
            <w:r>
              <w:rPr>
                <w:rFonts w:ascii="Arial" w:cs="Arial" w:eastAsia="Arial" w:hAnsi="Arial"/>
                <w:sz w:val="15"/>
                <w:szCs w:val="15"/>
                <w:color w:val="auto"/>
              </w:rPr>
              <w:t>77,886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80,238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75,371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44"/>
              <w:spacing w:after="0" w:line="162" w:lineRule="exact"/>
              <w:rPr>
                <w:sz w:val="20"/>
                <w:szCs w:val="20"/>
                <w:color w:val="auto"/>
              </w:rPr>
            </w:pPr>
            <w:r>
              <w:rPr>
                <w:rFonts w:ascii="Arial" w:cs="Arial" w:eastAsia="Arial" w:hAnsi="Arial"/>
                <w:sz w:val="15"/>
                <w:szCs w:val="15"/>
                <w:color w:val="auto"/>
              </w:rPr>
              <w:t>79,021</w:t>
            </w:r>
          </w:p>
        </w:tc>
        <w:tc>
          <w:tcPr>
            <w:tcW w:w="0" w:type="dxa"/>
            <w:vAlign w:val="bottom"/>
          </w:tcPr>
          <w:p>
            <w:pPr>
              <w:spacing w:after="0"/>
              <w:rPr>
                <w:sz w:val="1"/>
                <w:szCs w:val="1"/>
                <w:color w:val="auto"/>
              </w:rPr>
            </w:pPr>
          </w:p>
        </w:tc>
      </w:tr>
      <w:tr>
        <w:trPr>
          <w:trHeight w:val="162"/>
        </w:trPr>
        <w:tc>
          <w:tcPr>
            <w:tcW w:w="5280" w:type="dxa"/>
            <w:vAlign w:val="bottom"/>
            <w:gridSpan w:val="2"/>
            <w:shd w:val="clear" w:color="auto" w:fill="CFF0FC"/>
          </w:tcPr>
          <w:p>
            <w:pPr>
              <w:ind w:left="60"/>
              <w:spacing w:after="0" w:line="162" w:lineRule="exact"/>
              <w:rPr>
                <w:sz w:val="20"/>
                <w:szCs w:val="20"/>
                <w:color w:val="auto"/>
              </w:rPr>
            </w:pPr>
            <w:r>
              <w:rPr>
                <w:rFonts w:ascii="Arial" w:cs="Arial" w:eastAsia="Arial" w:hAnsi="Arial"/>
                <w:sz w:val="15"/>
                <w:szCs w:val="15"/>
                <w:color w:val="auto"/>
              </w:rPr>
              <w:t>Other commercial and industrial</w:t>
            </w: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69,406</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75,987</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77,863</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81,210</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86,687</w:t>
            </w:r>
          </w:p>
        </w:tc>
        <w:tc>
          <w:tcPr>
            <w:tcW w:w="0" w:type="dxa"/>
            <w:vAlign w:val="bottom"/>
          </w:tcPr>
          <w:p>
            <w:pPr>
              <w:spacing w:after="0"/>
              <w:rPr>
                <w:sz w:val="1"/>
                <w:szCs w:val="1"/>
                <w:color w:val="auto"/>
              </w:rPr>
            </w:pPr>
          </w:p>
        </w:tc>
      </w:tr>
      <w:tr>
        <w:trPr>
          <w:trHeight w:val="162"/>
        </w:trPr>
        <w:tc>
          <w:tcPr>
            <w:tcW w:w="528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Paycheck protection program loans</w:t>
            </w:r>
          </w:p>
        </w:tc>
        <w:tc>
          <w:tcPr>
            <w:tcW w:w="100" w:type="dxa"/>
            <w:vAlign w:val="bottom"/>
          </w:tcPr>
          <w:p>
            <w:pPr>
              <w:spacing w:after="0"/>
              <w:rPr>
                <w:sz w:val="14"/>
                <w:szCs w:val="14"/>
                <w:color w:val="auto"/>
              </w:rPr>
            </w:pPr>
          </w:p>
        </w:tc>
        <w:tc>
          <w:tcPr>
            <w:tcW w:w="980" w:type="dxa"/>
            <w:vAlign w:val="bottom"/>
          </w:tcPr>
          <w:p>
            <w:pPr>
              <w:jc w:val="right"/>
              <w:ind w:right="64"/>
              <w:spacing w:after="0" w:line="162" w:lineRule="exact"/>
              <w:rPr>
                <w:sz w:val="20"/>
                <w:szCs w:val="20"/>
                <w:color w:val="auto"/>
              </w:rPr>
            </w:pPr>
            <w:r>
              <w:rPr>
                <w:rFonts w:ascii="Arial" w:cs="Arial" w:eastAsia="Arial" w:hAnsi="Arial"/>
                <w:sz w:val="15"/>
                <w:szCs w:val="15"/>
                <w:color w:val="auto"/>
              </w:rPr>
              <w:t>31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44"/>
              <w:spacing w:after="0" w:line="162" w:lineRule="exact"/>
              <w:rPr>
                <w:sz w:val="20"/>
                <w:szCs w:val="20"/>
                <w:color w:val="auto"/>
              </w:rPr>
            </w:pPr>
            <w:r>
              <w:rPr>
                <w:rFonts w:ascii="Arial" w:cs="Arial" w:eastAsia="Arial" w:hAnsi="Arial"/>
                <w:sz w:val="15"/>
                <w:szCs w:val="15"/>
                <w:color w:val="auto"/>
              </w:rPr>
              <w:t>41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49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63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44"/>
              <w:spacing w:after="0" w:line="162" w:lineRule="exact"/>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162"/>
        </w:trPr>
        <w:tc>
          <w:tcPr>
            <w:tcW w:w="5280" w:type="dxa"/>
            <w:vAlign w:val="bottom"/>
            <w:gridSpan w:val="2"/>
            <w:shd w:val="clear" w:color="auto" w:fill="CFF0FC"/>
          </w:tcPr>
          <w:p>
            <w:pPr>
              <w:ind w:left="60"/>
              <w:spacing w:after="0" w:line="162" w:lineRule="exact"/>
              <w:rPr>
                <w:sz w:val="20"/>
                <w:szCs w:val="20"/>
                <w:color w:val="auto"/>
              </w:rPr>
            </w:pPr>
            <w:r>
              <w:rPr>
                <w:rFonts w:ascii="Arial" w:cs="Arial" w:eastAsia="Arial" w:hAnsi="Arial"/>
                <w:sz w:val="15"/>
                <w:szCs w:val="15"/>
                <w:color w:val="auto"/>
              </w:rPr>
              <w:t>Tax exempt commercial loans</w:t>
            </w: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506</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2,512</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6,581</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6,716</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6,229</w:t>
            </w:r>
          </w:p>
        </w:tc>
        <w:tc>
          <w:tcPr>
            <w:tcW w:w="0" w:type="dxa"/>
            <w:vAlign w:val="bottom"/>
          </w:tcPr>
          <w:p>
            <w:pPr>
              <w:spacing w:after="0"/>
              <w:rPr>
                <w:sz w:val="1"/>
                <w:szCs w:val="1"/>
                <w:color w:val="auto"/>
              </w:rPr>
            </w:pPr>
          </w:p>
        </w:tc>
      </w:tr>
      <w:tr>
        <w:trPr>
          <w:trHeight w:val="162"/>
        </w:trPr>
        <w:tc>
          <w:tcPr>
            <w:tcW w:w="528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Home equity and junior liens</w:t>
            </w:r>
          </w:p>
        </w:tc>
        <w:tc>
          <w:tcPr>
            <w:tcW w:w="100" w:type="dxa"/>
            <w:vAlign w:val="bottom"/>
          </w:tcPr>
          <w:p>
            <w:pPr>
              <w:spacing w:after="0"/>
              <w:rPr>
                <w:sz w:val="14"/>
                <w:szCs w:val="14"/>
                <w:color w:val="auto"/>
              </w:rPr>
            </w:pPr>
          </w:p>
        </w:tc>
        <w:tc>
          <w:tcPr>
            <w:tcW w:w="980" w:type="dxa"/>
            <w:vAlign w:val="bottom"/>
          </w:tcPr>
          <w:p>
            <w:pPr>
              <w:jc w:val="right"/>
              <w:ind w:right="64"/>
              <w:spacing w:after="0" w:line="162" w:lineRule="exact"/>
              <w:rPr>
                <w:sz w:val="20"/>
                <w:szCs w:val="20"/>
                <w:color w:val="auto"/>
              </w:rPr>
            </w:pPr>
            <w:r>
              <w:rPr>
                <w:rFonts w:ascii="Arial" w:cs="Arial" w:eastAsia="Arial" w:hAnsi="Arial"/>
                <w:sz w:val="15"/>
                <w:szCs w:val="15"/>
                <w:color w:val="auto"/>
              </w:rPr>
              <w:t>55,157</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44"/>
              <w:spacing w:after="0" w:line="162" w:lineRule="exact"/>
              <w:rPr>
                <w:sz w:val="20"/>
                <w:szCs w:val="20"/>
                <w:color w:val="auto"/>
              </w:rPr>
            </w:pPr>
            <w:r>
              <w:rPr>
                <w:rFonts w:ascii="Arial" w:cs="Arial" w:eastAsia="Arial" w:hAnsi="Arial"/>
                <w:sz w:val="15"/>
                <w:szCs w:val="15"/>
                <w:color w:val="auto"/>
              </w:rPr>
              <w:t>53,219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51,442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49,783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44"/>
              <w:spacing w:after="0" w:line="162" w:lineRule="exact"/>
              <w:rPr>
                <w:sz w:val="20"/>
                <w:szCs w:val="20"/>
                <w:color w:val="auto"/>
              </w:rPr>
            </w:pPr>
            <w:r>
              <w:rPr>
                <w:rFonts w:ascii="Arial" w:cs="Arial" w:eastAsia="Arial" w:hAnsi="Arial"/>
                <w:sz w:val="15"/>
                <w:szCs w:val="15"/>
                <w:color w:val="auto"/>
              </w:rPr>
              <w:t>50,106</w:t>
            </w:r>
          </w:p>
        </w:tc>
        <w:tc>
          <w:tcPr>
            <w:tcW w:w="0" w:type="dxa"/>
            <w:vAlign w:val="bottom"/>
          </w:tcPr>
          <w:p>
            <w:pPr>
              <w:spacing w:after="0"/>
              <w:rPr>
                <w:sz w:val="1"/>
                <w:szCs w:val="1"/>
                <w:color w:val="auto"/>
              </w:rPr>
            </w:pPr>
          </w:p>
        </w:tc>
      </w:tr>
      <w:tr>
        <w:trPr>
          <w:trHeight w:val="162"/>
        </w:trPr>
        <w:tc>
          <w:tcPr>
            <w:tcW w:w="5080" w:type="dxa"/>
            <w:vAlign w:val="bottom"/>
            <w:tcBorders>
              <w:bottom w:val="single" w:sz="8" w:color="auto"/>
            </w:tcBorders>
            <w:shd w:val="clear" w:color="auto" w:fill="CFF0FC"/>
          </w:tcPr>
          <w:p>
            <w:pPr>
              <w:ind w:left="60"/>
              <w:spacing w:after="0" w:line="162" w:lineRule="exact"/>
              <w:rPr>
                <w:sz w:val="20"/>
                <w:szCs w:val="20"/>
                <w:color w:val="auto"/>
              </w:rPr>
            </w:pPr>
            <w:r>
              <w:rPr>
                <w:rFonts w:ascii="Arial" w:cs="Arial" w:eastAsia="Arial" w:hAnsi="Arial"/>
                <w:sz w:val="15"/>
                <w:szCs w:val="15"/>
                <w:color w:val="auto"/>
              </w:rPr>
              <w:t>Other consumer</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54,137</w:t>
            </w:r>
          </w:p>
        </w:tc>
        <w:tc>
          <w:tcPr>
            <w:tcW w:w="1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57,232</w:t>
            </w:r>
          </w:p>
        </w:tc>
        <w:tc>
          <w:tcPr>
            <w:tcW w:w="1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60,278</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62,825</w:t>
            </w:r>
          </w:p>
        </w:tc>
        <w:tc>
          <w:tcPr>
            <w:tcW w:w="1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65,694</w:t>
            </w:r>
          </w:p>
        </w:tc>
        <w:tc>
          <w:tcPr>
            <w:tcW w:w="0" w:type="dxa"/>
            <w:vAlign w:val="bottom"/>
          </w:tcPr>
          <w:p>
            <w:pPr>
              <w:spacing w:after="0"/>
              <w:rPr>
                <w:sz w:val="1"/>
                <w:szCs w:val="1"/>
                <w:color w:val="auto"/>
              </w:rPr>
            </w:pPr>
          </w:p>
        </w:tc>
      </w:tr>
      <w:tr>
        <w:trPr>
          <w:trHeight w:val="155"/>
        </w:trPr>
        <w:tc>
          <w:tcPr>
            <w:tcW w:w="5280" w:type="dxa"/>
            <w:vAlign w:val="bottom"/>
            <w:gridSpan w:val="2"/>
          </w:tcPr>
          <w:p>
            <w:pPr>
              <w:ind w:left="100"/>
              <w:spacing w:after="0" w:line="156" w:lineRule="exact"/>
              <w:rPr>
                <w:sz w:val="20"/>
                <w:szCs w:val="20"/>
                <w:color w:val="auto"/>
              </w:rPr>
            </w:pPr>
            <w:r>
              <w:rPr>
                <w:rFonts w:ascii="Arial" w:cs="Arial" w:eastAsia="Arial" w:hAnsi="Arial"/>
                <w:sz w:val="15"/>
                <w:szCs w:val="15"/>
                <w:color w:val="auto"/>
              </w:rPr>
              <w:t>Subtotal loans</w:t>
            </w:r>
          </w:p>
        </w:tc>
        <w:tc>
          <w:tcPr>
            <w:tcW w:w="100" w:type="dxa"/>
            <w:vAlign w:val="bottom"/>
          </w:tcPr>
          <w:p>
            <w:pPr>
              <w:spacing w:after="0"/>
              <w:rPr>
                <w:sz w:val="13"/>
                <w:szCs w:val="13"/>
                <w:color w:val="auto"/>
              </w:rPr>
            </w:pPr>
          </w:p>
        </w:tc>
        <w:tc>
          <w:tcPr>
            <w:tcW w:w="980" w:type="dxa"/>
            <w:vAlign w:val="bottom"/>
          </w:tcPr>
          <w:p>
            <w:pPr>
              <w:jc w:val="right"/>
              <w:ind w:right="64"/>
              <w:spacing w:after="0" w:line="156" w:lineRule="exact"/>
              <w:rPr>
                <w:sz w:val="20"/>
                <w:szCs w:val="20"/>
                <w:color w:val="auto"/>
              </w:rPr>
            </w:pPr>
            <w:r>
              <w:rPr>
                <w:rFonts w:ascii="Arial" w:cs="Arial" w:eastAsia="Arial" w:hAnsi="Arial"/>
                <w:sz w:val="15"/>
                <w:szCs w:val="15"/>
                <w:color w:val="auto"/>
              </w:rPr>
              <w:t>873,724</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44"/>
              <w:spacing w:after="0" w:line="156" w:lineRule="exact"/>
              <w:rPr>
                <w:sz w:val="20"/>
                <w:szCs w:val="20"/>
                <w:color w:val="auto"/>
              </w:rPr>
            </w:pPr>
            <w:r>
              <w:rPr>
                <w:rFonts w:ascii="Arial" w:cs="Arial" w:eastAsia="Arial" w:hAnsi="Arial"/>
                <w:sz w:val="15"/>
                <w:szCs w:val="15"/>
                <w:color w:val="auto"/>
              </w:rPr>
              <w:t>889,774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44"/>
              <w:spacing w:after="0" w:line="156" w:lineRule="exact"/>
              <w:rPr>
                <w:sz w:val="20"/>
                <w:szCs w:val="20"/>
                <w:color w:val="auto"/>
              </w:rPr>
            </w:pPr>
            <w:r>
              <w:rPr>
                <w:rFonts w:ascii="Arial" w:cs="Arial" w:eastAsia="Arial" w:hAnsi="Arial"/>
                <w:sz w:val="15"/>
                <w:szCs w:val="15"/>
                <w:color w:val="auto"/>
              </w:rPr>
              <w:t>896,476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44"/>
              <w:spacing w:after="0" w:line="156" w:lineRule="exact"/>
              <w:rPr>
                <w:sz w:val="20"/>
                <w:szCs w:val="20"/>
                <w:color w:val="auto"/>
              </w:rPr>
            </w:pPr>
            <w:r>
              <w:rPr>
                <w:rFonts w:ascii="Arial" w:cs="Arial" w:eastAsia="Arial" w:hAnsi="Arial"/>
                <w:sz w:val="15"/>
                <w:szCs w:val="15"/>
                <w:color w:val="auto"/>
              </w:rPr>
              <w:t>898,010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44"/>
              <w:spacing w:after="0" w:line="156" w:lineRule="exact"/>
              <w:rPr>
                <w:sz w:val="20"/>
                <w:szCs w:val="20"/>
                <w:color w:val="auto"/>
              </w:rPr>
            </w:pPr>
            <w:r>
              <w:rPr>
                <w:rFonts w:ascii="Arial" w:cs="Arial" w:eastAsia="Arial" w:hAnsi="Arial"/>
                <w:sz w:val="15"/>
                <w:szCs w:val="15"/>
                <w:color w:val="auto"/>
              </w:rPr>
              <w:t>899,875</w:t>
            </w:r>
          </w:p>
        </w:tc>
        <w:tc>
          <w:tcPr>
            <w:tcW w:w="0" w:type="dxa"/>
            <w:vAlign w:val="bottom"/>
          </w:tcPr>
          <w:p>
            <w:pPr>
              <w:spacing w:after="0"/>
              <w:rPr>
                <w:sz w:val="1"/>
                <w:szCs w:val="1"/>
                <w:color w:val="auto"/>
              </w:rPr>
            </w:pPr>
          </w:p>
        </w:tc>
      </w:tr>
      <w:tr>
        <w:trPr>
          <w:trHeight w:val="162"/>
        </w:trPr>
        <w:tc>
          <w:tcPr>
            <w:tcW w:w="5080" w:type="dxa"/>
            <w:vAlign w:val="bottom"/>
            <w:tcBorders>
              <w:bottom w:val="single" w:sz="8" w:color="auto"/>
            </w:tcBorders>
            <w:shd w:val="clear" w:color="auto" w:fill="CFF0FC"/>
          </w:tcPr>
          <w:p>
            <w:pPr>
              <w:ind w:left="60"/>
              <w:spacing w:after="0" w:line="162" w:lineRule="exact"/>
              <w:rPr>
                <w:sz w:val="20"/>
                <w:szCs w:val="20"/>
                <w:color w:val="auto"/>
              </w:rPr>
            </w:pPr>
            <w:r>
              <w:rPr>
                <w:rFonts w:ascii="Arial" w:cs="Arial" w:eastAsia="Arial" w:hAnsi="Arial"/>
                <w:sz w:val="15"/>
                <w:szCs w:val="15"/>
                <w:color w:val="auto"/>
              </w:rPr>
              <w:t>Deferred loan fees</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4"/>
              <w:spacing w:after="0" w:line="162" w:lineRule="exact"/>
              <w:rPr>
                <w:sz w:val="20"/>
                <w:szCs w:val="20"/>
                <w:color w:val="auto"/>
              </w:rPr>
            </w:pPr>
            <w:r>
              <w:rPr>
                <w:rFonts w:ascii="Arial" w:cs="Arial" w:eastAsia="Arial" w:hAnsi="Arial"/>
                <w:sz w:val="15"/>
                <w:szCs w:val="15"/>
                <w:color w:val="auto"/>
              </w:rPr>
              <w:t>(722)</w:t>
            </w:r>
          </w:p>
        </w:tc>
        <w:tc>
          <w:tcPr>
            <w:tcW w:w="1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(799)</w:t>
            </w:r>
          </w:p>
        </w:tc>
        <w:tc>
          <w:tcPr>
            <w:tcW w:w="1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(1,274)</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(1,340)</w:t>
            </w:r>
          </w:p>
        </w:tc>
        <w:tc>
          <w:tcPr>
            <w:tcW w:w="1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(1,355)</w:t>
            </w:r>
          </w:p>
        </w:tc>
        <w:tc>
          <w:tcPr>
            <w:tcW w:w="0" w:type="dxa"/>
            <w:vAlign w:val="bottom"/>
          </w:tcPr>
          <w:p>
            <w:pPr>
              <w:spacing w:after="0"/>
              <w:rPr>
                <w:sz w:val="1"/>
                <w:szCs w:val="1"/>
                <w:color w:val="auto"/>
              </w:rPr>
            </w:pPr>
          </w:p>
        </w:tc>
      </w:tr>
      <w:tr>
        <w:trPr>
          <w:trHeight w:val="155"/>
        </w:trPr>
        <w:tc>
          <w:tcPr>
            <w:tcW w:w="5280" w:type="dxa"/>
            <w:vAlign w:val="bottom"/>
            <w:gridSpan w:val="2"/>
          </w:tcPr>
          <w:p>
            <w:pPr>
              <w:ind w:left="100"/>
              <w:spacing w:after="0" w:line="156" w:lineRule="exact"/>
              <w:rPr>
                <w:sz w:val="20"/>
                <w:szCs w:val="20"/>
                <w:color w:val="auto"/>
              </w:rPr>
            </w:pPr>
            <w:r>
              <w:rPr>
                <w:rFonts w:ascii="Arial" w:cs="Arial" w:eastAsia="Arial" w:hAnsi="Arial"/>
                <w:sz w:val="15"/>
                <w:szCs w:val="15"/>
                <w:color w:val="auto"/>
              </w:rPr>
              <w:t>Total loans</w:t>
            </w:r>
          </w:p>
        </w:tc>
        <w:tc>
          <w:tcPr>
            <w:tcW w:w="100" w:type="dxa"/>
            <w:vAlign w:val="bottom"/>
          </w:tcPr>
          <w:p>
            <w:pPr>
              <w:jc w:val="right"/>
              <w:spacing w:after="0" w:line="156" w:lineRule="exact"/>
              <w:rPr>
                <w:sz w:val="20"/>
                <w:szCs w:val="20"/>
                <w:color w:val="auto"/>
              </w:rPr>
            </w:pPr>
            <w:r>
              <w:rPr>
                <w:rFonts w:ascii="Arial" w:cs="Arial" w:eastAsia="Arial" w:hAnsi="Arial"/>
                <w:sz w:val="15"/>
                <w:szCs w:val="15"/>
                <w:color w:val="auto"/>
                <w:w w:val="71"/>
              </w:rPr>
              <w:t>$</w:t>
            </w:r>
          </w:p>
        </w:tc>
        <w:tc>
          <w:tcPr>
            <w:tcW w:w="980" w:type="dxa"/>
            <w:vAlign w:val="bottom"/>
          </w:tcPr>
          <w:p>
            <w:pPr>
              <w:jc w:val="right"/>
              <w:ind w:right="64"/>
              <w:spacing w:after="0" w:line="156" w:lineRule="exact"/>
              <w:rPr>
                <w:sz w:val="20"/>
                <w:szCs w:val="20"/>
                <w:color w:val="auto"/>
              </w:rPr>
            </w:pPr>
            <w:r>
              <w:rPr>
                <w:rFonts w:ascii="Arial" w:cs="Arial" w:eastAsia="Arial" w:hAnsi="Arial"/>
                <w:sz w:val="15"/>
                <w:szCs w:val="15"/>
                <w:color w:val="auto"/>
              </w:rPr>
              <w:t>873,002</w:t>
            </w:r>
          </w:p>
        </w:tc>
        <w:tc>
          <w:tcPr>
            <w:tcW w:w="180" w:type="dxa"/>
            <w:vAlign w:val="bottom"/>
          </w:tcPr>
          <w:p>
            <w:pPr>
              <w:spacing w:after="0"/>
              <w:rPr>
                <w:sz w:val="13"/>
                <w:szCs w:val="13"/>
                <w:color w:val="auto"/>
              </w:rPr>
            </w:pPr>
          </w:p>
        </w:tc>
        <w:tc>
          <w:tcPr>
            <w:tcW w:w="200" w:type="dxa"/>
            <w:vAlign w:val="bottom"/>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860" w:type="dxa"/>
            <w:vAlign w:val="bottom"/>
          </w:tcPr>
          <w:p>
            <w:pPr>
              <w:jc w:val="right"/>
              <w:ind w:right="44"/>
              <w:spacing w:after="0" w:line="156" w:lineRule="exact"/>
              <w:rPr>
                <w:sz w:val="20"/>
                <w:szCs w:val="20"/>
                <w:color w:val="auto"/>
              </w:rPr>
            </w:pPr>
            <w:r>
              <w:rPr>
                <w:rFonts w:ascii="Arial" w:cs="Arial" w:eastAsia="Arial" w:hAnsi="Arial"/>
                <w:sz w:val="15"/>
                <w:szCs w:val="15"/>
                <w:color w:val="auto"/>
              </w:rPr>
              <w:t>888,975</w:t>
            </w:r>
          </w:p>
        </w:tc>
        <w:tc>
          <w:tcPr>
            <w:tcW w:w="320" w:type="dxa"/>
            <w:vAlign w:val="bottom"/>
            <w:gridSpan w:val="2"/>
          </w:tcPr>
          <w:p>
            <w:pPr>
              <w:jc w:val="right"/>
              <w:ind w:right="60"/>
              <w:spacing w:after="0" w:line="156"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line="156" w:lineRule="exact"/>
              <w:rPr>
                <w:sz w:val="20"/>
                <w:szCs w:val="20"/>
                <w:color w:val="auto"/>
              </w:rPr>
            </w:pPr>
            <w:r>
              <w:rPr>
                <w:rFonts w:ascii="Arial" w:cs="Arial" w:eastAsia="Arial" w:hAnsi="Arial"/>
                <w:sz w:val="15"/>
                <w:szCs w:val="15"/>
                <w:color w:val="auto"/>
              </w:rPr>
              <w:t>895,202</w:t>
            </w:r>
          </w:p>
        </w:tc>
        <w:tc>
          <w:tcPr>
            <w:tcW w:w="300" w:type="dxa"/>
            <w:vAlign w:val="bottom"/>
            <w:gridSpan w:val="2"/>
          </w:tcPr>
          <w:p>
            <w:pPr>
              <w:jc w:val="right"/>
              <w:ind w:right="20"/>
              <w:spacing w:after="0" w:line="156"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44"/>
              <w:spacing w:after="0" w:line="156" w:lineRule="exact"/>
              <w:rPr>
                <w:sz w:val="20"/>
                <w:szCs w:val="20"/>
                <w:color w:val="auto"/>
              </w:rPr>
            </w:pPr>
            <w:r>
              <w:rPr>
                <w:rFonts w:ascii="Arial" w:cs="Arial" w:eastAsia="Arial" w:hAnsi="Arial"/>
                <w:sz w:val="15"/>
                <w:szCs w:val="15"/>
                <w:color w:val="auto"/>
              </w:rPr>
              <w:t>896,670</w:t>
            </w:r>
          </w:p>
        </w:tc>
        <w:tc>
          <w:tcPr>
            <w:tcW w:w="260" w:type="dxa"/>
            <w:vAlign w:val="bottom"/>
            <w:gridSpan w:val="2"/>
          </w:tcPr>
          <w:p>
            <w:pPr>
              <w:jc w:val="right"/>
              <w:spacing w:after="0" w:line="156"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44"/>
              <w:spacing w:after="0" w:line="156" w:lineRule="exact"/>
              <w:rPr>
                <w:sz w:val="20"/>
                <w:szCs w:val="20"/>
                <w:color w:val="auto"/>
              </w:rPr>
            </w:pPr>
            <w:r>
              <w:rPr>
                <w:rFonts w:ascii="Arial" w:cs="Arial" w:eastAsia="Arial" w:hAnsi="Arial"/>
                <w:sz w:val="15"/>
                <w:szCs w:val="15"/>
                <w:color w:val="auto"/>
              </w:rPr>
              <w:t>898,520</w:t>
            </w:r>
          </w:p>
        </w:tc>
        <w:tc>
          <w:tcPr>
            <w:tcW w:w="0" w:type="dxa"/>
            <w:vAlign w:val="bottom"/>
          </w:tcPr>
          <w:p>
            <w:pPr>
              <w:spacing w:after="0"/>
              <w:rPr>
                <w:sz w:val="1"/>
                <w:szCs w:val="1"/>
                <w:color w:val="auto"/>
              </w:rPr>
            </w:pPr>
          </w:p>
        </w:tc>
      </w:tr>
      <w:tr>
        <w:trPr>
          <w:trHeight w:val="20"/>
        </w:trPr>
        <w:tc>
          <w:tcPr>
            <w:tcW w:w="5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-350520</wp:posOffset>
            </wp:positionV>
            <wp:extent cx="1200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-350520</wp:posOffset>
            </wp:positionV>
            <wp:extent cx="1200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-350520</wp:posOffset>
            </wp:positionV>
            <wp:extent cx="1111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-350520</wp:posOffset>
            </wp:positionV>
            <wp:extent cx="1111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-350520</wp:posOffset>
            </wp:positionV>
            <wp:extent cx="1117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-136525</wp:posOffset>
            </wp:positionV>
            <wp:extent cx="1200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-136525</wp:posOffset>
            </wp:positionV>
            <wp:extent cx="1200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-136525</wp:posOffset>
            </wp:positionV>
            <wp:extent cx="1111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-136525</wp:posOffset>
            </wp:positionV>
            <wp:extent cx="1111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-136525</wp:posOffset>
            </wp:positionV>
            <wp:extent cx="1117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b w:val="1"/>
                <w:bCs w:val="1"/>
                <w:color w:val="auto"/>
              </w:rPr>
              <w:t>2026</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2025</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51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DEPOSIT COMPOSITION:</w:t>
            </w:r>
          </w:p>
        </w:tc>
        <w:tc>
          <w:tcPr>
            <w:tcW w:w="1260" w:type="dxa"/>
            <w:vAlign w:val="bottom"/>
            <w:gridSpan w:val="3"/>
          </w:tcPr>
          <w:p>
            <w:pPr>
              <w:jc w:val="right"/>
              <w:ind w:right="400"/>
              <w:spacing w:after="0" w:line="136" w:lineRule="exact"/>
              <w:rPr>
                <w:sz w:val="20"/>
                <w:szCs w:val="20"/>
                <w:color w:val="auto"/>
              </w:rPr>
            </w:pPr>
            <w:r>
              <w:rPr>
                <w:rFonts w:ascii="Arial" w:cs="Arial" w:eastAsia="Arial" w:hAnsi="Arial"/>
                <w:sz w:val="15"/>
                <w:szCs w:val="15"/>
                <w:b w:val="1"/>
                <w:bCs w:val="1"/>
                <w:color w:val="auto"/>
              </w:rPr>
              <w:t>September</w:t>
            </w:r>
          </w:p>
        </w:tc>
        <w:tc>
          <w:tcPr>
            <w:tcW w:w="140" w:type="dxa"/>
            <w:vAlign w:val="bottom"/>
          </w:tcPr>
          <w:p>
            <w:pPr>
              <w:spacing w:after="0"/>
              <w:rPr>
                <w:sz w:val="11"/>
                <w:szCs w:val="11"/>
                <w:color w:val="auto"/>
              </w:rPr>
            </w:pPr>
          </w:p>
        </w:tc>
        <w:tc>
          <w:tcPr>
            <w:tcW w:w="94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auto"/>
              </w:rPr>
              <w:t>June 30,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March 31,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144"/>
              <w:spacing w:after="0" w:line="136" w:lineRule="exact"/>
              <w:rPr>
                <w:sz w:val="20"/>
                <w:szCs w:val="20"/>
                <w:color w:val="auto"/>
              </w:rPr>
            </w:pPr>
            <w:r>
              <w:rPr>
                <w:rFonts w:ascii="Arial" w:cs="Arial" w:eastAsia="Arial" w:hAnsi="Arial"/>
                <w:sz w:val="15"/>
                <w:szCs w:val="15"/>
                <w:b w:val="1"/>
                <w:bCs w:val="1"/>
                <w:color w:val="auto"/>
              </w:rPr>
              <w:t>December</w:t>
            </w:r>
          </w:p>
        </w:tc>
        <w:tc>
          <w:tcPr>
            <w:tcW w:w="180" w:type="dxa"/>
            <w:vAlign w:val="bottom"/>
          </w:tcPr>
          <w:p>
            <w:pPr>
              <w:spacing w:after="0"/>
              <w:rPr>
                <w:sz w:val="11"/>
                <w:szCs w:val="11"/>
                <w:color w:val="auto"/>
              </w:rPr>
            </w:pPr>
          </w:p>
        </w:tc>
        <w:tc>
          <w:tcPr>
            <w:tcW w:w="1080" w:type="dxa"/>
            <w:vAlign w:val="bottom"/>
            <w:gridSpan w:val="2"/>
          </w:tcPr>
          <w:p>
            <w:pPr>
              <w:jc w:val="right"/>
              <w:ind w:right="144"/>
              <w:spacing w:after="0" w:line="136" w:lineRule="exact"/>
              <w:rPr>
                <w:sz w:val="20"/>
                <w:szCs w:val="20"/>
                <w:color w:val="auto"/>
              </w:rPr>
            </w:pPr>
            <w:r>
              <w:rPr>
                <w:rFonts w:ascii="Arial" w:cs="Arial" w:eastAsia="Arial" w:hAnsi="Arial"/>
                <w:sz w:val="15"/>
                <w:szCs w:val="15"/>
                <w:b w:val="1"/>
                <w:bCs w:val="1"/>
                <w:color w:val="auto"/>
              </w:rPr>
              <w:t>September</w:t>
            </w:r>
          </w:p>
        </w:tc>
        <w:tc>
          <w:tcPr>
            <w:tcW w:w="0" w:type="dxa"/>
            <w:vAlign w:val="bottom"/>
          </w:tcPr>
          <w:p>
            <w:pPr>
              <w:spacing w:after="0"/>
              <w:rPr>
                <w:sz w:val="1"/>
                <w:szCs w:val="1"/>
                <w:color w:val="auto"/>
              </w:rPr>
            </w:pPr>
          </w:p>
        </w:tc>
      </w:tr>
      <w:tr>
        <w:trPr>
          <w:trHeight w:val="181"/>
        </w:trPr>
        <w:tc>
          <w:tcPr>
            <w:tcW w:w="51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Arial" w:cs="Arial" w:eastAsia="Arial" w:hAnsi="Arial"/>
                <w:sz w:val="15"/>
                <w:szCs w:val="15"/>
                <w:b w:val="1"/>
                <w:bCs w:val="1"/>
                <w:color w:val="auto"/>
              </w:rPr>
              <w:t>30,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104"/>
              <w:spacing w:after="0"/>
              <w:rPr>
                <w:sz w:val="20"/>
                <w:szCs w:val="20"/>
                <w:color w:val="auto"/>
              </w:rPr>
            </w:pPr>
            <w:r>
              <w:rPr>
                <w:rFonts w:ascii="Arial" w:cs="Arial" w:eastAsia="Arial" w:hAnsi="Arial"/>
                <w:sz w:val="15"/>
                <w:szCs w:val="15"/>
                <w:b w:val="1"/>
                <w:bCs w:val="1"/>
                <w:color w:val="auto"/>
              </w:rPr>
              <w:t>31,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Arial" w:cs="Arial" w:eastAsia="Arial" w:hAnsi="Arial"/>
                <w:sz w:val="15"/>
                <w:szCs w:val="15"/>
                <w:b w:val="1"/>
                <w:bCs w:val="1"/>
                <w:color w:val="auto"/>
              </w:rPr>
              <w:t>30,</w:t>
            </w:r>
          </w:p>
        </w:tc>
        <w:tc>
          <w:tcPr>
            <w:tcW w:w="0" w:type="dxa"/>
            <w:vAlign w:val="bottom"/>
          </w:tcPr>
          <w:p>
            <w:pPr>
              <w:spacing w:after="0"/>
              <w:rPr>
                <w:sz w:val="1"/>
                <w:szCs w:val="1"/>
                <w:color w:val="auto"/>
              </w:rPr>
            </w:pPr>
          </w:p>
        </w:tc>
      </w:tr>
      <w:tr>
        <w:trPr>
          <w:trHeight w:val="155"/>
        </w:trPr>
        <w:tc>
          <w:tcPr>
            <w:tcW w:w="4960" w:type="dxa"/>
            <w:vAlign w:val="bottom"/>
            <w:tcBorders>
              <w:top w:val="single" w:sz="8" w:color="auto"/>
            </w:tcBorders>
          </w:tcPr>
          <w:p>
            <w:pPr>
              <w:ind w:left="60"/>
              <w:spacing w:after="0" w:line="156" w:lineRule="exact"/>
              <w:rPr>
                <w:sz w:val="20"/>
                <w:szCs w:val="20"/>
                <w:color w:val="auto"/>
              </w:rPr>
            </w:pPr>
            <w:r>
              <w:rPr>
                <w:rFonts w:ascii="Arial" w:cs="Arial" w:eastAsia="Arial" w:hAnsi="Arial"/>
                <w:sz w:val="15"/>
                <w:szCs w:val="15"/>
                <w:color w:val="auto"/>
              </w:rPr>
              <w:t>Savings accounts</w:t>
            </w:r>
          </w:p>
        </w:tc>
        <w:tc>
          <w:tcPr>
            <w:tcW w:w="180" w:type="dxa"/>
            <w:vAlign w:val="bottom"/>
          </w:tcPr>
          <w:p>
            <w:pPr>
              <w:spacing w:after="0"/>
              <w:rPr>
                <w:sz w:val="13"/>
                <w:szCs w:val="13"/>
                <w:color w:val="auto"/>
              </w:rPr>
            </w:pPr>
          </w:p>
        </w:tc>
        <w:tc>
          <w:tcPr>
            <w:tcW w:w="160" w:type="dxa"/>
            <w:vAlign w:val="bottom"/>
            <w:tcBorders>
              <w:top w:val="single" w:sz="8" w:color="auto"/>
            </w:tcBorders>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ind w:right="104"/>
              <w:spacing w:after="0" w:line="156" w:lineRule="exact"/>
              <w:rPr>
                <w:sz w:val="20"/>
                <w:szCs w:val="20"/>
                <w:color w:val="auto"/>
              </w:rPr>
            </w:pPr>
            <w:r>
              <w:rPr>
                <w:rFonts w:ascii="Arial" w:cs="Arial" w:eastAsia="Arial" w:hAnsi="Arial"/>
                <w:sz w:val="15"/>
                <w:szCs w:val="15"/>
                <w:color w:val="auto"/>
              </w:rPr>
              <w:t>122,450</w:t>
            </w:r>
          </w:p>
        </w:tc>
        <w:tc>
          <w:tcPr>
            <w:tcW w:w="180" w:type="dxa"/>
            <w:vAlign w:val="bottom"/>
          </w:tcPr>
          <w:p>
            <w:pPr>
              <w:spacing w:after="0"/>
              <w:rPr>
                <w:sz w:val="13"/>
                <w:szCs w:val="13"/>
                <w:color w:val="auto"/>
              </w:rPr>
            </w:pPr>
          </w:p>
        </w:tc>
        <w:tc>
          <w:tcPr>
            <w:tcW w:w="1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ind w:right="104"/>
              <w:spacing w:after="0" w:line="156" w:lineRule="exact"/>
              <w:rPr>
                <w:sz w:val="20"/>
                <w:szCs w:val="20"/>
                <w:color w:val="auto"/>
              </w:rPr>
            </w:pPr>
            <w:r>
              <w:rPr>
                <w:rFonts w:ascii="Arial" w:cs="Arial" w:eastAsia="Arial" w:hAnsi="Arial"/>
                <w:sz w:val="15"/>
                <w:szCs w:val="15"/>
                <w:color w:val="auto"/>
              </w:rPr>
              <w:t>124,090</w:t>
            </w:r>
          </w:p>
        </w:tc>
        <w:tc>
          <w:tcPr>
            <w:tcW w:w="160" w:type="dxa"/>
            <w:vAlign w:val="bottom"/>
          </w:tcPr>
          <w:p>
            <w:pPr>
              <w:spacing w:after="0"/>
              <w:rPr>
                <w:sz w:val="13"/>
                <w:szCs w:val="13"/>
                <w:color w:val="auto"/>
              </w:rPr>
            </w:pPr>
          </w:p>
        </w:tc>
        <w:tc>
          <w:tcPr>
            <w:tcW w:w="1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tcPr>
          <w:p>
            <w:pPr>
              <w:jc w:val="right"/>
              <w:ind w:right="84"/>
              <w:spacing w:after="0" w:line="156" w:lineRule="exact"/>
              <w:rPr>
                <w:sz w:val="20"/>
                <w:szCs w:val="20"/>
                <w:color w:val="auto"/>
              </w:rPr>
            </w:pPr>
            <w:r>
              <w:rPr>
                <w:rFonts w:ascii="Arial" w:cs="Arial" w:eastAsia="Arial" w:hAnsi="Arial"/>
                <w:sz w:val="15"/>
                <w:szCs w:val="15"/>
                <w:color w:val="auto"/>
              </w:rPr>
              <w:t>127,044</w:t>
            </w:r>
          </w:p>
        </w:tc>
        <w:tc>
          <w:tcPr>
            <w:tcW w:w="180" w:type="dxa"/>
            <w:vAlign w:val="bottom"/>
          </w:tcPr>
          <w:p>
            <w:pPr>
              <w:spacing w:after="0"/>
              <w:rPr>
                <w:sz w:val="13"/>
                <w:szCs w:val="13"/>
                <w:color w:val="auto"/>
              </w:rPr>
            </w:pPr>
          </w:p>
        </w:tc>
        <w:tc>
          <w:tcPr>
            <w:tcW w:w="1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ind w:right="104"/>
              <w:spacing w:after="0" w:line="156" w:lineRule="exact"/>
              <w:rPr>
                <w:sz w:val="20"/>
                <w:szCs w:val="20"/>
                <w:color w:val="auto"/>
              </w:rPr>
            </w:pPr>
            <w:r>
              <w:rPr>
                <w:rFonts w:ascii="Arial" w:cs="Arial" w:eastAsia="Arial" w:hAnsi="Arial"/>
                <w:sz w:val="15"/>
                <w:szCs w:val="15"/>
                <w:color w:val="auto"/>
              </w:rPr>
              <w:t>122,718</w:t>
            </w:r>
          </w:p>
        </w:tc>
        <w:tc>
          <w:tcPr>
            <w:tcW w:w="180" w:type="dxa"/>
            <w:vAlign w:val="bottom"/>
          </w:tcPr>
          <w:p>
            <w:pPr>
              <w:spacing w:after="0"/>
              <w:rPr>
                <w:sz w:val="13"/>
                <w:szCs w:val="13"/>
                <w:color w:val="auto"/>
              </w:rPr>
            </w:pPr>
          </w:p>
        </w:tc>
        <w:tc>
          <w:tcPr>
            <w:tcW w:w="160" w:type="dxa"/>
            <w:vAlign w:val="bottom"/>
            <w:tcBorders>
              <w:top w:val="single" w:sz="8" w:color="auto"/>
            </w:tcBorders>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ind w:right="104"/>
              <w:spacing w:after="0" w:line="156" w:lineRule="exact"/>
              <w:rPr>
                <w:sz w:val="20"/>
                <w:szCs w:val="20"/>
                <w:color w:val="auto"/>
              </w:rPr>
            </w:pPr>
            <w:r>
              <w:rPr>
                <w:rFonts w:ascii="Arial" w:cs="Arial" w:eastAsia="Arial" w:hAnsi="Arial"/>
                <w:sz w:val="15"/>
                <w:szCs w:val="15"/>
                <w:color w:val="auto"/>
              </w:rPr>
              <w:t>123,958</w:t>
            </w:r>
          </w:p>
        </w:tc>
        <w:tc>
          <w:tcPr>
            <w:tcW w:w="0" w:type="dxa"/>
            <w:vAlign w:val="bottom"/>
          </w:tcPr>
          <w:p>
            <w:pPr>
              <w:spacing w:after="0"/>
              <w:rPr>
                <w:sz w:val="1"/>
                <w:szCs w:val="1"/>
                <w:color w:val="auto"/>
              </w:rPr>
            </w:pPr>
          </w:p>
        </w:tc>
      </w:tr>
      <w:tr>
        <w:trPr>
          <w:trHeight w:val="162"/>
        </w:trPr>
        <w:tc>
          <w:tcPr>
            <w:tcW w:w="5140" w:type="dxa"/>
            <w:vAlign w:val="bottom"/>
            <w:gridSpan w:val="2"/>
            <w:shd w:val="clear" w:color="auto" w:fill="CFF0FC"/>
          </w:tcPr>
          <w:p>
            <w:pPr>
              <w:ind w:left="60"/>
              <w:spacing w:after="0" w:line="162" w:lineRule="exact"/>
              <w:rPr>
                <w:sz w:val="20"/>
                <w:szCs w:val="20"/>
                <w:color w:val="auto"/>
              </w:rPr>
            </w:pPr>
            <w:r>
              <w:rPr>
                <w:rFonts w:ascii="Arial" w:cs="Arial" w:eastAsia="Arial" w:hAnsi="Arial"/>
                <w:sz w:val="15"/>
                <w:szCs w:val="15"/>
                <w:color w:val="auto"/>
              </w:rPr>
              <w:t>Time accounts</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104"/>
              <w:spacing w:after="0" w:line="162" w:lineRule="exact"/>
              <w:rPr>
                <w:sz w:val="20"/>
                <w:szCs w:val="20"/>
                <w:color w:val="auto"/>
              </w:rPr>
            </w:pPr>
            <w:r>
              <w:rPr>
                <w:rFonts w:ascii="Arial" w:cs="Arial" w:eastAsia="Arial" w:hAnsi="Arial"/>
                <w:sz w:val="15"/>
                <w:szCs w:val="15"/>
                <w:color w:val="auto"/>
              </w:rPr>
              <w:t>246,464</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104"/>
              <w:spacing w:after="0" w:line="162" w:lineRule="exact"/>
              <w:rPr>
                <w:sz w:val="20"/>
                <w:szCs w:val="20"/>
                <w:color w:val="auto"/>
              </w:rPr>
            </w:pPr>
            <w:r>
              <w:rPr>
                <w:rFonts w:ascii="Arial" w:cs="Arial" w:eastAsia="Arial" w:hAnsi="Arial"/>
                <w:sz w:val="15"/>
                <w:szCs w:val="15"/>
                <w:color w:val="auto"/>
              </w:rPr>
              <w:t>262,689</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84"/>
              <w:spacing w:after="0" w:line="162" w:lineRule="exact"/>
              <w:rPr>
                <w:sz w:val="20"/>
                <w:szCs w:val="20"/>
                <w:color w:val="auto"/>
              </w:rPr>
            </w:pPr>
            <w:r>
              <w:rPr>
                <w:rFonts w:ascii="Arial" w:cs="Arial" w:eastAsia="Arial" w:hAnsi="Arial"/>
                <w:sz w:val="15"/>
                <w:szCs w:val="15"/>
                <w:color w:val="auto"/>
              </w:rPr>
              <w:t>283,693</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04"/>
              <w:spacing w:after="0" w:line="162" w:lineRule="exact"/>
              <w:rPr>
                <w:sz w:val="20"/>
                <w:szCs w:val="20"/>
                <w:color w:val="auto"/>
              </w:rPr>
            </w:pPr>
            <w:r>
              <w:rPr>
                <w:rFonts w:ascii="Arial" w:cs="Arial" w:eastAsia="Arial" w:hAnsi="Arial"/>
                <w:sz w:val="15"/>
                <w:szCs w:val="15"/>
                <w:color w:val="auto"/>
              </w:rPr>
              <w:t>317,201</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104"/>
              <w:spacing w:after="0" w:line="162" w:lineRule="exact"/>
              <w:rPr>
                <w:sz w:val="20"/>
                <w:szCs w:val="20"/>
                <w:color w:val="auto"/>
              </w:rPr>
            </w:pPr>
            <w:r>
              <w:rPr>
                <w:rFonts w:ascii="Arial" w:cs="Arial" w:eastAsia="Arial" w:hAnsi="Arial"/>
                <w:sz w:val="15"/>
                <w:szCs w:val="15"/>
                <w:color w:val="auto"/>
              </w:rPr>
              <w:t>333,211</w:t>
            </w:r>
          </w:p>
        </w:tc>
        <w:tc>
          <w:tcPr>
            <w:tcW w:w="0" w:type="dxa"/>
            <w:vAlign w:val="bottom"/>
          </w:tcPr>
          <w:p>
            <w:pPr>
              <w:spacing w:after="0"/>
              <w:rPr>
                <w:sz w:val="1"/>
                <w:szCs w:val="1"/>
                <w:color w:val="auto"/>
              </w:rPr>
            </w:pPr>
          </w:p>
        </w:tc>
      </w:tr>
      <w:tr>
        <w:trPr>
          <w:trHeight w:val="162"/>
        </w:trPr>
        <w:tc>
          <w:tcPr>
            <w:tcW w:w="514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Time accounts in excess of $250,000</w:t>
            </w:r>
          </w:p>
        </w:tc>
        <w:tc>
          <w:tcPr>
            <w:tcW w:w="160" w:type="dxa"/>
            <w:vAlign w:val="bottom"/>
          </w:tcPr>
          <w:p>
            <w:pPr>
              <w:spacing w:after="0"/>
              <w:rPr>
                <w:sz w:val="14"/>
                <w:szCs w:val="14"/>
                <w:color w:val="auto"/>
              </w:rPr>
            </w:pPr>
          </w:p>
        </w:tc>
        <w:tc>
          <w:tcPr>
            <w:tcW w:w="92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130,056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131,672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84"/>
              <w:spacing w:after="0" w:line="162" w:lineRule="exact"/>
              <w:rPr>
                <w:sz w:val="20"/>
                <w:szCs w:val="20"/>
                <w:color w:val="auto"/>
              </w:rPr>
            </w:pPr>
            <w:r>
              <w:rPr>
                <w:rFonts w:ascii="Arial" w:cs="Arial" w:eastAsia="Arial" w:hAnsi="Arial"/>
                <w:sz w:val="15"/>
                <w:szCs w:val="15"/>
                <w:color w:val="auto"/>
              </w:rPr>
              <w:t>130,857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134,779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143,026</w:t>
            </w:r>
          </w:p>
        </w:tc>
        <w:tc>
          <w:tcPr>
            <w:tcW w:w="0" w:type="dxa"/>
            <w:vAlign w:val="bottom"/>
          </w:tcPr>
          <w:p>
            <w:pPr>
              <w:spacing w:after="0"/>
              <w:rPr>
                <w:sz w:val="1"/>
                <w:szCs w:val="1"/>
                <w:color w:val="auto"/>
              </w:rPr>
            </w:pPr>
          </w:p>
        </w:tc>
      </w:tr>
      <w:tr>
        <w:trPr>
          <w:trHeight w:val="162"/>
        </w:trPr>
        <w:tc>
          <w:tcPr>
            <w:tcW w:w="5140" w:type="dxa"/>
            <w:vAlign w:val="bottom"/>
            <w:gridSpan w:val="2"/>
            <w:shd w:val="clear" w:color="auto" w:fill="CFF0FC"/>
          </w:tcPr>
          <w:p>
            <w:pPr>
              <w:ind w:left="60"/>
              <w:spacing w:after="0" w:line="162" w:lineRule="exact"/>
              <w:rPr>
                <w:sz w:val="20"/>
                <w:szCs w:val="20"/>
                <w:color w:val="auto"/>
              </w:rPr>
            </w:pPr>
            <w:r>
              <w:rPr>
                <w:rFonts w:ascii="Arial" w:cs="Arial" w:eastAsia="Arial" w:hAnsi="Arial"/>
                <w:sz w:val="15"/>
                <w:szCs w:val="15"/>
                <w:color w:val="auto"/>
              </w:rPr>
              <w:t>Money management accounts</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104"/>
              <w:spacing w:after="0" w:line="162" w:lineRule="exact"/>
              <w:rPr>
                <w:sz w:val="20"/>
                <w:szCs w:val="20"/>
                <w:color w:val="auto"/>
              </w:rPr>
            </w:pPr>
            <w:r>
              <w:rPr>
                <w:rFonts w:ascii="Arial" w:cs="Arial" w:eastAsia="Arial" w:hAnsi="Arial"/>
                <w:sz w:val="15"/>
                <w:szCs w:val="15"/>
                <w:color w:val="auto"/>
              </w:rPr>
              <w:t>7,837</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104"/>
              <w:spacing w:after="0" w:line="162" w:lineRule="exact"/>
              <w:rPr>
                <w:sz w:val="20"/>
                <w:szCs w:val="20"/>
                <w:color w:val="auto"/>
              </w:rPr>
            </w:pPr>
            <w:r>
              <w:rPr>
                <w:rFonts w:ascii="Arial" w:cs="Arial" w:eastAsia="Arial" w:hAnsi="Arial"/>
                <w:sz w:val="15"/>
                <w:szCs w:val="15"/>
                <w:color w:val="auto"/>
              </w:rPr>
              <w:t>8,078</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84"/>
              <w:spacing w:after="0" w:line="162" w:lineRule="exact"/>
              <w:rPr>
                <w:sz w:val="20"/>
                <w:szCs w:val="20"/>
                <w:color w:val="auto"/>
              </w:rPr>
            </w:pPr>
            <w:r>
              <w:rPr>
                <w:rFonts w:ascii="Arial" w:cs="Arial" w:eastAsia="Arial" w:hAnsi="Arial"/>
                <w:sz w:val="15"/>
                <w:szCs w:val="15"/>
                <w:color w:val="auto"/>
              </w:rPr>
              <w:t>8,483</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04"/>
              <w:spacing w:after="0" w:line="162" w:lineRule="exact"/>
              <w:rPr>
                <w:sz w:val="20"/>
                <w:szCs w:val="20"/>
                <w:color w:val="auto"/>
              </w:rPr>
            </w:pPr>
            <w:r>
              <w:rPr>
                <w:rFonts w:ascii="Arial" w:cs="Arial" w:eastAsia="Arial" w:hAnsi="Arial"/>
                <w:sz w:val="15"/>
                <w:szCs w:val="15"/>
                <w:color w:val="auto"/>
              </w:rPr>
              <w:t>9,539</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104"/>
              <w:spacing w:after="0" w:line="162" w:lineRule="exact"/>
              <w:rPr>
                <w:sz w:val="20"/>
                <w:szCs w:val="20"/>
                <w:color w:val="auto"/>
              </w:rPr>
            </w:pPr>
            <w:r>
              <w:rPr>
                <w:rFonts w:ascii="Arial" w:cs="Arial" w:eastAsia="Arial" w:hAnsi="Arial"/>
                <w:sz w:val="15"/>
                <w:szCs w:val="15"/>
                <w:color w:val="auto"/>
              </w:rPr>
              <w:t>9,539</w:t>
            </w:r>
          </w:p>
        </w:tc>
        <w:tc>
          <w:tcPr>
            <w:tcW w:w="0" w:type="dxa"/>
            <w:vAlign w:val="bottom"/>
          </w:tcPr>
          <w:p>
            <w:pPr>
              <w:spacing w:after="0"/>
              <w:rPr>
                <w:sz w:val="1"/>
                <w:szCs w:val="1"/>
                <w:color w:val="auto"/>
              </w:rPr>
            </w:pPr>
          </w:p>
        </w:tc>
      </w:tr>
      <w:tr>
        <w:trPr>
          <w:trHeight w:val="162"/>
        </w:trPr>
        <w:tc>
          <w:tcPr>
            <w:tcW w:w="514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MMDA accounts</w:t>
            </w:r>
          </w:p>
        </w:tc>
        <w:tc>
          <w:tcPr>
            <w:tcW w:w="160" w:type="dxa"/>
            <w:vAlign w:val="bottom"/>
          </w:tcPr>
          <w:p>
            <w:pPr>
              <w:spacing w:after="0"/>
              <w:rPr>
                <w:sz w:val="14"/>
                <w:szCs w:val="14"/>
                <w:color w:val="auto"/>
              </w:rPr>
            </w:pPr>
          </w:p>
        </w:tc>
        <w:tc>
          <w:tcPr>
            <w:tcW w:w="92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326,608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303,701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84"/>
              <w:spacing w:after="0" w:line="162" w:lineRule="exact"/>
              <w:rPr>
                <w:sz w:val="20"/>
                <w:szCs w:val="20"/>
                <w:color w:val="auto"/>
              </w:rPr>
            </w:pPr>
            <w:r>
              <w:rPr>
                <w:rFonts w:ascii="Arial" w:cs="Arial" w:eastAsia="Arial" w:hAnsi="Arial"/>
                <w:sz w:val="15"/>
                <w:szCs w:val="15"/>
                <w:color w:val="auto"/>
              </w:rPr>
              <w:t>315,982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285,564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298,653</w:t>
            </w:r>
          </w:p>
        </w:tc>
        <w:tc>
          <w:tcPr>
            <w:tcW w:w="0" w:type="dxa"/>
            <w:vAlign w:val="bottom"/>
          </w:tcPr>
          <w:p>
            <w:pPr>
              <w:spacing w:after="0"/>
              <w:rPr>
                <w:sz w:val="1"/>
                <w:szCs w:val="1"/>
                <w:color w:val="auto"/>
              </w:rPr>
            </w:pPr>
          </w:p>
        </w:tc>
      </w:tr>
      <w:tr>
        <w:trPr>
          <w:trHeight w:val="162"/>
        </w:trPr>
        <w:tc>
          <w:tcPr>
            <w:tcW w:w="5140" w:type="dxa"/>
            <w:vAlign w:val="bottom"/>
            <w:gridSpan w:val="2"/>
            <w:shd w:val="clear" w:color="auto" w:fill="CFF0FC"/>
          </w:tcPr>
          <w:p>
            <w:pPr>
              <w:ind w:left="60"/>
              <w:spacing w:after="0" w:line="162" w:lineRule="exact"/>
              <w:rPr>
                <w:sz w:val="20"/>
                <w:szCs w:val="20"/>
                <w:color w:val="auto"/>
              </w:rPr>
            </w:pPr>
            <w:r>
              <w:rPr>
                <w:rFonts w:ascii="Arial" w:cs="Arial" w:eastAsia="Arial" w:hAnsi="Arial"/>
                <w:sz w:val="15"/>
                <w:szCs w:val="15"/>
                <w:color w:val="auto"/>
              </w:rPr>
              <w:t>Demand deposit interest-bearing</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104"/>
              <w:spacing w:after="0" w:line="162" w:lineRule="exact"/>
              <w:rPr>
                <w:sz w:val="20"/>
                <w:szCs w:val="20"/>
                <w:color w:val="auto"/>
              </w:rPr>
            </w:pPr>
            <w:r>
              <w:rPr>
                <w:rFonts w:ascii="Arial" w:cs="Arial" w:eastAsia="Arial" w:hAnsi="Arial"/>
                <w:sz w:val="15"/>
                <w:szCs w:val="15"/>
                <w:color w:val="auto"/>
              </w:rPr>
              <w:t>116,290</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104"/>
              <w:spacing w:after="0" w:line="162" w:lineRule="exact"/>
              <w:rPr>
                <w:sz w:val="20"/>
                <w:szCs w:val="20"/>
                <w:color w:val="auto"/>
              </w:rPr>
            </w:pPr>
            <w:r>
              <w:rPr>
                <w:rFonts w:ascii="Arial" w:cs="Arial" w:eastAsia="Arial" w:hAnsi="Arial"/>
                <w:sz w:val="15"/>
                <w:szCs w:val="15"/>
                <w:color w:val="auto"/>
              </w:rPr>
              <w:t>124,031</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84"/>
              <w:spacing w:after="0" w:line="162" w:lineRule="exact"/>
              <w:rPr>
                <w:sz w:val="20"/>
                <w:szCs w:val="20"/>
                <w:color w:val="auto"/>
              </w:rPr>
            </w:pPr>
            <w:r>
              <w:rPr>
                <w:rFonts w:ascii="Arial" w:cs="Arial" w:eastAsia="Arial" w:hAnsi="Arial"/>
                <w:sz w:val="15"/>
                <w:szCs w:val="15"/>
                <w:color w:val="auto"/>
              </w:rPr>
              <w:t>134,399</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04"/>
              <w:spacing w:after="0" w:line="162" w:lineRule="exact"/>
              <w:rPr>
                <w:sz w:val="20"/>
                <w:szCs w:val="20"/>
                <w:color w:val="auto"/>
              </w:rPr>
            </w:pPr>
            <w:r>
              <w:rPr>
                <w:rFonts w:ascii="Arial" w:cs="Arial" w:eastAsia="Arial" w:hAnsi="Arial"/>
                <w:sz w:val="15"/>
                <w:szCs w:val="15"/>
                <w:color w:val="auto"/>
              </w:rPr>
              <w:t>110,702</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104"/>
              <w:spacing w:after="0" w:line="162" w:lineRule="exact"/>
              <w:rPr>
                <w:sz w:val="20"/>
                <w:szCs w:val="20"/>
                <w:color w:val="auto"/>
              </w:rPr>
            </w:pPr>
            <w:r>
              <w:rPr>
                <w:rFonts w:ascii="Arial" w:cs="Arial" w:eastAsia="Arial" w:hAnsi="Arial"/>
                <w:sz w:val="15"/>
                <w:szCs w:val="15"/>
                <w:color w:val="auto"/>
              </w:rPr>
              <w:t>115,274</w:t>
            </w:r>
          </w:p>
        </w:tc>
        <w:tc>
          <w:tcPr>
            <w:tcW w:w="0" w:type="dxa"/>
            <w:vAlign w:val="bottom"/>
          </w:tcPr>
          <w:p>
            <w:pPr>
              <w:spacing w:after="0"/>
              <w:rPr>
                <w:sz w:val="1"/>
                <w:szCs w:val="1"/>
                <w:color w:val="auto"/>
              </w:rPr>
            </w:pPr>
          </w:p>
        </w:tc>
      </w:tr>
      <w:tr>
        <w:trPr>
          <w:trHeight w:val="162"/>
        </w:trPr>
        <w:tc>
          <w:tcPr>
            <w:tcW w:w="514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Demand deposit noninterest-bearing</w:t>
            </w:r>
          </w:p>
        </w:tc>
        <w:tc>
          <w:tcPr>
            <w:tcW w:w="160" w:type="dxa"/>
            <w:vAlign w:val="bottom"/>
          </w:tcPr>
          <w:p>
            <w:pPr>
              <w:spacing w:after="0"/>
              <w:rPr>
                <w:sz w:val="14"/>
                <w:szCs w:val="14"/>
                <w:color w:val="auto"/>
              </w:rPr>
            </w:pPr>
          </w:p>
        </w:tc>
        <w:tc>
          <w:tcPr>
            <w:tcW w:w="92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203,694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213,563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84"/>
              <w:spacing w:after="0" w:line="162" w:lineRule="exact"/>
              <w:rPr>
                <w:sz w:val="20"/>
                <w:szCs w:val="20"/>
                <w:color w:val="auto"/>
              </w:rPr>
            </w:pPr>
            <w:r>
              <w:rPr>
                <w:rFonts w:ascii="Arial" w:cs="Arial" w:eastAsia="Arial" w:hAnsi="Arial"/>
                <w:sz w:val="15"/>
                <w:szCs w:val="15"/>
                <w:color w:val="auto"/>
              </w:rPr>
              <w:t>206,635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196,377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196,299</w:t>
            </w:r>
          </w:p>
        </w:tc>
        <w:tc>
          <w:tcPr>
            <w:tcW w:w="0" w:type="dxa"/>
            <w:vAlign w:val="bottom"/>
          </w:tcPr>
          <w:p>
            <w:pPr>
              <w:spacing w:after="0"/>
              <w:rPr>
                <w:sz w:val="1"/>
                <w:szCs w:val="1"/>
                <w:color w:val="auto"/>
              </w:rPr>
            </w:pPr>
          </w:p>
        </w:tc>
      </w:tr>
      <w:tr>
        <w:trPr>
          <w:trHeight w:val="162"/>
        </w:trPr>
        <w:tc>
          <w:tcPr>
            <w:tcW w:w="4960" w:type="dxa"/>
            <w:vAlign w:val="bottom"/>
            <w:tcBorders>
              <w:bottom w:val="single" w:sz="8" w:color="auto"/>
            </w:tcBorders>
            <w:shd w:val="clear" w:color="auto" w:fill="CFF0FC"/>
          </w:tcPr>
          <w:p>
            <w:pPr>
              <w:ind w:left="60"/>
              <w:spacing w:after="0" w:line="162" w:lineRule="exact"/>
              <w:rPr>
                <w:sz w:val="20"/>
                <w:szCs w:val="20"/>
                <w:color w:val="auto"/>
              </w:rPr>
            </w:pPr>
            <w:r>
              <w:rPr>
                <w:rFonts w:ascii="Arial" w:cs="Arial" w:eastAsia="Arial" w:hAnsi="Arial"/>
                <w:sz w:val="15"/>
                <w:szCs w:val="15"/>
                <w:color w:val="auto"/>
              </w:rPr>
              <w:t>Mortgage escrow funds</w:t>
            </w:r>
          </w:p>
        </w:tc>
        <w:tc>
          <w:tcPr>
            <w:tcW w:w="1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104"/>
              <w:spacing w:after="0" w:line="162" w:lineRule="exact"/>
              <w:rPr>
                <w:sz w:val="20"/>
                <w:szCs w:val="20"/>
                <w:color w:val="auto"/>
              </w:rPr>
            </w:pPr>
            <w:r>
              <w:rPr>
                <w:rFonts w:ascii="Arial" w:cs="Arial" w:eastAsia="Arial" w:hAnsi="Arial"/>
                <w:sz w:val="15"/>
                <w:szCs w:val="15"/>
                <w:color w:val="auto"/>
              </w:rPr>
              <w:t>5,112</w:t>
            </w:r>
          </w:p>
        </w:tc>
        <w:tc>
          <w:tcPr>
            <w:tcW w:w="1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104"/>
              <w:spacing w:after="0" w:line="162" w:lineRule="exact"/>
              <w:rPr>
                <w:sz w:val="20"/>
                <w:szCs w:val="20"/>
                <w:color w:val="auto"/>
              </w:rPr>
            </w:pPr>
            <w:r>
              <w:rPr>
                <w:rFonts w:ascii="Arial" w:cs="Arial" w:eastAsia="Arial" w:hAnsi="Arial"/>
                <w:sz w:val="15"/>
                <w:szCs w:val="15"/>
                <w:color w:val="auto"/>
              </w:rPr>
              <w:t>6,445</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84"/>
              <w:spacing w:after="0" w:line="162" w:lineRule="exact"/>
              <w:rPr>
                <w:sz w:val="20"/>
                <w:szCs w:val="20"/>
                <w:color w:val="auto"/>
              </w:rPr>
            </w:pPr>
            <w:r>
              <w:rPr>
                <w:rFonts w:ascii="Arial" w:cs="Arial" w:eastAsia="Arial" w:hAnsi="Arial"/>
                <w:sz w:val="15"/>
                <w:szCs w:val="15"/>
                <w:color w:val="auto"/>
              </w:rPr>
              <w:t>4,634</w:t>
            </w:r>
          </w:p>
        </w:tc>
        <w:tc>
          <w:tcPr>
            <w:tcW w:w="1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104"/>
              <w:spacing w:after="0" w:line="162" w:lineRule="exact"/>
              <w:rPr>
                <w:sz w:val="20"/>
                <w:szCs w:val="20"/>
                <w:color w:val="auto"/>
              </w:rPr>
            </w:pPr>
            <w:r>
              <w:rPr>
                <w:rFonts w:ascii="Arial" w:cs="Arial" w:eastAsia="Arial" w:hAnsi="Arial"/>
                <w:sz w:val="15"/>
                <w:szCs w:val="15"/>
                <w:color w:val="auto"/>
              </w:rPr>
              <w:t>6,968</w:t>
            </w:r>
          </w:p>
        </w:tc>
        <w:tc>
          <w:tcPr>
            <w:tcW w:w="1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104"/>
              <w:spacing w:after="0" w:line="162" w:lineRule="exact"/>
              <w:rPr>
                <w:sz w:val="20"/>
                <w:szCs w:val="20"/>
                <w:color w:val="auto"/>
              </w:rPr>
            </w:pPr>
            <w:r>
              <w:rPr>
                <w:rFonts w:ascii="Arial" w:cs="Arial" w:eastAsia="Arial" w:hAnsi="Arial"/>
                <w:sz w:val="15"/>
                <w:szCs w:val="15"/>
                <w:color w:val="auto"/>
              </w:rPr>
              <w:t>5,121</w:t>
            </w:r>
          </w:p>
        </w:tc>
        <w:tc>
          <w:tcPr>
            <w:tcW w:w="0" w:type="dxa"/>
            <w:vAlign w:val="bottom"/>
          </w:tcPr>
          <w:p>
            <w:pPr>
              <w:spacing w:after="0"/>
              <w:rPr>
                <w:sz w:val="1"/>
                <w:szCs w:val="1"/>
                <w:color w:val="auto"/>
              </w:rPr>
            </w:pPr>
          </w:p>
        </w:tc>
      </w:tr>
      <w:tr>
        <w:trPr>
          <w:trHeight w:val="155"/>
        </w:trPr>
        <w:tc>
          <w:tcPr>
            <w:tcW w:w="5140" w:type="dxa"/>
            <w:vAlign w:val="bottom"/>
            <w:gridSpan w:val="2"/>
          </w:tcPr>
          <w:p>
            <w:pPr>
              <w:ind w:left="100"/>
              <w:spacing w:after="0" w:line="156" w:lineRule="exact"/>
              <w:rPr>
                <w:sz w:val="20"/>
                <w:szCs w:val="20"/>
                <w:color w:val="auto"/>
              </w:rPr>
            </w:pPr>
            <w:r>
              <w:rPr>
                <w:rFonts w:ascii="Arial" w:cs="Arial" w:eastAsia="Arial" w:hAnsi="Arial"/>
                <w:sz w:val="15"/>
                <w:szCs w:val="15"/>
                <w:color w:val="auto"/>
              </w:rPr>
              <w:t>Total deposits</w:t>
            </w:r>
          </w:p>
        </w:tc>
        <w:tc>
          <w:tcPr>
            <w:tcW w:w="160" w:type="dxa"/>
            <w:vAlign w:val="bottom"/>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4"/>
              <w:spacing w:after="0" w:line="156" w:lineRule="exact"/>
              <w:rPr>
                <w:sz w:val="20"/>
                <w:szCs w:val="20"/>
                <w:color w:val="auto"/>
              </w:rPr>
            </w:pPr>
            <w:r>
              <w:rPr>
                <w:rFonts w:ascii="Arial" w:cs="Arial" w:eastAsia="Arial" w:hAnsi="Arial"/>
                <w:sz w:val="15"/>
                <w:szCs w:val="15"/>
                <w:color w:val="auto"/>
              </w:rPr>
              <w:t>1,158,511</w:t>
            </w:r>
          </w:p>
        </w:tc>
        <w:tc>
          <w:tcPr>
            <w:tcW w:w="180" w:type="dxa"/>
            <w:vAlign w:val="bottom"/>
          </w:tcPr>
          <w:p>
            <w:pPr>
              <w:spacing w:after="0"/>
              <w:rPr>
                <w:sz w:val="13"/>
                <w:szCs w:val="13"/>
                <w:color w:val="auto"/>
              </w:rPr>
            </w:pPr>
          </w:p>
        </w:tc>
        <w:tc>
          <w:tcPr>
            <w:tcW w:w="140" w:type="dxa"/>
            <w:vAlign w:val="bottom"/>
          </w:tcPr>
          <w:p>
            <w:pPr>
              <w:jc w:val="right"/>
              <w:spacing w:after="0" w:line="156" w:lineRule="exact"/>
              <w:rPr>
                <w:sz w:val="20"/>
                <w:szCs w:val="20"/>
                <w:color w:val="auto"/>
              </w:rPr>
            </w:pPr>
            <w:r>
              <w:rPr>
                <w:rFonts w:ascii="Arial" w:cs="Arial" w:eastAsia="Arial" w:hAnsi="Arial"/>
                <w:sz w:val="15"/>
                <w:szCs w:val="15"/>
                <w:color w:val="auto"/>
                <w:w w:val="71"/>
              </w:rPr>
              <w:t>$</w:t>
            </w:r>
          </w:p>
        </w:tc>
        <w:tc>
          <w:tcPr>
            <w:tcW w:w="940" w:type="dxa"/>
            <w:vAlign w:val="bottom"/>
          </w:tcPr>
          <w:p>
            <w:pPr>
              <w:jc w:val="right"/>
              <w:ind w:right="104"/>
              <w:spacing w:after="0" w:line="156" w:lineRule="exact"/>
              <w:rPr>
                <w:sz w:val="20"/>
                <w:szCs w:val="20"/>
                <w:color w:val="auto"/>
              </w:rPr>
            </w:pPr>
            <w:r>
              <w:rPr>
                <w:rFonts w:ascii="Arial" w:cs="Arial" w:eastAsia="Arial" w:hAnsi="Arial"/>
                <w:sz w:val="15"/>
                <w:szCs w:val="15"/>
                <w:color w:val="auto"/>
              </w:rPr>
              <w:t>1,174,269</w:t>
            </w:r>
          </w:p>
        </w:tc>
        <w:tc>
          <w:tcPr>
            <w:tcW w:w="320" w:type="dxa"/>
            <w:vAlign w:val="bottom"/>
            <w:gridSpan w:val="2"/>
          </w:tcPr>
          <w:p>
            <w:pPr>
              <w:jc w:val="right"/>
              <w:spacing w:after="0" w:line="156"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84"/>
              <w:spacing w:after="0" w:line="156" w:lineRule="exact"/>
              <w:rPr>
                <w:sz w:val="20"/>
                <w:szCs w:val="20"/>
                <w:color w:val="auto"/>
              </w:rPr>
            </w:pPr>
            <w:r>
              <w:rPr>
                <w:rFonts w:ascii="Arial" w:cs="Arial" w:eastAsia="Arial" w:hAnsi="Arial"/>
                <w:sz w:val="15"/>
                <w:szCs w:val="15"/>
                <w:color w:val="auto"/>
              </w:rPr>
              <w:t>1,211,727</w:t>
            </w:r>
          </w:p>
        </w:tc>
        <w:tc>
          <w:tcPr>
            <w:tcW w:w="280" w:type="dxa"/>
            <w:vAlign w:val="bottom"/>
            <w:gridSpan w:val="2"/>
          </w:tcPr>
          <w:p>
            <w:pPr>
              <w:jc w:val="right"/>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104"/>
              <w:spacing w:after="0" w:line="156" w:lineRule="exact"/>
              <w:rPr>
                <w:sz w:val="20"/>
                <w:szCs w:val="20"/>
                <w:color w:val="auto"/>
              </w:rPr>
            </w:pPr>
            <w:r>
              <w:rPr>
                <w:rFonts w:ascii="Arial" w:cs="Arial" w:eastAsia="Arial" w:hAnsi="Arial"/>
                <w:sz w:val="15"/>
                <w:szCs w:val="15"/>
                <w:color w:val="auto"/>
              </w:rPr>
              <w:t>1,183,848</w:t>
            </w:r>
          </w:p>
        </w:tc>
        <w:tc>
          <w:tcPr>
            <w:tcW w:w="340" w:type="dxa"/>
            <w:vAlign w:val="bottom"/>
            <w:gridSpan w:val="2"/>
          </w:tcPr>
          <w:p>
            <w:pPr>
              <w:jc w:val="right"/>
              <w:ind w:right="4"/>
              <w:spacing w:after="0" w:line="156"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104"/>
              <w:spacing w:after="0" w:line="156" w:lineRule="exact"/>
              <w:rPr>
                <w:sz w:val="20"/>
                <w:szCs w:val="20"/>
                <w:color w:val="auto"/>
              </w:rPr>
            </w:pPr>
            <w:r>
              <w:rPr>
                <w:rFonts w:ascii="Arial" w:cs="Arial" w:eastAsia="Arial" w:hAnsi="Arial"/>
                <w:sz w:val="15"/>
                <w:szCs w:val="15"/>
                <w:color w:val="auto"/>
              </w:rPr>
              <w:t>1,225,081</w:t>
            </w:r>
          </w:p>
        </w:tc>
        <w:tc>
          <w:tcPr>
            <w:tcW w:w="0" w:type="dxa"/>
            <w:vAlign w:val="bottom"/>
          </w:tcPr>
          <w:p>
            <w:pPr>
              <w:spacing w:after="0"/>
              <w:rPr>
                <w:sz w:val="1"/>
                <w:szCs w:val="1"/>
                <w:color w:val="auto"/>
              </w:rPr>
            </w:pPr>
          </w:p>
        </w:tc>
      </w:tr>
      <w:tr>
        <w:trPr>
          <w:trHeight w:val="20"/>
        </w:trPr>
        <w:tc>
          <w:tcPr>
            <w:tcW w:w="4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40" w:type="dxa"/>
            <w:vAlign w:val="bottom"/>
            <w:gridSpan w:val="2"/>
            <w:shd w:val="clear" w:color="auto" w:fill="CFF0FC"/>
          </w:tcPr>
          <w:p>
            <w:pPr>
              <w:ind w:left="60"/>
              <w:spacing w:after="0" w:line="143" w:lineRule="exact"/>
              <w:rPr>
                <w:sz w:val="20"/>
                <w:szCs w:val="20"/>
                <w:color w:val="auto"/>
              </w:rPr>
            </w:pPr>
            <w:r>
              <w:rPr>
                <w:rFonts w:ascii="Arial" w:cs="Arial" w:eastAsia="Arial" w:hAnsi="Arial"/>
                <w:sz w:val="15"/>
                <w:szCs w:val="15"/>
                <w:color w:val="auto"/>
              </w:rPr>
              <w:t>Brokered deposits</w:t>
            </w: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104"/>
              <w:spacing w:after="0" w:line="143" w:lineRule="exact"/>
              <w:rPr>
                <w:sz w:val="20"/>
                <w:szCs w:val="20"/>
                <w:color w:val="auto"/>
              </w:rPr>
            </w:pPr>
            <w:r>
              <w:rPr>
                <w:rFonts w:ascii="Arial" w:cs="Arial" w:eastAsia="Arial" w:hAnsi="Arial"/>
                <w:sz w:val="15"/>
                <w:szCs w:val="15"/>
                <w:color w:val="auto"/>
              </w:rPr>
              <w:t>71,336</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104"/>
              <w:spacing w:after="0" w:line="143" w:lineRule="exact"/>
              <w:rPr>
                <w:sz w:val="20"/>
                <w:szCs w:val="20"/>
                <w:color w:val="auto"/>
              </w:rPr>
            </w:pPr>
            <w:r>
              <w:rPr>
                <w:rFonts w:ascii="Arial" w:cs="Arial" w:eastAsia="Arial" w:hAnsi="Arial"/>
                <w:sz w:val="15"/>
                <w:szCs w:val="15"/>
                <w:color w:val="auto"/>
              </w:rPr>
              <w:t>80,979</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84"/>
              <w:spacing w:after="0" w:line="143" w:lineRule="exact"/>
              <w:rPr>
                <w:sz w:val="20"/>
                <w:szCs w:val="20"/>
                <w:color w:val="auto"/>
              </w:rPr>
            </w:pPr>
            <w:r>
              <w:rPr>
                <w:rFonts w:ascii="Arial" w:cs="Arial" w:eastAsia="Arial" w:hAnsi="Arial"/>
                <w:sz w:val="15"/>
                <w:szCs w:val="15"/>
                <w:color w:val="auto"/>
              </w:rPr>
              <w:t>87,125</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104"/>
              <w:spacing w:after="0" w:line="143" w:lineRule="exact"/>
              <w:rPr>
                <w:sz w:val="20"/>
                <w:szCs w:val="20"/>
                <w:color w:val="auto"/>
              </w:rPr>
            </w:pPr>
            <w:r>
              <w:rPr>
                <w:rFonts w:ascii="Arial" w:cs="Arial" w:eastAsia="Arial" w:hAnsi="Arial"/>
                <w:sz w:val="15"/>
                <w:szCs w:val="15"/>
                <w:color w:val="auto"/>
              </w:rPr>
              <w:t>101,913</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104"/>
              <w:spacing w:after="0" w:line="143" w:lineRule="exact"/>
              <w:rPr>
                <w:sz w:val="20"/>
                <w:szCs w:val="20"/>
                <w:color w:val="auto"/>
              </w:rPr>
            </w:pPr>
            <w:r>
              <w:rPr>
                <w:rFonts w:ascii="Arial" w:cs="Arial" w:eastAsia="Arial" w:hAnsi="Arial"/>
                <w:sz w:val="15"/>
                <w:szCs w:val="15"/>
                <w:color w:val="auto"/>
              </w:rPr>
              <w:t>121,938</w:t>
            </w:r>
          </w:p>
        </w:tc>
        <w:tc>
          <w:tcPr>
            <w:tcW w:w="0" w:type="dxa"/>
            <w:vAlign w:val="bottom"/>
          </w:tcPr>
          <w:p>
            <w:pPr>
              <w:spacing w:after="0"/>
              <w:rPr>
                <w:sz w:val="1"/>
                <w:szCs w:val="1"/>
                <w:color w:val="auto"/>
              </w:rPr>
            </w:pPr>
          </w:p>
        </w:tc>
      </w:tr>
      <w:tr>
        <w:trPr>
          <w:trHeight w:val="162"/>
        </w:trPr>
        <w:tc>
          <w:tcPr>
            <w:tcW w:w="4960" w:type="dxa"/>
            <w:vAlign w:val="bottom"/>
            <w:tcBorders>
              <w:bottom w:val="single" w:sz="8" w:color="auto"/>
            </w:tcBorders>
          </w:tcPr>
          <w:p>
            <w:pPr>
              <w:ind w:left="60"/>
              <w:spacing w:after="0" w:line="162" w:lineRule="exact"/>
              <w:rPr>
                <w:sz w:val="20"/>
                <w:szCs w:val="20"/>
                <w:color w:val="auto"/>
              </w:rPr>
            </w:pPr>
            <w:r>
              <w:rPr>
                <w:rFonts w:ascii="Arial" w:cs="Arial" w:eastAsia="Arial" w:hAnsi="Arial"/>
                <w:sz w:val="15"/>
                <w:szCs w:val="15"/>
                <w:color w:val="auto"/>
              </w:rPr>
              <w:t>Nonbrokered time accounts in excess of $250,000</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04"/>
              <w:spacing w:after="0" w:line="162" w:lineRule="exact"/>
              <w:rPr>
                <w:sz w:val="20"/>
                <w:szCs w:val="20"/>
                <w:color w:val="auto"/>
              </w:rPr>
            </w:pPr>
            <w:r>
              <w:rPr>
                <w:rFonts w:ascii="Arial" w:cs="Arial" w:eastAsia="Arial" w:hAnsi="Arial"/>
                <w:sz w:val="15"/>
                <w:szCs w:val="15"/>
                <w:color w:val="auto"/>
              </w:rPr>
              <w:t>130,056</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04"/>
              <w:spacing w:after="0" w:line="162" w:lineRule="exact"/>
              <w:rPr>
                <w:sz w:val="20"/>
                <w:szCs w:val="20"/>
                <w:color w:val="auto"/>
              </w:rPr>
            </w:pPr>
            <w:r>
              <w:rPr>
                <w:rFonts w:ascii="Arial" w:cs="Arial" w:eastAsia="Arial" w:hAnsi="Arial"/>
                <w:sz w:val="15"/>
                <w:szCs w:val="15"/>
                <w:color w:val="auto"/>
              </w:rPr>
              <w:t>131,672</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4"/>
              <w:spacing w:after="0" w:line="162" w:lineRule="exact"/>
              <w:rPr>
                <w:sz w:val="20"/>
                <w:szCs w:val="20"/>
                <w:color w:val="auto"/>
              </w:rPr>
            </w:pPr>
            <w:r>
              <w:rPr>
                <w:rFonts w:ascii="Arial" w:cs="Arial" w:eastAsia="Arial" w:hAnsi="Arial"/>
                <w:sz w:val="15"/>
                <w:szCs w:val="15"/>
                <w:color w:val="auto"/>
              </w:rPr>
              <w:t>130,857</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04"/>
              <w:spacing w:after="0" w:line="162" w:lineRule="exact"/>
              <w:rPr>
                <w:sz w:val="20"/>
                <w:szCs w:val="20"/>
                <w:color w:val="auto"/>
              </w:rPr>
            </w:pPr>
            <w:r>
              <w:rPr>
                <w:rFonts w:ascii="Arial" w:cs="Arial" w:eastAsia="Arial" w:hAnsi="Arial"/>
                <w:sz w:val="15"/>
                <w:szCs w:val="15"/>
                <w:color w:val="auto"/>
              </w:rPr>
              <w:t>134,779</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04"/>
              <w:spacing w:after="0" w:line="162" w:lineRule="exact"/>
              <w:rPr>
                <w:sz w:val="20"/>
                <w:szCs w:val="20"/>
                <w:color w:val="auto"/>
              </w:rPr>
            </w:pPr>
            <w:r>
              <w:rPr>
                <w:rFonts w:ascii="Arial" w:cs="Arial" w:eastAsia="Arial" w:hAnsi="Arial"/>
                <w:sz w:val="15"/>
                <w:szCs w:val="15"/>
                <w:color w:val="auto"/>
              </w:rPr>
              <w:t>143,026</w:t>
            </w:r>
          </w:p>
        </w:tc>
        <w:tc>
          <w:tcPr>
            <w:tcW w:w="0" w:type="dxa"/>
            <w:vAlign w:val="bottom"/>
          </w:tcPr>
          <w:p>
            <w:pPr>
              <w:spacing w:after="0"/>
              <w:rPr>
                <w:sz w:val="1"/>
                <w:szCs w:val="1"/>
                <w:color w:val="auto"/>
              </w:rPr>
            </w:pPr>
          </w:p>
        </w:tc>
      </w:tr>
      <w:tr>
        <w:trPr>
          <w:trHeight w:val="155"/>
        </w:trPr>
        <w:tc>
          <w:tcPr>
            <w:tcW w:w="4960" w:type="dxa"/>
            <w:vAlign w:val="bottom"/>
            <w:tcBorders>
              <w:bottom w:val="single" w:sz="8" w:color="auto"/>
            </w:tcBorders>
            <w:shd w:val="clear" w:color="auto" w:fill="CFF0FC"/>
          </w:tcPr>
          <w:p>
            <w:pPr>
              <w:ind w:left="60"/>
              <w:spacing w:after="0" w:line="156" w:lineRule="exact"/>
              <w:rPr>
                <w:sz w:val="20"/>
                <w:szCs w:val="20"/>
                <w:color w:val="auto"/>
              </w:rPr>
            </w:pPr>
            <w:r>
              <w:rPr>
                <w:rFonts w:ascii="Arial" w:cs="Arial" w:eastAsia="Arial" w:hAnsi="Arial"/>
                <w:sz w:val="15"/>
                <w:szCs w:val="15"/>
                <w:color w:val="auto"/>
              </w:rPr>
              <w:t>Non-core deposits</w:t>
            </w:r>
          </w:p>
        </w:tc>
        <w:tc>
          <w:tcPr>
            <w:tcW w:w="18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ind w:right="104"/>
              <w:spacing w:after="0" w:line="156" w:lineRule="exact"/>
              <w:rPr>
                <w:sz w:val="20"/>
                <w:szCs w:val="20"/>
                <w:color w:val="auto"/>
              </w:rPr>
            </w:pPr>
            <w:r>
              <w:rPr>
                <w:rFonts w:ascii="Arial" w:cs="Arial" w:eastAsia="Arial" w:hAnsi="Arial"/>
                <w:sz w:val="15"/>
                <w:szCs w:val="15"/>
                <w:color w:val="auto"/>
              </w:rPr>
              <w:t>201,392</w:t>
            </w:r>
          </w:p>
        </w:tc>
        <w:tc>
          <w:tcPr>
            <w:tcW w:w="1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ind w:right="104"/>
              <w:spacing w:after="0" w:line="156" w:lineRule="exact"/>
              <w:rPr>
                <w:sz w:val="20"/>
                <w:szCs w:val="20"/>
                <w:color w:val="auto"/>
              </w:rPr>
            </w:pPr>
            <w:r>
              <w:rPr>
                <w:rFonts w:ascii="Arial" w:cs="Arial" w:eastAsia="Arial" w:hAnsi="Arial"/>
                <w:sz w:val="15"/>
                <w:szCs w:val="15"/>
                <w:color w:val="auto"/>
              </w:rPr>
              <w:t>212,651</w:t>
            </w:r>
          </w:p>
        </w:tc>
        <w:tc>
          <w:tcPr>
            <w:tcW w:w="1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ind w:right="84"/>
              <w:spacing w:after="0" w:line="156" w:lineRule="exact"/>
              <w:rPr>
                <w:sz w:val="20"/>
                <w:szCs w:val="20"/>
                <w:color w:val="auto"/>
              </w:rPr>
            </w:pPr>
            <w:r>
              <w:rPr>
                <w:rFonts w:ascii="Arial" w:cs="Arial" w:eastAsia="Arial" w:hAnsi="Arial"/>
                <w:sz w:val="15"/>
                <w:szCs w:val="15"/>
                <w:color w:val="auto"/>
              </w:rPr>
              <w:t>217,982</w:t>
            </w:r>
          </w:p>
        </w:tc>
        <w:tc>
          <w:tcPr>
            <w:tcW w:w="1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ind w:right="104"/>
              <w:spacing w:after="0" w:line="156" w:lineRule="exact"/>
              <w:rPr>
                <w:sz w:val="20"/>
                <w:szCs w:val="20"/>
                <w:color w:val="auto"/>
              </w:rPr>
            </w:pPr>
            <w:r>
              <w:rPr>
                <w:rFonts w:ascii="Arial" w:cs="Arial" w:eastAsia="Arial" w:hAnsi="Arial"/>
                <w:sz w:val="15"/>
                <w:szCs w:val="15"/>
                <w:color w:val="auto"/>
              </w:rPr>
              <w:t>236,692</w:t>
            </w:r>
          </w:p>
        </w:tc>
        <w:tc>
          <w:tcPr>
            <w:tcW w:w="18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ind w:right="104"/>
              <w:spacing w:after="0" w:line="156" w:lineRule="exact"/>
              <w:rPr>
                <w:sz w:val="20"/>
                <w:szCs w:val="20"/>
                <w:color w:val="auto"/>
              </w:rPr>
            </w:pPr>
            <w:r>
              <w:rPr>
                <w:rFonts w:ascii="Arial" w:cs="Arial" w:eastAsia="Arial" w:hAnsi="Arial"/>
                <w:sz w:val="15"/>
                <w:szCs w:val="15"/>
                <w:color w:val="auto"/>
              </w:rPr>
              <w:t>264,964</w:t>
            </w:r>
          </w:p>
        </w:tc>
        <w:tc>
          <w:tcPr>
            <w:tcW w:w="0" w:type="dxa"/>
            <w:vAlign w:val="bottom"/>
          </w:tcPr>
          <w:p>
            <w:pPr>
              <w:spacing w:after="0"/>
              <w:rPr>
                <w:sz w:val="1"/>
                <w:szCs w:val="1"/>
                <w:color w:val="auto"/>
              </w:rPr>
            </w:pPr>
          </w:p>
        </w:tc>
      </w:tr>
      <w:tr>
        <w:trPr>
          <w:trHeight w:val="169"/>
        </w:trPr>
        <w:tc>
          <w:tcPr>
            <w:tcW w:w="514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 xml:space="preserve">Core deposits </w:t>
            </w:r>
            <w:r>
              <w:rPr>
                <w:rFonts w:ascii="Arial" w:cs="Arial" w:eastAsia="Arial" w:hAnsi="Arial"/>
                <w:sz w:val="19"/>
                <w:szCs w:val="19"/>
                <w:color w:val="auto"/>
                <w:vertAlign w:val="superscript"/>
              </w:rPr>
              <w:t>1</w:t>
            </w:r>
          </w:p>
        </w:tc>
        <w:tc>
          <w:tcPr>
            <w:tcW w:w="160" w:type="dxa"/>
            <w:vAlign w:val="bottom"/>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4"/>
              <w:spacing w:after="0" w:line="169" w:lineRule="exact"/>
              <w:rPr>
                <w:sz w:val="20"/>
                <w:szCs w:val="20"/>
                <w:color w:val="auto"/>
              </w:rPr>
            </w:pPr>
            <w:r>
              <w:rPr>
                <w:rFonts w:ascii="Arial" w:cs="Arial" w:eastAsia="Arial" w:hAnsi="Arial"/>
                <w:sz w:val="15"/>
                <w:szCs w:val="15"/>
                <w:color w:val="auto"/>
              </w:rPr>
              <w:t>957,119</w:t>
            </w:r>
          </w:p>
        </w:tc>
        <w:tc>
          <w:tcPr>
            <w:tcW w:w="180" w:type="dxa"/>
            <w:vAlign w:val="bottom"/>
          </w:tcPr>
          <w:p>
            <w:pPr>
              <w:spacing w:after="0"/>
              <w:rPr>
                <w:sz w:val="14"/>
                <w:szCs w:val="14"/>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Pr>
          <w:p>
            <w:pPr>
              <w:jc w:val="right"/>
              <w:ind w:right="104"/>
              <w:spacing w:after="0" w:line="169" w:lineRule="exact"/>
              <w:rPr>
                <w:sz w:val="20"/>
                <w:szCs w:val="20"/>
                <w:color w:val="auto"/>
              </w:rPr>
            </w:pPr>
            <w:r>
              <w:rPr>
                <w:rFonts w:ascii="Arial" w:cs="Arial" w:eastAsia="Arial" w:hAnsi="Arial"/>
                <w:sz w:val="15"/>
                <w:szCs w:val="15"/>
                <w:color w:val="auto"/>
              </w:rPr>
              <w:t>961,618</w:t>
            </w:r>
          </w:p>
        </w:tc>
        <w:tc>
          <w:tcPr>
            <w:tcW w:w="3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84"/>
              <w:spacing w:after="0" w:line="169" w:lineRule="exact"/>
              <w:rPr>
                <w:sz w:val="20"/>
                <w:szCs w:val="20"/>
                <w:color w:val="auto"/>
              </w:rPr>
            </w:pPr>
            <w:r>
              <w:rPr>
                <w:rFonts w:ascii="Arial" w:cs="Arial" w:eastAsia="Arial" w:hAnsi="Arial"/>
                <w:sz w:val="15"/>
                <w:szCs w:val="15"/>
                <w:color w:val="auto"/>
              </w:rPr>
              <w:t>993,745</w:t>
            </w:r>
          </w:p>
        </w:tc>
        <w:tc>
          <w:tcPr>
            <w:tcW w:w="2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104"/>
              <w:spacing w:after="0" w:line="169" w:lineRule="exact"/>
              <w:rPr>
                <w:sz w:val="20"/>
                <w:szCs w:val="20"/>
                <w:color w:val="auto"/>
              </w:rPr>
            </w:pPr>
            <w:r>
              <w:rPr>
                <w:rFonts w:ascii="Arial" w:cs="Arial" w:eastAsia="Arial" w:hAnsi="Arial"/>
                <w:sz w:val="15"/>
                <w:szCs w:val="15"/>
                <w:color w:val="auto"/>
              </w:rPr>
              <w:t>947,156</w:t>
            </w:r>
          </w:p>
        </w:tc>
        <w:tc>
          <w:tcPr>
            <w:tcW w:w="340" w:type="dxa"/>
            <w:vAlign w:val="bottom"/>
            <w:gridSpan w:val="2"/>
          </w:tcPr>
          <w:p>
            <w:pPr>
              <w:jc w:val="right"/>
              <w:ind w:right="4"/>
              <w:spacing w:after="0" w:line="169"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104"/>
              <w:spacing w:after="0" w:line="169" w:lineRule="exact"/>
              <w:rPr>
                <w:sz w:val="20"/>
                <w:szCs w:val="20"/>
                <w:color w:val="auto"/>
              </w:rPr>
            </w:pPr>
            <w:r>
              <w:rPr>
                <w:rFonts w:ascii="Arial" w:cs="Arial" w:eastAsia="Arial" w:hAnsi="Arial"/>
                <w:sz w:val="15"/>
                <w:szCs w:val="15"/>
                <w:color w:val="auto"/>
              </w:rPr>
              <w:t>960,117</w:t>
            </w:r>
          </w:p>
        </w:tc>
        <w:tc>
          <w:tcPr>
            <w:tcW w:w="0" w:type="dxa"/>
            <w:vAlign w:val="bottom"/>
          </w:tcPr>
          <w:p>
            <w:pPr>
              <w:spacing w:after="0"/>
              <w:rPr>
                <w:sz w:val="1"/>
                <w:szCs w:val="1"/>
                <w:color w:val="auto"/>
              </w:rPr>
            </w:pPr>
          </w:p>
        </w:tc>
      </w:tr>
      <w:tr>
        <w:trPr>
          <w:trHeight w:val="20"/>
        </w:trPr>
        <w:tc>
          <w:tcPr>
            <w:tcW w:w="4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40" w:type="dxa"/>
            <w:vAlign w:val="bottom"/>
            <w:gridSpan w:val="2"/>
            <w:shd w:val="clear" w:color="auto" w:fill="CFF0FC"/>
          </w:tcPr>
          <w:p>
            <w:pPr>
              <w:ind w:left="60"/>
              <w:spacing w:after="0" w:line="143" w:lineRule="exact"/>
              <w:rPr>
                <w:sz w:val="20"/>
                <w:szCs w:val="20"/>
                <w:color w:val="auto"/>
              </w:rPr>
            </w:pPr>
            <w:r>
              <w:rPr>
                <w:rFonts w:ascii="Arial" w:cs="Arial" w:eastAsia="Arial" w:hAnsi="Arial"/>
                <w:sz w:val="15"/>
                <w:szCs w:val="15"/>
                <w:color w:val="auto"/>
              </w:rPr>
              <w:t>Core deposits/deposits</w:t>
            </w: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3" w:lineRule="exact"/>
              <w:rPr>
                <w:sz w:val="20"/>
                <w:szCs w:val="20"/>
                <w:color w:val="auto"/>
              </w:rPr>
            </w:pPr>
            <w:r>
              <w:rPr>
                <w:rFonts w:ascii="Arial" w:cs="Arial" w:eastAsia="Arial" w:hAnsi="Arial"/>
                <w:sz w:val="15"/>
                <w:szCs w:val="15"/>
                <w:color w:val="auto"/>
              </w:rPr>
              <w:t>82.62%</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3" w:lineRule="exact"/>
              <w:rPr>
                <w:sz w:val="20"/>
                <w:szCs w:val="20"/>
                <w:color w:val="auto"/>
              </w:rPr>
            </w:pPr>
            <w:r>
              <w:rPr>
                <w:rFonts w:ascii="Arial" w:cs="Arial" w:eastAsia="Arial" w:hAnsi="Arial"/>
                <w:sz w:val="15"/>
                <w:szCs w:val="15"/>
                <w:color w:val="auto"/>
              </w:rPr>
              <w:t>81.89%</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3" w:lineRule="exact"/>
              <w:rPr>
                <w:sz w:val="20"/>
                <w:szCs w:val="20"/>
                <w:color w:val="auto"/>
              </w:rPr>
            </w:pPr>
            <w:r>
              <w:rPr>
                <w:rFonts w:ascii="Arial" w:cs="Arial" w:eastAsia="Arial" w:hAnsi="Arial"/>
                <w:sz w:val="15"/>
                <w:szCs w:val="15"/>
                <w:color w:val="auto"/>
              </w:rPr>
              <w:t>82.01%</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3" w:lineRule="exact"/>
              <w:rPr>
                <w:sz w:val="20"/>
                <w:szCs w:val="20"/>
                <w:color w:val="auto"/>
              </w:rPr>
            </w:pPr>
            <w:r>
              <w:rPr>
                <w:rFonts w:ascii="Arial" w:cs="Arial" w:eastAsia="Arial" w:hAnsi="Arial"/>
                <w:sz w:val="15"/>
                <w:szCs w:val="15"/>
                <w:color w:val="auto"/>
              </w:rPr>
              <w:t>80.01%</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3" w:lineRule="exact"/>
              <w:rPr>
                <w:sz w:val="20"/>
                <w:szCs w:val="20"/>
                <w:color w:val="auto"/>
              </w:rPr>
            </w:pPr>
            <w:r>
              <w:rPr>
                <w:rFonts w:ascii="Arial" w:cs="Arial" w:eastAsia="Arial" w:hAnsi="Arial"/>
                <w:sz w:val="15"/>
                <w:szCs w:val="15"/>
                <w:color w:val="auto"/>
              </w:rPr>
              <w:t>78.37%</w:t>
            </w:r>
          </w:p>
        </w:tc>
        <w:tc>
          <w:tcPr>
            <w:tcW w:w="0" w:type="dxa"/>
            <w:vAlign w:val="bottom"/>
          </w:tcPr>
          <w:p>
            <w:pPr>
              <w:spacing w:after="0"/>
              <w:rPr>
                <w:sz w:val="1"/>
                <w:szCs w:val="1"/>
                <w:color w:val="auto"/>
              </w:rPr>
            </w:pPr>
          </w:p>
        </w:tc>
      </w:tr>
      <w:tr>
        <w:trPr>
          <w:trHeight w:val="200"/>
        </w:trPr>
        <w:tc>
          <w:tcPr>
            <w:tcW w:w="5140" w:type="dxa"/>
            <w:vAlign w:val="bottom"/>
            <w:gridSpan w:val="2"/>
          </w:tcPr>
          <w:p>
            <w:pPr>
              <w:ind w:left="60"/>
              <w:spacing w:after="0"/>
              <w:rPr>
                <w:sz w:val="20"/>
                <w:szCs w:val="20"/>
                <w:color w:val="auto"/>
              </w:rPr>
            </w:pPr>
            <w:r>
              <w:rPr>
                <w:rFonts w:ascii="Arial" w:cs="Arial" w:eastAsia="Arial" w:hAnsi="Arial"/>
                <w:sz w:val="15"/>
                <w:szCs w:val="15"/>
                <w:color w:val="auto"/>
              </w:rPr>
              <w:t>Non-time deposits/deposits</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67.50%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66.42%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65.79%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61.82%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61.13%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-829310</wp:posOffset>
            </wp:positionV>
            <wp:extent cx="1111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-829310</wp:posOffset>
            </wp:positionV>
            <wp:extent cx="1111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-829310</wp:posOffset>
            </wp:positionV>
            <wp:extent cx="1111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-829310</wp:posOffset>
            </wp:positionV>
            <wp:extent cx="1111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-829310</wp:posOffset>
            </wp:positionV>
            <wp:extent cx="1117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-375285</wp:posOffset>
            </wp:positionV>
            <wp:extent cx="1111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-375285</wp:posOffset>
            </wp:positionV>
            <wp:extent cx="1111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-375285</wp:posOffset>
            </wp:positionV>
            <wp:extent cx="1111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-375285</wp:posOffset>
            </wp:positionV>
            <wp:extent cx="1111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-375285</wp:posOffset>
            </wp:positionV>
            <wp:extent cx="1117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3" w:lineRule="exact"/>
        <w:rPr>
          <w:sz w:val="20"/>
          <w:szCs w:val="20"/>
          <w:color w:val="auto"/>
        </w:rPr>
      </w:pPr>
    </w:p>
    <w:p>
      <w:pPr>
        <w:ind w:left="80" w:hanging="72"/>
        <w:spacing w:after="0"/>
        <w:tabs>
          <w:tab w:leader="none" w:pos="80" w:val="left"/>
        </w:tabs>
        <w:numPr>
          <w:ilvl w:val="0"/>
          <w:numId w:val="10"/>
        </w:numPr>
        <w:rPr>
          <w:rFonts w:ascii="Arial" w:cs="Arial" w:eastAsia="Arial" w:hAnsi="Arial"/>
          <w:sz w:val="7"/>
          <w:szCs w:val="7"/>
          <w:color w:val="auto"/>
        </w:rPr>
      </w:pPr>
      <w:r>
        <w:rPr>
          <w:rFonts w:ascii="Arial" w:cs="Arial" w:eastAsia="Arial" w:hAnsi="Arial"/>
          <w:sz w:val="11"/>
          <w:szCs w:val="11"/>
          <w:color w:val="auto"/>
        </w:rPr>
        <w:t>Nonbrokered deposits excluding certificates of deposit of $250,000 or more.</w:t>
      </w: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The above information is unaudited and preliminary, based on the Company's data available at the time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1"/>
        </w:trPr>
        <w:tc>
          <w:tcPr>
            <w:tcW w:w="3860" w:type="dxa"/>
            <w:vAlign w:val="bottom"/>
            <w:vMerge w:val="restart"/>
          </w:tcPr>
          <w:p>
            <w:pPr>
              <w:spacing w:after="0"/>
              <w:rPr>
                <w:sz w:val="20"/>
                <w:szCs w:val="20"/>
                <w:color w:val="auto"/>
              </w:rPr>
            </w:pPr>
            <w:r>
              <w:rPr>
                <w:rFonts w:ascii="Arial" w:cs="Arial" w:eastAsia="Arial" w:hAnsi="Arial"/>
                <w:sz w:val="15"/>
                <w:szCs w:val="15"/>
                <w:b w:val="1"/>
                <w:bCs w:val="1"/>
                <w:color w:val="auto"/>
              </w:rPr>
              <w:t>SELECTED AVERAGE BALANCES:</w:t>
            </w:r>
          </w:p>
        </w:tc>
        <w:tc>
          <w:tcPr>
            <w:tcW w:w="240" w:type="dxa"/>
            <w:vAlign w:val="bottom"/>
          </w:tcPr>
          <w:p>
            <w:pPr>
              <w:spacing w:after="0"/>
              <w:rPr>
                <w:sz w:val="15"/>
                <w:szCs w:val="15"/>
                <w:color w:val="auto"/>
              </w:rPr>
            </w:pPr>
          </w:p>
        </w:tc>
        <w:tc>
          <w:tcPr>
            <w:tcW w:w="2760" w:type="dxa"/>
            <w:vAlign w:val="bottom"/>
            <w:tcBorders>
              <w:bottom w:val="single" w:sz="8" w:color="auto"/>
            </w:tcBorders>
            <w:gridSpan w:val="5"/>
          </w:tcPr>
          <w:p>
            <w:pPr>
              <w:jc w:val="right"/>
              <w:ind w:right="104"/>
              <w:spacing w:after="0"/>
              <w:rPr>
                <w:sz w:val="20"/>
                <w:szCs w:val="20"/>
                <w:color w:val="auto"/>
              </w:rPr>
            </w:pPr>
            <w:r>
              <w:rPr>
                <w:rFonts w:ascii="Arial" w:cs="Arial" w:eastAsia="Arial" w:hAnsi="Arial"/>
                <w:sz w:val="15"/>
                <w:szCs w:val="15"/>
                <w:b w:val="1"/>
                <w:bCs w:val="1"/>
                <w:color w:val="auto"/>
              </w:rPr>
              <w:t>Nine Months Ended September 30,</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2026</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2025</w:t>
            </w:r>
          </w:p>
        </w:tc>
        <w:tc>
          <w:tcPr>
            <w:tcW w:w="0" w:type="dxa"/>
            <w:vAlign w:val="bottom"/>
          </w:tcPr>
          <w:p>
            <w:pPr>
              <w:spacing w:after="0"/>
              <w:rPr>
                <w:sz w:val="1"/>
                <w:szCs w:val="1"/>
                <w:color w:val="auto"/>
              </w:rPr>
            </w:pPr>
          </w:p>
        </w:tc>
      </w:tr>
      <w:tr>
        <w:trPr>
          <w:trHeight w:val="156"/>
        </w:trPr>
        <w:tc>
          <w:tcPr>
            <w:tcW w:w="38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ind w:right="64"/>
              <w:spacing w:after="0" w:line="156" w:lineRule="exact"/>
              <w:rPr>
                <w:sz w:val="20"/>
                <w:szCs w:val="20"/>
                <w:color w:val="auto"/>
              </w:rPr>
            </w:pPr>
            <w:r>
              <w:rPr>
                <w:rFonts w:ascii="Arial" w:cs="Arial" w:eastAsia="Arial" w:hAnsi="Arial"/>
                <w:sz w:val="15"/>
                <w:szCs w:val="15"/>
                <w:b w:val="1"/>
                <w:bCs w:val="1"/>
                <w:color w:val="auto"/>
              </w:rPr>
              <w:t>2026</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44"/>
              <w:spacing w:after="0" w:line="156" w:lineRule="exact"/>
              <w:rPr>
                <w:sz w:val="20"/>
                <w:szCs w:val="20"/>
                <w:color w:val="auto"/>
              </w:rPr>
            </w:pPr>
            <w:r>
              <w:rPr>
                <w:rFonts w:ascii="Arial" w:cs="Arial" w:eastAsia="Arial" w:hAnsi="Arial"/>
                <w:sz w:val="15"/>
                <w:szCs w:val="15"/>
                <w:b w:val="1"/>
                <w:bCs w:val="1"/>
                <w:color w:val="auto"/>
              </w:rPr>
              <w:t>2025</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jc w:val="right"/>
              <w:ind w:right="340"/>
              <w:spacing w:after="0" w:line="156" w:lineRule="exact"/>
              <w:rPr>
                <w:sz w:val="20"/>
                <w:szCs w:val="20"/>
                <w:color w:val="auto"/>
              </w:rPr>
            </w:pPr>
            <w:r>
              <w:rPr>
                <w:rFonts w:ascii="Arial" w:cs="Arial" w:eastAsia="Arial" w:hAnsi="Arial"/>
                <w:sz w:val="15"/>
                <w:szCs w:val="15"/>
                <w:b w:val="1"/>
                <w:bCs w:val="1"/>
                <w:color w:val="auto"/>
              </w:rPr>
              <w:t>Q3</w:t>
            </w:r>
          </w:p>
        </w:tc>
        <w:tc>
          <w:tcPr>
            <w:tcW w:w="260" w:type="dxa"/>
            <w:vAlign w:val="bottom"/>
          </w:tcPr>
          <w:p>
            <w:pPr>
              <w:spacing w:after="0"/>
              <w:rPr>
                <w:sz w:val="13"/>
                <w:szCs w:val="13"/>
                <w:color w:val="auto"/>
              </w:rPr>
            </w:pPr>
          </w:p>
        </w:tc>
        <w:tc>
          <w:tcPr>
            <w:tcW w:w="980" w:type="dxa"/>
            <w:vAlign w:val="bottom"/>
          </w:tcPr>
          <w:p>
            <w:pPr>
              <w:jc w:val="right"/>
              <w:ind w:right="44"/>
              <w:spacing w:after="0" w:line="156" w:lineRule="exact"/>
              <w:rPr>
                <w:sz w:val="20"/>
                <w:szCs w:val="20"/>
                <w:color w:val="auto"/>
              </w:rPr>
            </w:pPr>
            <w:r>
              <w:rPr>
                <w:rFonts w:ascii="Arial" w:cs="Arial" w:eastAsia="Arial" w:hAnsi="Arial"/>
                <w:sz w:val="15"/>
                <w:szCs w:val="15"/>
                <w:b w:val="1"/>
                <w:bCs w:val="1"/>
                <w:color w:val="auto"/>
              </w:rPr>
              <w:t>Q2</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44"/>
              <w:spacing w:after="0" w:line="156" w:lineRule="exact"/>
              <w:rPr>
                <w:sz w:val="20"/>
                <w:szCs w:val="20"/>
                <w:color w:val="auto"/>
              </w:rPr>
            </w:pPr>
            <w:r>
              <w:rPr>
                <w:rFonts w:ascii="Arial" w:cs="Arial" w:eastAsia="Arial" w:hAnsi="Arial"/>
                <w:sz w:val="15"/>
                <w:szCs w:val="15"/>
                <w:b w:val="1"/>
                <w:bCs w:val="1"/>
                <w:color w:val="auto"/>
              </w:rPr>
              <w:t>Q3</w:t>
            </w:r>
          </w:p>
        </w:tc>
        <w:tc>
          <w:tcPr>
            <w:tcW w:w="0" w:type="dxa"/>
            <w:vAlign w:val="bottom"/>
          </w:tcPr>
          <w:p>
            <w:pPr>
              <w:spacing w:after="0"/>
              <w:rPr>
                <w:sz w:val="1"/>
                <w:szCs w:val="1"/>
                <w:color w:val="auto"/>
              </w:rPr>
            </w:pPr>
          </w:p>
        </w:tc>
      </w:tr>
      <w:tr>
        <w:trPr>
          <w:trHeight w:val="156"/>
        </w:trPr>
        <w:tc>
          <w:tcPr>
            <w:tcW w:w="3860" w:type="dxa"/>
            <w:vAlign w:val="bottom"/>
            <w:tcBorders>
              <w:top w:val="single" w:sz="8" w:color="auto"/>
            </w:tcBorders>
            <w:shd w:val="clear" w:color="auto" w:fill="CFF0FC"/>
          </w:tcPr>
          <w:p>
            <w:pPr>
              <w:spacing w:after="0" w:line="156" w:lineRule="exact"/>
              <w:rPr>
                <w:sz w:val="20"/>
                <w:szCs w:val="20"/>
                <w:color w:val="auto"/>
              </w:rPr>
            </w:pPr>
            <w:r>
              <w:rPr>
                <w:rFonts w:ascii="Arial" w:cs="Arial" w:eastAsia="Arial" w:hAnsi="Arial"/>
                <w:sz w:val="15"/>
                <w:szCs w:val="15"/>
                <w:color w:val="auto"/>
              </w:rPr>
              <w:t>Interest-earning assets:</w:t>
            </w:r>
          </w:p>
        </w:tc>
        <w:tc>
          <w:tcPr>
            <w:tcW w:w="240" w:type="dxa"/>
            <w:vAlign w:val="bottom"/>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ind w:left="40"/>
              <w:spacing w:after="0" w:line="162" w:lineRule="exact"/>
              <w:rPr>
                <w:sz w:val="20"/>
                <w:szCs w:val="20"/>
                <w:color w:val="auto"/>
              </w:rPr>
            </w:pPr>
            <w:r>
              <w:rPr>
                <w:rFonts w:ascii="Arial" w:cs="Arial" w:eastAsia="Arial" w:hAnsi="Arial"/>
                <w:sz w:val="15"/>
                <w:szCs w:val="15"/>
                <w:color w:val="auto"/>
              </w:rPr>
              <w:t>Loans</w:t>
            </w:r>
          </w:p>
        </w:tc>
        <w:tc>
          <w:tcPr>
            <w:tcW w:w="520" w:type="dxa"/>
            <w:vAlign w:val="bottom"/>
            <w:gridSpan w:val="2"/>
          </w:tcPr>
          <w:p>
            <w:pPr>
              <w:jc w:val="right"/>
              <w:ind w:right="124"/>
              <w:spacing w:after="0" w:line="162" w:lineRule="exact"/>
              <w:rPr>
                <w:sz w:val="20"/>
                <w:szCs w:val="20"/>
                <w:color w:val="auto"/>
              </w:rPr>
            </w:pPr>
            <w:r>
              <w:rPr>
                <w:rFonts w:ascii="Arial" w:cs="Arial" w:eastAsia="Arial" w:hAnsi="Arial"/>
                <w:sz w:val="15"/>
                <w:szCs w:val="15"/>
                <w:color w:val="auto"/>
              </w:rPr>
              <w:t>$</w:t>
            </w:r>
          </w:p>
        </w:tc>
        <w:tc>
          <w:tcPr>
            <w:tcW w:w="1000" w:type="dxa"/>
            <w:vAlign w:val="bottom"/>
          </w:tcPr>
          <w:p>
            <w:pPr>
              <w:jc w:val="right"/>
              <w:ind w:right="64"/>
              <w:spacing w:after="0" w:line="162" w:lineRule="exact"/>
              <w:rPr>
                <w:sz w:val="20"/>
                <w:szCs w:val="20"/>
                <w:color w:val="auto"/>
              </w:rPr>
            </w:pPr>
            <w:r>
              <w:rPr>
                <w:rFonts w:ascii="Arial" w:cs="Arial" w:eastAsia="Arial" w:hAnsi="Arial"/>
                <w:sz w:val="15"/>
                <w:szCs w:val="15"/>
                <w:color w:val="auto"/>
              </w:rPr>
              <w:t>896,117</w:t>
            </w:r>
          </w:p>
        </w:tc>
        <w:tc>
          <w:tcPr>
            <w:tcW w:w="5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911,419</w:t>
            </w:r>
          </w:p>
        </w:tc>
        <w:tc>
          <w:tcPr>
            <w:tcW w:w="4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885,978</w:t>
            </w:r>
          </w:p>
        </w:tc>
        <w:tc>
          <w:tcPr>
            <w:tcW w:w="220" w:type="dxa"/>
            <w:vAlign w:val="bottom"/>
          </w:tcPr>
          <w:p>
            <w:pPr>
              <w:spacing w:after="0"/>
              <w:rPr>
                <w:sz w:val="14"/>
                <w:szCs w:val="14"/>
                <w:color w:val="auto"/>
              </w:rPr>
            </w:pPr>
          </w:p>
        </w:tc>
        <w:tc>
          <w:tcPr>
            <w:tcW w:w="260" w:type="dxa"/>
            <w:vAlign w:val="bottom"/>
          </w:tcPr>
          <w:p>
            <w:pPr>
              <w:jc w:val="right"/>
              <w:ind w:right="104"/>
              <w:spacing w:after="0" w:line="162" w:lineRule="exact"/>
              <w:rPr>
                <w:sz w:val="20"/>
                <w:szCs w:val="20"/>
                <w:color w:val="auto"/>
              </w:rPr>
            </w:pPr>
            <w:r>
              <w:rPr>
                <w:rFonts w:ascii="Arial" w:cs="Arial" w:eastAsia="Arial" w:hAnsi="Arial"/>
                <w:sz w:val="15"/>
                <w:szCs w:val="15"/>
                <w:color w:val="auto"/>
                <w:w w:val="71"/>
              </w:rPr>
              <w:t>$</w:t>
            </w:r>
          </w:p>
        </w:tc>
        <w:tc>
          <w:tcPr>
            <w:tcW w:w="9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899,975</w:t>
            </w:r>
          </w:p>
        </w:tc>
        <w:tc>
          <w:tcPr>
            <w:tcW w:w="4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906,759</w:t>
            </w:r>
          </w:p>
        </w:tc>
        <w:tc>
          <w:tcPr>
            <w:tcW w:w="0" w:type="dxa"/>
            <w:vAlign w:val="bottom"/>
          </w:tcPr>
          <w:p>
            <w:pPr>
              <w:spacing w:after="0"/>
              <w:rPr>
                <w:sz w:val="1"/>
                <w:szCs w:val="1"/>
                <w:color w:val="auto"/>
              </w:rPr>
            </w:pPr>
          </w:p>
        </w:tc>
      </w:tr>
      <w:tr>
        <w:trPr>
          <w:trHeight w:val="162"/>
        </w:trPr>
        <w:tc>
          <w:tcPr>
            <w:tcW w:w="3860" w:type="dxa"/>
            <w:vAlign w:val="bottom"/>
            <w:shd w:val="clear" w:color="auto" w:fill="CFF0FC"/>
          </w:tcPr>
          <w:p>
            <w:pPr>
              <w:ind w:left="40"/>
              <w:spacing w:after="0" w:line="162" w:lineRule="exact"/>
              <w:rPr>
                <w:sz w:val="20"/>
                <w:szCs w:val="20"/>
                <w:color w:val="auto"/>
              </w:rPr>
            </w:pPr>
            <w:r>
              <w:rPr>
                <w:rFonts w:ascii="Arial" w:cs="Arial" w:eastAsia="Arial" w:hAnsi="Arial"/>
                <w:sz w:val="15"/>
                <w:szCs w:val="15"/>
                <w:color w:val="auto"/>
              </w:rPr>
              <w:t>Taxable investment securities</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418,377</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427,656</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456,835</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420,211</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431,227</w:t>
            </w:r>
          </w:p>
        </w:tc>
        <w:tc>
          <w:tcPr>
            <w:tcW w:w="0" w:type="dxa"/>
            <w:vAlign w:val="bottom"/>
          </w:tcPr>
          <w:p>
            <w:pPr>
              <w:spacing w:after="0"/>
              <w:rPr>
                <w:sz w:val="1"/>
                <w:szCs w:val="1"/>
                <w:color w:val="auto"/>
              </w:rPr>
            </w:pPr>
          </w:p>
        </w:tc>
      </w:tr>
      <w:tr>
        <w:trPr>
          <w:trHeight w:val="162"/>
        </w:trPr>
        <w:tc>
          <w:tcPr>
            <w:tcW w:w="3860" w:type="dxa"/>
            <w:vAlign w:val="bottom"/>
          </w:tcPr>
          <w:p>
            <w:pPr>
              <w:ind w:left="40"/>
              <w:spacing w:after="0" w:line="162" w:lineRule="exact"/>
              <w:rPr>
                <w:sz w:val="20"/>
                <w:szCs w:val="20"/>
                <w:color w:val="auto"/>
              </w:rPr>
            </w:pPr>
            <w:r>
              <w:rPr>
                <w:rFonts w:ascii="Arial" w:cs="Arial" w:eastAsia="Arial" w:hAnsi="Arial"/>
                <w:sz w:val="15"/>
                <w:szCs w:val="15"/>
                <w:color w:val="auto"/>
              </w:rPr>
              <w:t>Tax-exempt investment securities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64"/>
              <w:spacing w:after="0" w:line="162" w:lineRule="exact"/>
              <w:rPr>
                <w:sz w:val="20"/>
                <w:szCs w:val="20"/>
                <w:color w:val="auto"/>
              </w:rPr>
            </w:pPr>
            <w:r>
              <w:rPr>
                <w:rFonts w:ascii="Arial" w:cs="Arial" w:eastAsia="Arial" w:hAnsi="Arial"/>
                <w:sz w:val="15"/>
                <w:szCs w:val="15"/>
                <w:color w:val="auto"/>
              </w:rPr>
              <w:t>33,046</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34,254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32,588</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33,088</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33,980</w:t>
            </w:r>
          </w:p>
        </w:tc>
        <w:tc>
          <w:tcPr>
            <w:tcW w:w="0" w:type="dxa"/>
            <w:vAlign w:val="bottom"/>
          </w:tcPr>
          <w:p>
            <w:pPr>
              <w:spacing w:after="0"/>
              <w:rPr>
                <w:sz w:val="1"/>
                <w:szCs w:val="1"/>
                <w:color w:val="auto"/>
              </w:rPr>
            </w:pPr>
          </w:p>
        </w:tc>
      </w:tr>
      <w:tr>
        <w:trPr>
          <w:trHeight w:val="162"/>
        </w:trPr>
        <w:tc>
          <w:tcPr>
            <w:tcW w:w="3860" w:type="dxa"/>
            <w:vAlign w:val="bottom"/>
            <w:tcBorders>
              <w:bottom w:val="single" w:sz="8" w:color="auto"/>
            </w:tcBorders>
            <w:shd w:val="clear" w:color="auto" w:fill="CFF0FC"/>
          </w:tcPr>
          <w:p>
            <w:pPr>
              <w:ind w:left="40"/>
              <w:spacing w:after="0" w:line="162" w:lineRule="exact"/>
              <w:rPr>
                <w:sz w:val="20"/>
                <w:szCs w:val="20"/>
                <w:color w:val="auto"/>
              </w:rPr>
            </w:pPr>
            <w:r>
              <w:rPr>
                <w:rFonts w:ascii="Arial" w:cs="Arial" w:eastAsia="Arial" w:hAnsi="Arial"/>
                <w:sz w:val="15"/>
                <w:szCs w:val="15"/>
                <w:color w:val="auto"/>
              </w:rPr>
              <w:t>Federal funds sold and interest-earning deposits</w:t>
            </w:r>
          </w:p>
        </w:tc>
        <w:tc>
          <w:tcPr>
            <w:tcW w:w="2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19,193</w:t>
            </w:r>
          </w:p>
        </w:tc>
        <w:tc>
          <w:tcPr>
            <w:tcW w:w="2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13,306</w:t>
            </w:r>
          </w:p>
        </w:tc>
        <w:tc>
          <w:tcPr>
            <w:tcW w:w="2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20,818</w:t>
            </w:r>
          </w:p>
        </w:tc>
        <w:tc>
          <w:tcPr>
            <w:tcW w:w="2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15,622</w:t>
            </w:r>
          </w:p>
        </w:tc>
        <w:tc>
          <w:tcPr>
            <w:tcW w:w="2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16,866</w:t>
            </w:r>
          </w:p>
        </w:tc>
        <w:tc>
          <w:tcPr>
            <w:tcW w:w="0" w:type="dxa"/>
            <w:vAlign w:val="bottom"/>
          </w:tcPr>
          <w:p>
            <w:pPr>
              <w:spacing w:after="0"/>
              <w:rPr>
                <w:sz w:val="1"/>
                <w:szCs w:val="1"/>
                <w:color w:val="auto"/>
              </w:rPr>
            </w:pPr>
          </w:p>
        </w:tc>
      </w:tr>
      <w:tr>
        <w:trPr>
          <w:trHeight w:val="156"/>
        </w:trPr>
        <w:tc>
          <w:tcPr>
            <w:tcW w:w="3860" w:type="dxa"/>
            <w:vAlign w:val="bottom"/>
            <w:tcBorders>
              <w:bottom w:val="single" w:sz="8" w:color="auto"/>
            </w:tcBorders>
          </w:tcPr>
          <w:p>
            <w:pPr>
              <w:ind w:left="80"/>
              <w:spacing w:after="0" w:line="156" w:lineRule="exact"/>
              <w:rPr>
                <w:sz w:val="20"/>
                <w:szCs w:val="20"/>
                <w:color w:val="auto"/>
              </w:rPr>
            </w:pPr>
            <w:r>
              <w:rPr>
                <w:rFonts w:ascii="Arial" w:cs="Arial" w:eastAsia="Arial" w:hAnsi="Arial"/>
                <w:sz w:val="15"/>
                <w:szCs w:val="15"/>
                <w:color w:val="auto"/>
              </w:rPr>
              <w:t>Total interest-earning assets</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rPr>
              <w:t>1,366,733</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1,386,635</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1,396,219</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1,368,896</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1,388,832</w:t>
            </w:r>
          </w:p>
        </w:tc>
        <w:tc>
          <w:tcPr>
            <w:tcW w:w="0" w:type="dxa"/>
            <w:vAlign w:val="bottom"/>
          </w:tcPr>
          <w:p>
            <w:pPr>
              <w:spacing w:after="0"/>
              <w:rPr>
                <w:sz w:val="1"/>
                <w:szCs w:val="1"/>
                <w:color w:val="auto"/>
              </w:rPr>
            </w:pPr>
          </w:p>
        </w:tc>
      </w:tr>
      <w:tr>
        <w:trPr>
          <w:trHeight w:val="155"/>
        </w:trPr>
        <w:tc>
          <w:tcPr>
            <w:tcW w:w="386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Noninterest-earning assets:</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ind w:left="40"/>
              <w:spacing w:after="0" w:line="162" w:lineRule="exact"/>
              <w:rPr>
                <w:sz w:val="20"/>
                <w:szCs w:val="20"/>
                <w:color w:val="auto"/>
              </w:rPr>
            </w:pPr>
            <w:r>
              <w:rPr>
                <w:rFonts w:ascii="Arial" w:cs="Arial" w:eastAsia="Arial" w:hAnsi="Arial"/>
                <w:sz w:val="15"/>
                <w:szCs w:val="15"/>
                <w:color w:val="auto"/>
              </w:rPr>
              <w:t>Other assets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64"/>
              <w:spacing w:after="0" w:line="162" w:lineRule="exact"/>
              <w:rPr>
                <w:sz w:val="20"/>
                <w:szCs w:val="20"/>
                <w:color w:val="auto"/>
              </w:rPr>
            </w:pPr>
            <w:r>
              <w:rPr>
                <w:rFonts w:ascii="Arial" w:cs="Arial" w:eastAsia="Arial" w:hAnsi="Arial"/>
                <w:sz w:val="15"/>
                <w:szCs w:val="15"/>
                <w:color w:val="auto"/>
              </w:rPr>
              <w:t>120,496</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116,001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120,348</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120,721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114,837</w:t>
            </w:r>
          </w:p>
        </w:tc>
        <w:tc>
          <w:tcPr>
            <w:tcW w:w="0" w:type="dxa"/>
            <w:vAlign w:val="bottom"/>
          </w:tcPr>
          <w:p>
            <w:pPr>
              <w:spacing w:after="0"/>
              <w:rPr>
                <w:sz w:val="1"/>
                <w:szCs w:val="1"/>
                <w:color w:val="auto"/>
              </w:rPr>
            </w:pPr>
          </w:p>
        </w:tc>
      </w:tr>
      <w:tr>
        <w:trPr>
          <w:trHeight w:val="162"/>
        </w:trPr>
        <w:tc>
          <w:tcPr>
            <w:tcW w:w="3860" w:type="dxa"/>
            <w:vAlign w:val="bottom"/>
            <w:shd w:val="clear" w:color="auto" w:fill="CFF0FC"/>
          </w:tcPr>
          <w:p>
            <w:pPr>
              <w:ind w:left="40"/>
              <w:spacing w:after="0" w:line="162" w:lineRule="exact"/>
              <w:rPr>
                <w:sz w:val="20"/>
                <w:szCs w:val="20"/>
                <w:color w:val="auto"/>
              </w:rPr>
            </w:pPr>
            <w:r>
              <w:rPr>
                <w:rFonts w:ascii="Arial" w:cs="Arial" w:eastAsia="Arial" w:hAnsi="Arial"/>
                <w:sz w:val="15"/>
                <w:szCs w:val="15"/>
                <w:color w:val="auto"/>
              </w:rPr>
              <w:t>Allowance for credit losses</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(28,237)</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(16,777)</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(26,455)</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(28,853)</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(15,595)</w:t>
            </w:r>
          </w:p>
        </w:tc>
        <w:tc>
          <w:tcPr>
            <w:tcW w:w="0" w:type="dxa"/>
            <w:vAlign w:val="bottom"/>
          </w:tcPr>
          <w:p>
            <w:pPr>
              <w:spacing w:after="0"/>
              <w:rPr>
                <w:sz w:val="1"/>
                <w:szCs w:val="1"/>
                <w:color w:val="auto"/>
              </w:rPr>
            </w:pPr>
          </w:p>
        </w:tc>
      </w:tr>
      <w:tr>
        <w:trPr>
          <w:trHeight w:val="162"/>
        </w:trPr>
        <w:tc>
          <w:tcPr>
            <w:tcW w:w="3860" w:type="dxa"/>
            <w:vAlign w:val="bottom"/>
            <w:tcBorders>
              <w:bottom w:val="single" w:sz="8" w:color="auto"/>
            </w:tcBorders>
          </w:tcPr>
          <w:p>
            <w:pPr>
              <w:ind w:left="40"/>
              <w:spacing w:after="0" w:line="162" w:lineRule="exact"/>
              <w:rPr>
                <w:sz w:val="20"/>
                <w:szCs w:val="20"/>
                <w:color w:val="auto"/>
              </w:rPr>
            </w:pPr>
            <w:r>
              <w:rPr>
                <w:rFonts w:ascii="Arial" w:cs="Arial" w:eastAsia="Arial" w:hAnsi="Arial"/>
                <w:sz w:val="15"/>
                <w:szCs w:val="15"/>
                <w:color w:val="auto"/>
              </w:rPr>
              <w:t>Net unrealized losses on available-for-sale securities</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(7,993)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(10,245)</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(10,323)</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(8,045)</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(9,949)</w:t>
            </w:r>
          </w:p>
        </w:tc>
        <w:tc>
          <w:tcPr>
            <w:tcW w:w="0" w:type="dxa"/>
            <w:vAlign w:val="bottom"/>
          </w:tcPr>
          <w:p>
            <w:pPr>
              <w:spacing w:after="0"/>
              <w:rPr>
                <w:sz w:val="1"/>
                <w:szCs w:val="1"/>
                <w:color w:val="auto"/>
              </w:rPr>
            </w:pPr>
          </w:p>
        </w:tc>
      </w:tr>
      <w:tr>
        <w:trPr>
          <w:trHeight w:val="195"/>
        </w:trPr>
        <w:tc>
          <w:tcPr>
            <w:tcW w:w="3860" w:type="dxa"/>
            <w:vAlign w:val="bottom"/>
            <w:shd w:val="clear" w:color="auto" w:fill="CFF0FC"/>
          </w:tcPr>
          <w:p>
            <w:pPr>
              <w:ind w:left="80"/>
              <w:spacing w:after="0" w:line="156" w:lineRule="exact"/>
              <w:rPr>
                <w:sz w:val="20"/>
                <w:szCs w:val="20"/>
                <w:color w:val="auto"/>
              </w:rPr>
            </w:pPr>
            <w:r>
              <w:rPr>
                <w:rFonts w:ascii="Arial" w:cs="Arial" w:eastAsia="Arial" w:hAnsi="Arial"/>
                <w:sz w:val="15"/>
                <w:szCs w:val="15"/>
                <w:color w:val="auto"/>
              </w:rPr>
              <w:t>Total assets</w:t>
            </w:r>
          </w:p>
        </w:tc>
        <w:tc>
          <w:tcPr>
            <w:tcW w:w="520" w:type="dxa"/>
            <w:vAlign w:val="bottom"/>
            <w:gridSpan w:val="2"/>
            <w:shd w:val="clear" w:color="auto" w:fill="CFF0FC"/>
          </w:tcPr>
          <w:p>
            <w:pPr>
              <w:jc w:val="right"/>
              <w:ind w:right="124"/>
              <w:spacing w:after="0" w:line="156" w:lineRule="exact"/>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ind w:right="64"/>
              <w:spacing w:after="0" w:line="156" w:lineRule="exact"/>
              <w:rPr>
                <w:sz w:val="20"/>
                <w:szCs w:val="20"/>
                <w:color w:val="auto"/>
              </w:rPr>
            </w:pPr>
            <w:r>
              <w:rPr>
                <w:rFonts w:ascii="Arial" w:cs="Arial" w:eastAsia="Arial" w:hAnsi="Arial"/>
                <w:sz w:val="15"/>
                <w:szCs w:val="15"/>
                <w:color w:val="auto"/>
              </w:rPr>
              <w:t>1,450,999</w:t>
            </w:r>
          </w:p>
        </w:tc>
        <w:tc>
          <w:tcPr>
            <w:tcW w:w="500" w:type="dxa"/>
            <w:vAlign w:val="bottom"/>
            <w:gridSpan w:val="2"/>
            <w:shd w:val="clear" w:color="auto" w:fill="CFF0FC"/>
          </w:tcPr>
          <w:p>
            <w:pPr>
              <w:jc w:val="right"/>
              <w:ind w:right="180"/>
              <w:spacing w:after="0" w:line="156" w:lineRule="exact"/>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1,475,614</w:t>
            </w:r>
          </w:p>
        </w:tc>
        <w:tc>
          <w:tcPr>
            <w:tcW w:w="480" w:type="dxa"/>
            <w:vAlign w:val="bottom"/>
            <w:gridSpan w:val="2"/>
            <w:shd w:val="clear" w:color="auto" w:fill="CFF0FC"/>
          </w:tcPr>
          <w:p>
            <w:pPr>
              <w:jc w:val="right"/>
              <w:ind w:right="180"/>
              <w:spacing w:after="0" w:line="156" w:lineRule="exact"/>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1,479,789</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4"/>
              <w:spacing w:after="0" w:line="156"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1,452,719</w:t>
            </w:r>
          </w:p>
        </w:tc>
        <w:tc>
          <w:tcPr>
            <w:tcW w:w="480" w:type="dxa"/>
            <w:vAlign w:val="bottom"/>
            <w:gridSpan w:val="2"/>
            <w:shd w:val="clear" w:color="auto" w:fill="CFF0FC"/>
          </w:tcPr>
          <w:p>
            <w:pPr>
              <w:jc w:val="right"/>
              <w:ind w:right="180"/>
              <w:spacing w:after="0" w:line="156" w:lineRule="exact"/>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1,478,125</w:t>
            </w:r>
          </w:p>
        </w:tc>
        <w:tc>
          <w:tcPr>
            <w:tcW w:w="0" w:type="dxa"/>
            <w:vAlign w:val="bottom"/>
          </w:tcPr>
          <w:p>
            <w:pPr>
              <w:spacing w:after="0"/>
              <w:rPr>
                <w:sz w:val="1"/>
                <w:szCs w:val="1"/>
                <w:color w:val="auto"/>
              </w:rPr>
            </w:pPr>
          </w:p>
        </w:tc>
      </w:tr>
      <w:tr>
        <w:trPr>
          <w:trHeight w:val="143"/>
        </w:trPr>
        <w:tc>
          <w:tcPr>
            <w:tcW w:w="3860" w:type="dxa"/>
            <w:vAlign w:val="bottom"/>
            <w:tcBorders>
              <w:top w:val="single" w:sz="8" w:color="auto"/>
            </w:tcBorders>
          </w:tcPr>
          <w:p>
            <w:pPr>
              <w:spacing w:after="0" w:line="143" w:lineRule="exact"/>
              <w:rPr>
                <w:sz w:val="20"/>
                <w:szCs w:val="20"/>
                <w:color w:val="auto"/>
              </w:rPr>
            </w:pPr>
            <w:r>
              <w:rPr>
                <w:rFonts w:ascii="Arial" w:cs="Arial" w:eastAsia="Arial" w:hAnsi="Arial"/>
                <w:sz w:val="15"/>
                <w:szCs w:val="15"/>
                <w:color w:val="auto"/>
              </w:rPr>
              <w:t>Interest-bearing liabilities:</w:t>
            </w:r>
          </w:p>
        </w:tc>
        <w:tc>
          <w:tcPr>
            <w:tcW w:w="240" w:type="dxa"/>
            <w:vAlign w:val="bottom"/>
            <w:tcBorders>
              <w:top w:val="single" w:sz="8" w:color="CFF0FC"/>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FF0FC"/>
          </w:tcPr>
          <w:p>
            <w:pPr>
              <w:ind w:left="40"/>
              <w:spacing w:after="0" w:line="162" w:lineRule="exact"/>
              <w:rPr>
                <w:sz w:val="20"/>
                <w:szCs w:val="20"/>
                <w:color w:val="auto"/>
              </w:rPr>
            </w:pPr>
            <w:r>
              <w:rPr>
                <w:rFonts w:ascii="Arial" w:cs="Arial" w:eastAsia="Arial" w:hAnsi="Arial"/>
                <w:sz w:val="15"/>
                <w:szCs w:val="15"/>
                <w:color w:val="auto"/>
              </w:rPr>
              <w:t>NOW accounts</w:t>
            </w:r>
          </w:p>
        </w:tc>
        <w:tc>
          <w:tcPr>
            <w:tcW w:w="520" w:type="dxa"/>
            <w:vAlign w:val="bottom"/>
            <w:gridSpan w:val="2"/>
            <w:shd w:val="clear" w:color="auto" w:fill="CFF0FC"/>
          </w:tcPr>
          <w:p>
            <w:pPr>
              <w:jc w:val="right"/>
              <w:ind w:right="124"/>
              <w:spacing w:after="0" w:line="162" w:lineRule="exact"/>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122,182</w:t>
            </w:r>
          </w:p>
        </w:tc>
        <w:tc>
          <w:tcPr>
            <w:tcW w:w="500" w:type="dxa"/>
            <w:vAlign w:val="bottom"/>
            <w:gridSpan w:val="2"/>
            <w:shd w:val="clear" w:color="auto" w:fill="CFF0FC"/>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115,494</w:t>
            </w:r>
          </w:p>
        </w:tc>
        <w:tc>
          <w:tcPr>
            <w:tcW w:w="480" w:type="dxa"/>
            <w:vAlign w:val="bottom"/>
            <w:gridSpan w:val="2"/>
            <w:shd w:val="clear" w:color="auto" w:fill="CFF0FC"/>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117,738</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4"/>
              <w:spacing w:after="0" w:line="162"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123,208</w:t>
            </w:r>
          </w:p>
        </w:tc>
        <w:tc>
          <w:tcPr>
            <w:tcW w:w="480" w:type="dxa"/>
            <w:vAlign w:val="bottom"/>
            <w:gridSpan w:val="2"/>
            <w:shd w:val="clear" w:color="auto" w:fill="CFF0FC"/>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120,696</w:t>
            </w:r>
          </w:p>
        </w:tc>
        <w:tc>
          <w:tcPr>
            <w:tcW w:w="0" w:type="dxa"/>
            <w:vAlign w:val="bottom"/>
          </w:tcPr>
          <w:p>
            <w:pPr>
              <w:spacing w:after="0"/>
              <w:rPr>
                <w:sz w:val="1"/>
                <w:szCs w:val="1"/>
                <w:color w:val="auto"/>
              </w:rPr>
            </w:pPr>
          </w:p>
        </w:tc>
      </w:tr>
      <w:tr>
        <w:trPr>
          <w:trHeight w:val="162"/>
        </w:trPr>
        <w:tc>
          <w:tcPr>
            <w:tcW w:w="3860" w:type="dxa"/>
            <w:vAlign w:val="bottom"/>
          </w:tcPr>
          <w:p>
            <w:pPr>
              <w:ind w:left="40"/>
              <w:spacing w:after="0" w:line="162" w:lineRule="exact"/>
              <w:rPr>
                <w:sz w:val="20"/>
                <w:szCs w:val="20"/>
                <w:color w:val="auto"/>
              </w:rPr>
            </w:pPr>
            <w:r>
              <w:rPr>
                <w:rFonts w:ascii="Arial" w:cs="Arial" w:eastAsia="Arial" w:hAnsi="Arial"/>
                <w:sz w:val="15"/>
                <w:szCs w:val="15"/>
                <w:color w:val="auto"/>
              </w:rPr>
              <w:t>Money management accounts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64"/>
              <w:spacing w:after="0" w:line="162" w:lineRule="exact"/>
              <w:rPr>
                <w:sz w:val="20"/>
                <w:szCs w:val="20"/>
                <w:color w:val="auto"/>
              </w:rPr>
            </w:pPr>
            <w:r>
              <w:rPr>
                <w:rFonts w:ascii="Arial" w:cs="Arial" w:eastAsia="Arial" w:hAnsi="Arial"/>
                <w:sz w:val="15"/>
                <w:szCs w:val="15"/>
                <w:color w:val="auto"/>
              </w:rPr>
              <w:t>8,553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10,435</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8,090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8,471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10,105</w:t>
            </w:r>
          </w:p>
        </w:tc>
        <w:tc>
          <w:tcPr>
            <w:tcW w:w="0" w:type="dxa"/>
            <w:vAlign w:val="bottom"/>
          </w:tcPr>
          <w:p>
            <w:pPr>
              <w:spacing w:after="0"/>
              <w:rPr>
                <w:sz w:val="1"/>
                <w:szCs w:val="1"/>
                <w:color w:val="auto"/>
              </w:rPr>
            </w:pPr>
          </w:p>
        </w:tc>
      </w:tr>
      <w:tr>
        <w:trPr>
          <w:trHeight w:val="162"/>
        </w:trPr>
        <w:tc>
          <w:tcPr>
            <w:tcW w:w="3860" w:type="dxa"/>
            <w:vAlign w:val="bottom"/>
            <w:shd w:val="clear" w:color="auto" w:fill="CFF0FC"/>
          </w:tcPr>
          <w:p>
            <w:pPr>
              <w:ind w:left="40"/>
              <w:spacing w:after="0" w:line="162" w:lineRule="exact"/>
              <w:rPr>
                <w:sz w:val="20"/>
                <w:szCs w:val="20"/>
                <w:color w:val="auto"/>
              </w:rPr>
            </w:pPr>
            <w:r>
              <w:rPr>
                <w:rFonts w:ascii="Arial" w:cs="Arial" w:eastAsia="Arial" w:hAnsi="Arial"/>
                <w:sz w:val="15"/>
                <w:szCs w:val="15"/>
                <w:color w:val="auto"/>
              </w:rPr>
              <w:t>MMDA accounts</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307,366</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277,306</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303,625</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319,863</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276,599</w:t>
            </w:r>
          </w:p>
        </w:tc>
        <w:tc>
          <w:tcPr>
            <w:tcW w:w="0" w:type="dxa"/>
            <w:vAlign w:val="bottom"/>
          </w:tcPr>
          <w:p>
            <w:pPr>
              <w:spacing w:after="0"/>
              <w:rPr>
                <w:sz w:val="1"/>
                <w:szCs w:val="1"/>
                <w:color w:val="auto"/>
              </w:rPr>
            </w:pPr>
          </w:p>
        </w:tc>
      </w:tr>
      <w:tr>
        <w:trPr>
          <w:trHeight w:val="162"/>
        </w:trPr>
        <w:tc>
          <w:tcPr>
            <w:tcW w:w="3860" w:type="dxa"/>
            <w:vAlign w:val="bottom"/>
          </w:tcPr>
          <w:p>
            <w:pPr>
              <w:ind w:left="40"/>
              <w:spacing w:after="0" w:line="162" w:lineRule="exact"/>
              <w:rPr>
                <w:sz w:val="20"/>
                <w:szCs w:val="20"/>
                <w:color w:val="auto"/>
              </w:rPr>
            </w:pPr>
            <w:r>
              <w:rPr>
                <w:rFonts w:ascii="Arial" w:cs="Arial" w:eastAsia="Arial" w:hAnsi="Arial"/>
                <w:sz w:val="15"/>
                <w:szCs w:val="15"/>
                <w:color w:val="auto"/>
              </w:rPr>
              <w:t>Savings and club accounts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64"/>
              <w:spacing w:after="0" w:line="162" w:lineRule="exact"/>
              <w:rPr>
                <w:sz w:val="20"/>
                <w:szCs w:val="20"/>
                <w:color w:val="auto"/>
              </w:rPr>
            </w:pPr>
            <w:r>
              <w:rPr>
                <w:rFonts w:ascii="Arial" w:cs="Arial" w:eastAsia="Arial" w:hAnsi="Arial"/>
                <w:sz w:val="15"/>
                <w:szCs w:val="15"/>
                <w:color w:val="auto"/>
              </w:rPr>
              <w:t>125,431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129,059</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124,376</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126,652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127,696</w:t>
            </w:r>
          </w:p>
        </w:tc>
        <w:tc>
          <w:tcPr>
            <w:tcW w:w="0" w:type="dxa"/>
            <w:vAlign w:val="bottom"/>
          </w:tcPr>
          <w:p>
            <w:pPr>
              <w:spacing w:after="0"/>
              <w:rPr>
                <w:sz w:val="1"/>
                <w:szCs w:val="1"/>
                <w:color w:val="auto"/>
              </w:rPr>
            </w:pPr>
          </w:p>
        </w:tc>
      </w:tr>
      <w:tr>
        <w:trPr>
          <w:trHeight w:val="162"/>
        </w:trPr>
        <w:tc>
          <w:tcPr>
            <w:tcW w:w="3860" w:type="dxa"/>
            <w:vAlign w:val="bottom"/>
            <w:shd w:val="clear" w:color="auto" w:fill="CFF0FC"/>
          </w:tcPr>
          <w:p>
            <w:pPr>
              <w:ind w:left="40"/>
              <w:spacing w:after="0" w:line="162" w:lineRule="exact"/>
              <w:rPr>
                <w:sz w:val="20"/>
                <w:szCs w:val="20"/>
                <w:color w:val="auto"/>
              </w:rPr>
            </w:pPr>
            <w:r>
              <w:rPr>
                <w:rFonts w:ascii="Arial" w:cs="Arial" w:eastAsia="Arial" w:hAnsi="Arial"/>
                <w:sz w:val="15"/>
                <w:szCs w:val="15"/>
                <w:color w:val="auto"/>
              </w:rPr>
              <w:t>Time deposits</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417,706</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493,033</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394,189</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418,106</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490,735</w:t>
            </w:r>
          </w:p>
        </w:tc>
        <w:tc>
          <w:tcPr>
            <w:tcW w:w="0" w:type="dxa"/>
            <w:vAlign w:val="bottom"/>
          </w:tcPr>
          <w:p>
            <w:pPr>
              <w:spacing w:after="0"/>
              <w:rPr>
                <w:sz w:val="1"/>
                <w:szCs w:val="1"/>
                <w:color w:val="auto"/>
              </w:rPr>
            </w:pPr>
          </w:p>
        </w:tc>
      </w:tr>
      <w:tr>
        <w:trPr>
          <w:trHeight w:val="162"/>
        </w:trPr>
        <w:tc>
          <w:tcPr>
            <w:tcW w:w="3860" w:type="dxa"/>
            <w:vAlign w:val="bottom"/>
          </w:tcPr>
          <w:p>
            <w:pPr>
              <w:ind w:left="40"/>
              <w:spacing w:after="0" w:line="162" w:lineRule="exact"/>
              <w:rPr>
                <w:sz w:val="20"/>
                <w:szCs w:val="20"/>
                <w:color w:val="auto"/>
              </w:rPr>
            </w:pPr>
            <w:r>
              <w:rPr>
                <w:rFonts w:ascii="Arial" w:cs="Arial" w:eastAsia="Arial" w:hAnsi="Arial"/>
                <w:sz w:val="15"/>
                <w:szCs w:val="15"/>
                <w:color w:val="auto"/>
              </w:rPr>
              <w:t>Subordinated debt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64"/>
              <w:spacing w:after="0" w:line="162" w:lineRule="exact"/>
              <w:rPr>
                <w:sz w:val="20"/>
                <w:szCs w:val="20"/>
                <w:color w:val="auto"/>
              </w:rPr>
            </w:pPr>
            <w:r>
              <w:rPr>
                <w:rFonts w:ascii="Arial" w:cs="Arial" w:eastAsia="Arial" w:hAnsi="Arial"/>
                <w:sz w:val="15"/>
                <w:szCs w:val="15"/>
                <w:color w:val="auto"/>
              </w:rPr>
              <w:t>30,155</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30,174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30,155</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30,155</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30,225</w:t>
            </w:r>
          </w:p>
        </w:tc>
        <w:tc>
          <w:tcPr>
            <w:tcW w:w="0" w:type="dxa"/>
            <w:vAlign w:val="bottom"/>
          </w:tcPr>
          <w:p>
            <w:pPr>
              <w:spacing w:after="0"/>
              <w:rPr>
                <w:sz w:val="1"/>
                <w:szCs w:val="1"/>
                <w:color w:val="auto"/>
              </w:rPr>
            </w:pPr>
          </w:p>
        </w:tc>
      </w:tr>
      <w:tr>
        <w:trPr>
          <w:trHeight w:val="162"/>
        </w:trPr>
        <w:tc>
          <w:tcPr>
            <w:tcW w:w="3860" w:type="dxa"/>
            <w:vAlign w:val="bottom"/>
            <w:tcBorders>
              <w:bottom w:val="single" w:sz="8" w:color="auto"/>
            </w:tcBorders>
            <w:shd w:val="clear" w:color="auto" w:fill="CFF0FC"/>
          </w:tcPr>
          <w:p>
            <w:pPr>
              <w:ind w:left="40"/>
              <w:spacing w:after="0" w:line="162" w:lineRule="exact"/>
              <w:rPr>
                <w:sz w:val="20"/>
                <w:szCs w:val="20"/>
                <w:color w:val="auto"/>
              </w:rPr>
            </w:pPr>
            <w:r>
              <w:rPr>
                <w:rFonts w:ascii="Arial" w:cs="Arial" w:eastAsia="Arial" w:hAnsi="Arial"/>
                <w:sz w:val="15"/>
                <w:szCs w:val="15"/>
                <w:color w:val="auto"/>
              </w:rPr>
              <w:t>Borrowings</w:t>
            </w:r>
          </w:p>
        </w:tc>
        <w:tc>
          <w:tcPr>
            <w:tcW w:w="2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86,061</w:t>
            </w:r>
          </w:p>
        </w:tc>
        <w:tc>
          <w:tcPr>
            <w:tcW w:w="2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68,656</w:t>
            </w:r>
          </w:p>
        </w:tc>
        <w:tc>
          <w:tcPr>
            <w:tcW w:w="2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141,887</w:t>
            </w:r>
          </w:p>
        </w:tc>
        <w:tc>
          <w:tcPr>
            <w:tcW w:w="2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75,195</w:t>
            </w:r>
          </w:p>
        </w:tc>
        <w:tc>
          <w:tcPr>
            <w:tcW w:w="2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73,556</w:t>
            </w:r>
          </w:p>
        </w:tc>
        <w:tc>
          <w:tcPr>
            <w:tcW w:w="0" w:type="dxa"/>
            <w:vAlign w:val="bottom"/>
          </w:tcPr>
          <w:p>
            <w:pPr>
              <w:spacing w:after="0"/>
              <w:rPr>
                <w:sz w:val="1"/>
                <w:szCs w:val="1"/>
                <w:color w:val="auto"/>
              </w:rPr>
            </w:pPr>
          </w:p>
        </w:tc>
      </w:tr>
      <w:tr>
        <w:trPr>
          <w:trHeight w:val="155"/>
        </w:trPr>
        <w:tc>
          <w:tcPr>
            <w:tcW w:w="3860" w:type="dxa"/>
            <w:vAlign w:val="bottom"/>
            <w:tcBorders>
              <w:bottom w:val="single" w:sz="8" w:color="auto"/>
            </w:tcBorders>
          </w:tcPr>
          <w:p>
            <w:pPr>
              <w:ind w:left="80"/>
              <w:spacing w:after="0" w:line="156" w:lineRule="exact"/>
              <w:rPr>
                <w:sz w:val="20"/>
                <w:szCs w:val="20"/>
                <w:color w:val="auto"/>
              </w:rPr>
            </w:pPr>
            <w:r>
              <w:rPr>
                <w:rFonts w:ascii="Arial" w:cs="Arial" w:eastAsia="Arial" w:hAnsi="Arial"/>
                <w:sz w:val="15"/>
                <w:szCs w:val="15"/>
                <w:color w:val="auto"/>
              </w:rPr>
              <w:t>Total interest-bearing liabilities</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rPr>
              <w:t>1,097,454</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1,124,157</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1,120,060</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1,101,650</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1,129,612</w:t>
            </w:r>
          </w:p>
        </w:tc>
        <w:tc>
          <w:tcPr>
            <w:tcW w:w="0" w:type="dxa"/>
            <w:vAlign w:val="bottom"/>
          </w:tcPr>
          <w:p>
            <w:pPr>
              <w:spacing w:after="0"/>
              <w:rPr>
                <w:sz w:val="1"/>
                <w:szCs w:val="1"/>
                <w:color w:val="auto"/>
              </w:rPr>
            </w:pPr>
          </w:p>
        </w:tc>
      </w:tr>
      <w:tr>
        <w:trPr>
          <w:trHeight w:val="156"/>
        </w:trPr>
        <w:tc>
          <w:tcPr>
            <w:tcW w:w="386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Noninterest-bearing liabilities:</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ind w:left="40"/>
              <w:spacing w:after="0" w:line="162" w:lineRule="exact"/>
              <w:rPr>
                <w:sz w:val="20"/>
                <w:szCs w:val="20"/>
                <w:color w:val="auto"/>
              </w:rPr>
            </w:pPr>
            <w:r>
              <w:rPr>
                <w:rFonts w:ascii="Arial" w:cs="Arial" w:eastAsia="Arial" w:hAnsi="Arial"/>
                <w:sz w:val="15"/>
                <w:szCs w:val="15"/>
                <w:color w:val="auto"/>
              </w:rPr>
              <w:t>Demand deposits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64"/>
              <w:spacing w:after="0" w:line="162" w:lineRule="exact"/>
              <w:rPr>
                <w:sz w:val="20"/>
                <w:szCs w:val="20"/>
                <w:color w:val="auto"/>
              </w:rPr>
            </w:pPr>
            <w:r>
              <w:rPr>
                <w:rFonts w:ascii="Arial" w:cs="Arial" w:eastAsia="Arial" w:hAnsi="Arial"/>
                <w:sz w:val="15"/>
                <w:szCs w:val="15"/>
                <w:color w:val="auto"/>
              </w:rPr>
              <w:t>198,291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197,053</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204,478</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196,289</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192,982</w:t>
            </w:r>
          </w:p>
        </w:tc>
        <w:tc>
          <w:tcPr>
            <w:tcW w:w="0" w:type="dxa"/>
            <w:vAlign w:val="bottom"/>
          </w:tcPr>
          <w:p>
            <w:pPr>
              <w:spacing w:after="0"/>
              <w:rPr>
                <w:sz w:val="1"/>
                <w:szCs w:val="1"/>
                <w:color w:val="auto"/>
              </w:rPr>
            </w:pPr>
          </w:p>
        </w:tc>
      </w:tr>
      <w:tr>
        <w:trPr>
          <w:trHeight w:val="162"/>
        </w:trPr>
        <w:tc>
          <w:tcPr>
            <w:tcW w:w="3860" w:type="dxa"/>
            <w:vAlign w:val="bottom"/>
            <w:tcBorders>
              <w:bottom w:val="single" w:sz="8" w:color="auto"/>
            </w:tcBorders>
            <w:shd w:val="clear" w:color="auto" w:fill="CFF0FC"/>
          </w:tcPr>
          <w:p>
            <w:pPr>
              <w:ind w:left="40"/>
              <w:spacing w:after="0" w:line="162" w:lineRule="exact"/>
              <w:rPr>
                <w:sz w:val="20"/>
                <w:szCs w:val="20"/>
                <w:color w:val="auto"/>
              </w:rPr>
            </w:pPr>
            <w:r>
              <w:rPr>
                <w:rFonts w:ascii="Arial" w:cs="Arial" w:eastAsia="Arial" w:hAnsi="Arial"/>
                <w:sz w:val="15"/>
                <w:szCs w:val="15"/>
                <w:color w:val="auto"/>
              </w:rPr>
              <w:t>Other liabilities</w:t>
            </w:r>
          </w:p>
        </w:tc>
        <w:tc>
          <w:tcPr>
            <w:tcW w:w="2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Arial" w:cs="Arial" w:eastAsia="Arial" w:hAnsi="Arial"/>
                <w:sz w:val="15"/>
                <w:szCs w:val="15"/>
                <w:color w:val="auto"/>
              </w:rPr>
              <w:t>30,535</w:t>
            </w:r>
          </w:p>
        </w:tc>
        <w:tc>
          <w:tcPr>
            <w:tcW w:w="2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29,436</w:t>
            </w:r>
          </w:p>
        </w:tc>
        <w:tc>
          <w:tcPr>
            <w:tcW w:w="2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29,850</w:t>
            </w:r>
          </w:p>
        </w:tc>
        <w:tc>
          <w:tcPr>
            <w:tcW w:w="2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30,050</w:t>
            </w:r>
          </w:p>
        </w:tc>
        <w:tc>
          <w:tcPr>
            <w:tcW w:w="2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Arial" w:cs="Arial" w:eastAsia="Arial" w:hAnsi="Arial"/>
                <w:sz w:val="15"/>
                <w:szCs w:val="15"/>
                <w:color w:val="auto"/>
              </w:rPr>
              <w:t>29,320</w:t>
            </w:r>
          </w:p>
        </w:tc>
        <w:tc>
          <w:tcPr>
            <w:tcW w:w="0" w:type="dxa"/>
            <w:vAlign w:val="bottom"/>
          </w:tcPr>
          <w:p>
            <w:pPr>
              <w:spacing w:after="0"/>
              <w:rPr>
                <w:sz w:val="1"/>
                <w:szCs w:val="1"/>
                <w:color w:val="auto"/>
              </w:rPr>
            </w:pPr>
          </w:p>
        </w:tc>
      </w:tr>
      <w:tr>
        <w:trPr>
          <w:trHeight w:val="155"/>
        </w:trPr>
        <w:tc>
          <w:tcPr>
            <w:tcW w:w="3860" w:type="dxa"/>
            <w:vAlign w:val="bottom"/>
            <w:tcBorders>
              <w:bottom w:val="single" w:sz="8" w:color="auto"/>
            </w:tcBorders>
          </w:tcPr>
          <w:p>
            <w:pPr>
              <w:ind w:left="80"/>
              <w:spacing w:after="0" w:line="156" w:lineRule="exact"/>
              <w:rPr>
                <w:sz w:val="20"/>
                <w:szCs w:val="20"/>
                <w:color w:val="auto"/>
              </w:rPr>
            </w:pPr>
            <w:r>
              <w:rPr>
                <w:rFonts w:ascii="Arial" w:cs="Arial" w:eastAsia="Arial" w:hAnsi="Arial"/>
                <w:sz w:val="15"/>
                <w:szCs w:val="15"/>
                <w:color w:val="auto"/>
              </w:rPr>
              <w:t>Total liabilities</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rPr>
              <w:t>1,326,280</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1,350,646</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1,354,388</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1,327,989</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1,351,914</w:t>
            </w:r>
          </w:p>
        </w:tc>
        <w:tc>
          <w:tcPr>
            <w:tcW w:w="0" w:type="dxa"/>
            <w:vAlign w:val="bottom"/>
          </w:tcPr>
          <w:p>
            <w:pPr>
              <w:spacing w:after="0"/>
              <w:rPr>
                <w:sz w:val="1"/>
                <w:szCs w:val="1"/>
                <w:color w:val="auto"/>
              </w:rPr>
            </w:pPr>
          </w:p>
        </w:tc>
      </w:tr>
      <w:tr>
        <w:trPr>
          <w:trHeight w:val="156"/>
        </w:trPr>
        <w:tc>
          <w:tcPr>
            <w:tcW w:w="3860" w:type="dxa"/>
            <w:vAlign w:val="bottom"/>
            <w:tcBorders>
              <w:bottom w:val="single" w:sz="8" w:color="auto"/>
            </w:tcBorders>
            <w:shd w:val="clear" w:color="auto" w:fill="CFF0FC"/>
          </w:tcPr>
          <w:p>
            <w:pPr>
              <w:spacing w:after="0" w:line="156" w:lineRule="exact"/>
              <w:rPr>
                <w:sz w:val="20"/>
                <w:szCs w:val="20"/>
                <w:color w:val="auto"/>
              </w:rPr>
            </w:pPr>
            <w:r>
              <w:rPr>
                <w:rFonts w:ascii="Arial" w:cs="Arial" w:eastAsia="Arial" w:hAnsi="Arial"/>
                <w:sz w:val="15"/>
                <w:szCs w:val="15"/>
                <w:color w:val="auto"/>
              </w:rPr>
              <w:t>Shareholders' equity</w:t>
            </w:r>
          </w:p>
        </w:tc>
        <w:tc>
          <w:tcPr>
            <w:tcW w:w="24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Arial" w:cs="Arial" w:eastAsia="Arial" w:hAnsi="Arial"/>
                <w:sz w:val="15"/>
                <w:szCs w:val="15"/>
                <w:color w:val="auto"/>
              </w:rPr>
              <w:t>124,719</w:t>
            </w:r>
          </w:p>
        </w:tc>
        <w:tc>
          <w:tcPr>
            <w:tcW w:w="24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124,968</w:t>
            </w:r>
          </w:p>
        </w:tc>
        <w:tc>
          <w:tcPr>
            <w:tcW w:w="2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125,401</w:t>
            </w:r>
          </w:p>
        </w:tc>
        <w:tc>
          <w:tcPr>
            <w:tcW w:w="2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124,730</w:t>
            </w:r>
          </w:p>
        </w:tc>
        <w:tc>
          <w:tcPr>
            <w:tcW w:w="2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ind w:right="44"/>
              <w:spacing w:after="0" w:line="156" w:lineRule="exact"/>
              <w:rPr>
                <w:sz w:val="20"/>
                <w:szCs w:val="20"/>
                <w:color w:val="auto"/>
              </w:rPr>
            </w:pPr>
            <w:r>
              <w:rPr>
                <w:rFonts w:ascii="Arial" w:cs="Arial" w:eastAsia="Arial" w:hAnsi="Arial"/>
                <w:sz w:val="15"/>
                <w:szCs w:val="15"/>
                <w:color w:val="auto"/>
              </w:rPr>
              <w:t>126,211</w:t>
            </w:r>
          </w:p>
        </w:tc>
        <w:tc>
          <w:tcPr>
            <w:tcW w:w="0" w:type="dxa"/>
            <w:vAlign w:val="bottom"/>
          </w:tcPr>
          <w:p>
            <w:pPr>
              <w:spacing w:after="0"/>
              <w:rPr>
                <w:sz w:val="1"/>
                <w:szCs w:val="1"/>
                <w:color w:val="auto"/>
              </w:rPr>
            </w:pPr>
          </w:p>
        </w:tc>
      </w:tr>
      <w:tr>
        <w:trPr>
          <w:trHeight w:val="155"/>
        </w:trPr>
        <w:tc>
          <w:tcPr>
            <w:tcW w:w="3860" w:type="dxa"/>
            <w:vAlign w:val="bottom"/>
          </w:tcPr>
          <w:p>
            <w:pPr>
              <w:ind w:left="80"/>
              <w:spacing w:after="0" w:line="156" w:lineRule="exact"/>
              <w:rPr>
                <w:sz w:val="20"/>
                <w:szCs w:val="20"/>
                <w:color w:val="auto"/>
              </w:rPr>
            </w:pPr>
            <w:r>
              <w:rPr>
                <w:rFonts w:ascii="Arial" w:cs="Arial" w:eastAsia="Arial" w:hAnsi="Arial"/>
                <w:sz w:val="15"/>
                <w:szCs w:val="15"/>
                <w:color w:val="auto"/>
              </w:rPr>
              <w:t>Total liabilities &amp; shareholders' equity</w:t>
            </w:r>
          </w:p>
        </w:tc>
        <w:tc>
          <w:tcPr>
            <w:tcW w:w="520" w:type="dxa"/>
            <w:vAlign w:val="bottom"/>
            <w:gridSpan w:val="2"/>
          </w:tcPr>
          <w:p>
            <w:pPr>
              <w:jc w:val="right"/>
              <w:ind w:right="124"/>
              <w:spacing w:after="0" w:line="156" w:lineRule="exact"/>
              <w:rPr>
                <w:sz w:val="20"/>
                <w:szCs w:val="20"/>
                <w:color w:val="auto"/>
              </w:rPr>
            </w:pPr>
            <w:r>
              <w:rPr>
                <w:rFonts w:ascii="Arial" w:cs="Arial" w:eastAsia="Arial" w:hAnsi="Arial"/>
                <w:sz w:val="15"/>
                <w:szCs w:val="15"/>
                <w:color w:val="auto"/>
              </w:rPr>
              <w:t>$</w:t>
            </w:r>
          </w:p>
        </w:tc>
        <w:tc>
          <w:tcPr>
            <w:tcW w:w="1000" w:type="dxa"/>
            <w:vAlign w:val="bottom"/>
          </w:tcPr>
          <w:p>
            <w:pPr>
              <w:jc w:val="right"/>
              <w:ind w:right="64"/>
              <w:spacing w:after="0" w:line="156" w:lineRule="exact"/>
              <w:rPr>
                <w:sz w:val="20"/>
                <w:szCs w:val="20"/>
                <w:color w:val="auto"/>
              </w:rPr>
            </w:pPr>
            <w:r>
              <w:rPr>
                <w:rFonts w:ascii="Arial" w:cs="Arial" w:eastAsia="Arial" w:hAnsi="Arial"/>
                <w:sz w:val="15"/>
                <w:szCs w:val="15"/>
                <w:color w:val="auto"/>
              </w:rPr>
              <w:t>1,450,999</w:t>
            </w:r>
          </w:p>
        </w:tc>
        <w:tc>
          <w:tcPr>
            <w:tcW w:w="500" w:type="dxa"/>
            <w:vAlign w:val="bottom"/>
            <w:gridSpan w:val="2"/>
          </w:tcPr>
          <w:p>
            <w:pPr>
              <w:jc w:val="right"/>
              <w:ind w:right="180"/>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44"/>
              <w:spacing w:after="0" w:line="156" w:lineRule="exact"/>
              <w:rPr>
                <w:sz w:val="20"/>
                <w:szCs w:val="20"/>
                <w:color w:val="auto"/>
              </w:rPr>
            </w:pPr>
            <w:r>
              <w:rPr>
                <w:rFonts w:ascii="Arial" w:cs="Arial" w:eastAsia="Arial" w:hAnsi="Arial"/>
                <w:sz w:val="15"/>
                <w:szCs w:val="15"/>
                <w:color w:val="auto"/>
              </w:rPr>
              <w:t>1,475,614</w:t>
            </w:r>
          </w:p>
        </w:tc>
        <w:tc>
          <w:tcPr>
            <w:tcW w:w="480" w:type="dxa"/>
            <w:vAlign w:val="bottom"/>
            <w:gridSpan w:val="2"/>
          </w:tcPr>
          <w:p>
            <w:pPr>
              <w:jc w:val="right"/>
              <w:ind w:right="180"/>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44"/>
              <w:spacing w:after="0" w:line="156" w:lineRule="exact"/>
              <w:rPr>
                <w:sz w:val="20"/>
                <w:szCs w:val="20"/>
                <w:color w:val="auto"/>
              </w:rPr>
            </w:pPr>
            <w:r>
              <w:rPr>
                <w:rFonts w:ascii="Arial" w:cs="Arial" w:eastAsia="Arial" w:hAnsi="Arial"/>
                <w:sz w:val="15"/>
                <w:szCs w:val="15"/>
                <w:color w:val="auto"/>
              </w:rPr>
              <w:t>1,479,789</w:t>
            </w:r>
          </w:p>
        </w:tc>
        <w:tc>
          <w:tcPr>
            <w:tcW w:w="220" w:type="dxa"/>
            <w:vAlign w:val="bottom"/>
          </w:tcPr>
          <w:p>
            <w:pPr>
              <w:spacing w:after="0"/>
              <w:rPr>
                <w:sz w:val="13"/>
                <w:szCs w:val="13"/>
                <w:color w:val="auto"/>
              </w:rPr>
            </w:pPr>
          </w:p>
        </w:tc>
        <w:tc>
          <w:tcPr>
            <w:tcW w:w="260" w:type="dxa"/>
            <w:vAlign w:val="bottom"/>
          </w:tcPr>
          <w:p>
            <w:pPr>
              <w:jc w:val="right"/>
              <w:ind w:right="104"/>
              <w:spacing w:after="0" w:line="156" w:lineRule="exact"/>
              <w:rPr>
                <w:sz w:val="20"/>
                <w:szCs w:val="20"/>
                <w:color w:val="auto"/>
              </w:rPr>
            </w:pPr>
            <w:r>
              <w:rPr>
                <w:rFonts w:ascii="Arial" w:cs="Arial" w:eastAsia="Arial" w:hAnsi="Arial"/>
                <w:sz w:val="15"/>
                <w:szCs w:val="15"/>
                <w:color w:val="auto"/>
                <w:w w:val="71"/>
              </w:rPr>
              <w:t>$</w:t>
            </w:r>
          </w:p>
        </w:tc>
        <w:tc>
          <w:tcPr>
            <w:tcW w:w="980" w:type="dxa"/>
            <w:vAlign w:val="bottom"/>
          </w:tcPr>
          <w:p>
            <w:pPr>
              <w:jc w:val="right"/>
              <w:ind w:right="44"/>
              <w:spacing w:after="0" w:line="156" w:lineRule="exact"/>
              <w:rPr>
                <w:sz w:val="20"/>
                <w:szCs w:val="20"/>
                <w:color w:val="auto"/>
              </w:rPr>
            </w:pPr>
            <w:r>
              <w:rPr>
                <w:rFonts w:ascii="Arial" w:cs="Arial" w:eastAsia="Arial" w:hAnsi="Arial"/>
                <w:sz w:val="15"/>
                <w:szCs w:val="15"/>
                <w:color w:val="auto"/>
              </w:rPr>
              <w:t>1,452,719</w:t>
            </w:r>
          </w:p>
        </w:tc>
        <w:tc>
          <w:tcPr>
            <w:tcW w:w="480" w:type="dxa"/>
            <w:vAlign w:val="bottom"/>
            <w:gridSpan w:val="2"/>
          </w:tcPr>
          <w:p>
            <w:pPr>
              <w:jc w:val="right"/>
              <w:ind w:right="180"/>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44"/>
              <w:spacing w:after="0" w:line="156" w:lineRule="exact"/>
              <w:rPr>
                <w:sz w:val="20"/>
                <w:szCs w:val="20"/>
                <w:color w:val="auto"/>
              </w:rPr>
            </w:pPr>
            <w:r>
              <w:rPr>
                <w:rFonts w:ascii="Arial" w:cs="Arial" w:eastAsia="Arial" w:hAnsi="Arial"/>
                <w:sz w:val="15"/>
                <w:szCs w:val="15"/>
                <w:color w:val="auto"/>
              </w:rPr>
              <w:t>1,478,125</w:t>
            </w:r>
          </w:p>
        </w:tc>
        <w:tc>
          <w:tcPr>
            <w:tcW w:w="0" w:type="dxa"/>
            <w:vAlign w:val="bottom"/>
          </w:tcPr>
          <w:p>
            <w:pPr>
              <w:spacing w:after="0"/>
              <w:rPr>
                <w:sz w:val="1"/>
                <w:szCs w:val="1"/>
                <w:color w:val="auto"/>
              </w:rPr>
            </w:pPr>
          </w:p>
        </w:tc>
      </w:tr>
      <w:tr>
        <w:trPr>
          <w:trHeight w:val="20"/>
        </w:trPr>
        <w:tc>
          <w:tcPr>
            <w:tcW w:w="3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-2279650</wp:posOffset>
            </wp:positionV>
            <wp:extent cx="1454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-2279650</wp:posOffset>
            </wp:positionV>
            <wp:extent cx="14605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-2279650</wp:posOffset>
            </wp:positionV>
            <wp:extent cx="137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-2279650</wp:posOffset>
            </wp:positionV>
            <wp:extent cx="137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-2279650</wp:posOffset>
            </wp:positionV>
            <wp:extent cx="137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-1636395</wp:posOffset>
            </wp:positionV>
            <wp:extent cx="1454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-1619885</wp:posOffset>
            </wp:positionV>
            <wp:extent cx="14541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-1636395</wp:posOffset>
            </wp:positionV>
            <wp:extent cx="14605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-1619885</wp:posOffset>
            </wp:positionV>
            <wp:extent cx="14605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-1636395</wp:posOffset>
            </wp:positionV>
            <wp:extent cx="137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-1619885</wp:posOffset>
            </wp:positionV>
            <wp:extent cx="1371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-1636395</wp:posOffset>
            </wp:positionV>
            <wp:extent cx="137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-1619885</wp:posOffset>
            </wp:positionV>
            <wp:extent cx="13716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-1636395</wp:posOffset>
            </wp:positionV>
            <wp:extent cx="1371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-1619885</wp:posOffset>
            </wp:positionV>
            <wp:extent cx="1371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-788035</wp:posOffset>
            </wp:positionV>
            <wp:extent cx="1454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-788035</wp:posOffset>
            </wp:positionV>
            <wp:extent cx="14605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-788035</wp:posOffset>
            </wp:positionV>
            <wp:extent cx="1371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-788035</wp:posOffset>
            </wp:positionV>
            <wp:extent cx="137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-788035</wp:posOffset>
            </wp:positionV>
            <wp:extent cx="137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-359410</wp:posOffset>
            </wp:positionV>
            <wp:extent cx="1454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-359410</wp:posOffset>
            </wp:positionV>
            <wp:extent cx="14605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-359410</wp:posOffset>
            </wp:positionV>
            <wp:extent cx="137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-359410</wp:posOffset>
            </wp:positionV>
            <wp:extent cx="1371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-359410</wp:posOffset>
            </wp:positionV>
            <wp:extent cx="137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-136525</wp:posOffset>
            </wp:positionV>
            <wp:extent cx="1454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-136525</wp:posOffset>
            </wp:positionV>
            <wp:extent cx="14605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-136525</wp:posOffset>
            </wp:positionV>
            <wp:extent cx="137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-136525</wp:posOffset>
            </wp:positionV>
            <wp:extent cx="137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-136525</wp:posOffset>
            </wp:positionV>
            <wp:extent cx="137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SELECTED AVERAGE YIELDS:</w:t>
            </w:r>
          </w:p>
        </w:tc>
        <w:tc>
          <w:tcPr>
            <w:tcW w:w="2820" w:type="dxa"/>
            <w:vAlign w:val="bottom"/>
            <w:gridSpan w:val="3"/>
          </w:tcPr>
          <w:p>
            <w:pPr>
              <w:jc w:val="right"/>
              <w:ind w:right="164"/>
              <w:spacing w:after="0"/>
              <w:rPr>
                <w:sz w:val="20"/>
                <w:szCs w:val="20"/>
                <w:color w:val="auto"/>
              </w:rPr>
            </w:pPr>
            <w:r>
              <w:rPr>
                <w:rFonts w:ascii="Arial" w:cs="Arial" w:eastAsia="Arial" w:hAnsi="Arial"/>
                <w:sz w:val="15"/>
                <w:szCs w:val="15"/>
                <w:b w:val="1"/>
                <w:bCs w:val="1"/>
                <w:color w:val="auto"/>
              </w:rPr>
              <w:t>Nine Months Ended September 30,</w:t>
            </w:r>
          </w:p>
        </w:tc>
        <w:tc>
          <w:tcPr>
            <w:tcW w:w="2000" w:type="dxa"/>
            <w:vAlign w:val="bottom"/>
            <w:gridSpan w:val="4"/>
          </w:tcPr>
          <w:p>
            <w:pPr>
              <w:jc w:val="right"/>
              <w:ind w:right="360"/>
              <w:spacing w:after="0"/>
              <w:rPr>
                <w:sz w:val="20"/>
                <w:szCs w:val="20"/>
                <w:color w:val="auto"/>
              </w:rPr>
            </w:pPr>
            <w:r>
              <w:rPr>
                <w:rFonts w:ascii="Arial" w:cs="Arial" w:eastAsia="Arial" w:hAnsi="Arial"/>
                <w:sz w:val="15"/>
                <w:szCs w:val="15"/>
                <w:b w:val="1"/>
                <w:bCs w:val="1"/>
                <w:color w:val="auto"/>
              </w:rPr>
              <w:t>2026</w:t>
            </w:r>
          </w:p>
        </w:tc>
        <w:tc>
          <w:tcPr>
            <w:tcW w:w="980" w:type="dxa"/>
            <w:vAlign w:val="bottom"/>
          </w:tcPr>
          <w:p>
            <w:pPr>
              <w:spacing w:after="0"/>
              <w:rPr>
                <w:sz w:val="15"/>
                <w:szCs w:val="15"/>
                <w:color w:val="auto"/>
              </w:rPr>
            </w:pPr>
          </w:p>
        </w:tc>
        <w:tc>
          <w:tcPr>
            <w:tcW w:w="1500" w:type="dxa"/>
            <w:vAlign w:val="bottom"/>
            <w:gridSpan w:val="2"/>
          </w:tcPr>
          <w:p>
            <w:pPr>
              <w:jc w:val="right"/>
              <w:ind w:right="104"/>
              <w:spacing w:after="0"/>
              <w:rPr>
                <w:sz w:val="20"/>
                <w:szCs w:val="20"/>
                <w:color w:val="auto"/>
              </w:rPr>
            </w:pPr>
            <w:r>
              <w:rPr>
                <w:rFonts w:ascii="Arial" w:cs="Arial" w:eastAsia="Arial" w:hAnsi="Arial"/>
                <w:sz w:val="15"/>
                <w:szCs w:val="15"/>
                <w:b w:val="1"/>
                <w:bCs w:val="1"/>
                <w:color w:val="auto"/>
              </w:rPr>
              <w:t>2025</w:t>
            </w:r>
          </w:p>
        </w:tc>
        <w:tc>
          <w:tcPr>
            <w:tcW w:w="0" w:type="dxa"/>
            <w:vAlign w:val="bottom"/>
          </w:tcPr>
          <w:p>
            <w:pPr>
              <w:spacing w:after="0"/>
              <w:rPr>
                <w:sz w:val="1"/>
                <w:szCs w:val="1"/>
                <w:color w:val="auto"/>
              </w:rPr>
            </w:pPr>
          </w:p>
        </w:tc>
      </w:tr>
      <w:tr>
        <w:trPr>
          <w:trHeight w:val="155"/>
        </w:trPr>
        <w:tc>
          <w:tcPr>
            <w:tcW w:w="3940" w:type="dxa"/>
            <w:vAlign w:val="bottom"/>
            <w:gridSpan w:val="2"/>
            <w:vMerge w:val="continue"/>
          </w:tcPr>
          <w:p>
            <w:pPr>
              <w:spacing w:after="0"/>
              <w:rPr>
                <w:sz w:val="13"/>
                <w:szCs w:val="13"/>
                <w:color w:val="auto"/>
              </w:rPr>
            </w:pPr>
          </w:p>
        </w:tc>
        <w:tc>
          <w:tcPr>
            <w:tcW w:w="1340" w:type="dxa"/>
            <w:vAlign w:val="bottom"/>
            <w:tcBorders>
              <w:top w:val="single" w:sz="8" w:color="auto"/>
            </w:tcBorders>
          </w:tcPr>
          <w:p>
            <w:pPr>
              <w:jc w:val="right"/>
              <w:ind w:right="104"/>
              <w:spacing w:after="0" w:line="156" w:lineRule="exact"/>
              <w:rPr>
                <w:sz w:val="20"/>
                <w:szCs w:val="20"/>
                <w:color w:val="auto"/>
              </w:rPr>
            </w:pPr>
            <w:r>
              <w:rPr>
                <w:rFonts w:ascii="Arial" w:cs="Arial" w:eastAsia="Arial" w:hAnsi="Arial"/>
                <w:sz w:val="15"/>
                <w:szCs w:val="15"/>
                <w:b w:val="1"/>
                <w:bCs w:val="1"/>
                <w:color w:val="auto"/>
              </w:rPr>
              <w:t>2026</w:t>
            </w:r>
          </w:p>
        </w:tc>
        <w:tc>
          <w:tcPr>
            <w:tcW w:w="1480" w:type="dxa"/>
            <w:vAlign w:val="bottom"/>
            <w:tcBorders>
              <w:top w:val="single" w:sz="8" w:color="auto"/>
            </w:tcBorders>
            <w:gridSpan w:val="2"/>
          </w:tcPr>
          <w:p>
            <w:pPr>
              <w:jc w:val="right"/>
              <w:ind w:right="104"/>
              <w:spacing w:after="0" w:line="156" w:lineRule="exact"/>
              <w:rPr>
                <w:sz w:val="20"/>
                <w:szCs w:val="20"/>
                <w:color w:val="auto"/>
              </w:rPr>
            </w:pPr>
            <w:r>
              <w:rPr>
                <w:rFonts w:ascii="Arial" w:cs="Arial" w:eastAsia="Arial" w:hAnsi="Arial"/>
                <w:sz w:val="15"/>
                <w:szCs w:val="15"/>
                <w:b w:val="1"/>
                <w:bCs w:val="1"/>
                <w:color w:val="auto"/>
              </w:rPr>
              <w:t>2025</w:t>
            </w:r>
          </w:p>
        </w:tc>
        <w:tc>
          <w:tcPr>
            <w:tcW w:w="140" w:type="dxa"/>
            <w:vAlign w:val="bottom"/>
          </w:tcPr>
          <w:p>
            <w:pPr>
              <w:spacing w:after="0"/>
              <w:rPr>
                <w:sz w:val="13"/>
                <w:szCs w:val="13"/>
                <w:color w:val="auto"/>
              </w:rPr>
            </w:pPr>
          </w:p>
        </w:tc>
        <w:tc>
          <w:tcPr>
            <w:tcW w:w="1860" w:type="dxa"/>
            <w:vAlign w:val="bottom"/>
            <w:tcBorders>
              <w:top w:val="single" w:sz="8" w:color="auto"/>
            </w:tcBorders>
            <w:gridSpan w:val="3"/>
          </w:tcPr>
          <w:p>
            <w:pPr>
              <w:jc w:val="right"/>
              <w:ind w:right="700"/>
              <w:spacing w:after="0" w:line="156" w:lineRule="exact"/>
              <w:rPr>
                <w:sz w:val="20"/>
                <w:szCs w:val="20"/>
                <w:color w:val="auto"/>
              </w:rPr>
            </w:pPr>
            <w:r>
              <w:rPr>
                <w:rFonts w:ascii="Arial" w:cs="Arial" w:eastAsia="Arial" w:hAnsi="Arial"/>
                <w:sz w:val="15"/>
                <w:szCs w:val="15"/>
                <w:b w:val="1"/>
                <w:bCs w:val="1"/>
                <w:color w:val="auto"/>
              </w:rPr>
              <w:t>Q3</w:t>
            </w:r>
          </w:p>
        </w:tc>
        <w:tc>
          <w:tcPr>
            <w:tcW w:w="980" w:type="dxa"/>
            <w:vAlign w:val="bottom"/>
            <w:tcBorders>
              <w:top w:val="single" w:sz="8" w:color="auto"/>
            </w:tcBorders>
          </w:tcPr>
          <w:p>
            <w:pPr>
              <w:jc w:val="right"/>
              <w:ind w:right="104"/>
              <w:spacing w:after="0" w:line="156" w:lineRule="exact"/>
              <w:rPr>
                <w:sz w:val="20"/>
                <w:szCs w:val="20"/>
                <w:color w:val="auto"/>
              </w:rPr>
            </w:pPr>
            <w:r>
              <w:rPr>
                <w:rFonts w:ascii="Arial" w:cs="Arial" w:eastAsia="Arial" w:hAnsi="Arial"/>
                <w:sz w:val="15"/>
                <w:szCs w:val="15"/>
                <w:b w:val="1"/>
                <w:bCs w:val="1"/>
                <w:color w:val="auto"/>
              </w:rPr>
              <w:t>Q2</w:t>
            </w:r>
          </w:p>
        </w:tc>
        <w:tc>
          <w:tcPr>
            <w:tcW w:w="140" w:type="dxa"/>
            <w:vAlign w:val="bottom"/>
          </w:tcPr>
          <w:p>
            <w:pPr>
              <w:spacing w:after="0"/>
              <w:rPr>
                <w:sz w:val="13"/>
                <w:szCs w:val="13"/>
                <w:color w:val="auto"/>
              </w:rPr>
            </w:pPr>
          </w:p>
        </w:tc>
        <w:tc>
          <w:tcPr>
            <w:tcW w:w="1360" w:type="dxa"/>
            <w:vAlign w:val="bottom"/>
            <w:tcBorders>
              <w:top w:val="single" w:sz="8" w:color="auto"/>
            </w:tcBorders>
          </w:tcPr>
          <w:p>
            <w:pPr>
              <w:jc w:val="right"/>
              <w:ind w:right="104"/>
              <w:spacing w:after="0" w:line="156" w:lineRule="exact"/>
              <w:rPr>
                <w:sz w:val="20"/>
                <w:szCs w:val="20"/>
                <w:color w:val="auto"/>
              </w:rPr>
            </w:pPr>
            <w:r>
              <w:rPr>
                <w:rFonts w:ascii="Arial" w:cs="Arial" w:eastAsia="Arial" w:hAnsi="Arial"/>
                <w:sz w:val="15"/>
                <w:szCs w:val="15"/>
                <w:b w:val="1"/>
                <w:bCs w:val="1"/>
                <w:color w:val="auto"/>
              </w:rPr>
              <w:t>Q3</w:t>
            </w:r>
          </w:p>
        </w:tc>
        <w:tc>
          <w:tcPr>
            <w:tcW w:w="0" w:type="dxa"/>
            <w:vAlign w:val="bottom"/>
          </w:tcPr>
          <w:p>
            <w:pPr>
              <w:spacing w:after="0"/>
              <w:rPr>
                <w:sz w:val="1"/>
                <w:szCs w:val="1"/>
                <w:color w:val="auto"/>
              </w:rPr>
            </w:pPr>
          </w:p>
        </w:tc>
      </w:tr>
      <w:tr>
        <w:trPr>
          <w:trHeight w:val="156"/>
        </w:trPr>
        <w:tc>
          <w:tcPr>
            <w:tcW w:w="378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Interest-earning assets:</w:t>
            </w:r>
          </w:p>
        </w:tc>
        <w:tc>
          <w:tcPr>
            <w:tcW w:w="16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40" w:type="dxa"/>
            <w:vAlign w:val="bottom"/>
            <w:gridSpan w:val="2"/>
            <w:shd w:val="clear" w:color="auto" w:fill="CFF0FC"/>
          </w:tcPr>
          <w:p>
            <w:pPr>
              <w:ind w:left="40"/>
              <w:spacing w:after="0" w:line="162" w:lineRule="exact"/>
              <w:rPr>
                <w:sz w:val="20"/>
                <w:szCs w:val="20"/>
                <w:color w:val="auto"/>
              </w:rPr>
            </w:pPr>
            <w:r>
              <w:rPr>
                <w:rFonts w:ascii="Arial" w:cs="Arial" w:eastAsia="Arial" w:hAnsi="Arial"/>
                <w:sz w:val="15"/>
                <w:szCs w:val="15"/>
                <w:color w:val="auto"/>
              </w:rPr>
              <w:t>Loans</w:t>
            </w:r>
          </w:p>
        </w:tc>
        <w:tc>
          <w:tcPr>
            <w:tcW w:w="134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5.60%</w:t>
            </w:r>
          </w:p>
        </w:tc>
        <w:tc>
          <w:tcPr>
            <w:tcW w:w="148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5"/>
                <w:szCs w:val="15"/>
                <w:color w:val="auto"/>
              </w:rPr>
              <w:t>5.94%</w:t>
            </w:r>
          </w:p>
        </w:tc>
        <w:tc>
          <w:tcPr>
            <w:tcW w:w="148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5"/>
                <w:szCs w:val="15"/>
                <w:color w:val="auto"/>
              </w:rPr>
              <w:t>5.72%</w:t>
            </w: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5.59%</w:t>
            </w:r>
          </w:p>
        </w:tc>
        <w:tc>
          <w:tcPr>
            <w:tcW w:w="150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5"/>
                <w:szCs w:val="15"/>
                <w:color w:val="auto"/>
              </w:rPr>
              <w:t>6.09%</w:t>
            </w:r>
          </w:p>
        </w:tc>
        <w:tc>
          <w:tcPr>
            <w:tcW w:w="0" w:type="dxa"/>
            <w:vAlign w:val="bottom"/>
          </w:tcPr>
          <w:p>
            <w:pPr>
              <w:spacing w:after="0"/>
              <w:rPr>
                <w:sz w:val="1"/>
                <w:szCs w:val="1"/>
                <w:color w:val="auto"/>
              </w:rPr>
            </w:pPr>
          </w:p>
        </w:tc>
      </w:tr>
      <w:tr>
        <w:trPr>
          <w:trHeight w:val="162"/>
        </w:trPr>
        <w:tc>
          <w:tcPr>
            <w:tcW w:w="394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Taxable investment securities</w:t>
            </w:r>
          </w:p>
        </w:tc>
        <w:tc>
          <w:tcPr>
            <w:tcW w:w="1340" w:type="dxa"/>
            <w:vAlign w:val="bottom"/>
          </w:tcPr>
          <w:p>
            <w:pPr>
              <w:jc w:val="right"/>
              <w:spacing w:after="0" w:line="162" w:lineRule="exact"/>
              <w:rPr>
                <w:sz w:val="20"/>
                <w:szCs w:val="20"/>
                <w:color w:val="auto"/>
              </w:rPr>
            </w:pPr>
            <w:r>
              <w:rPr>
                <w:rFonts w:ascii="Arial" w:cs="Arial" w:eastAsia="Arial" w:hAnsi="Arial"/>
                <w:sz w:val="15"/>
                <w:szCs w:val="15"/>
                <w:color w:val="auto"/>
              </w:rPr>
              <w:t>4.82%</w:t>
            </w:r>
          </w:p>
        </w:tc>
        <w:tc>
          <w:tcPr>
            <w:tcW w:w="14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5.04%</w:t>
            </w:r>
          </w:p>
        </w:tc>
        <w:tc>
          <w:tcPr>
            <w:tcW w:w="14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4.80%</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4.77%</w:t>
            </w:r>
          </w:p>
        </w:tc>
        <w:tc>
          <w:tcPr>
            <w:tcW w:w="15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4.96%</w:t>
            </w:r>
          </w:p>
        </w:tc>
        <w:tc>
          <w:tcPr>
            <w:tcW w:w="0" w:type="dxa"/>
            <w:vAlign w:val="bottom"/>
          </w:tcPr>
          <w:p>
            <w:pPr>
              <w:spacing w:after="0"/>
              <w:rPr>
                <w:sz w:val="1"/>
                <w:szCs w:val="1"/>
                <w:color w:val="auto"/>
              </w:rPr>
            </w:pPr>
          </w:p>
        </w:tc>
      </w:tr>
      <w:tr>
        <w:trPr>
          <w:trHeight w:val="162"/>
        </w:trPr>
        <w:tc>
          <w:tcPr>
            <w:tcW w:w="3940" w:type="dxa"/>
            <w:vAlign w:val="bottom"/>
            <w:gridSpan w:val="2"/>
            <w:shd w:val="clear" w:color="auto" w:fill="CFF0FC"/>
          </w:tcPr>
          <w:p>
            <w:pPr>
              <w:ind w:left="40"/>
              <w:spacing w:after="0" w:line="162" w:lineRule="exact"/>
              <w:rPr>
                <w:sz w:val="20"/>
                <w:szCs w:val="20"/>
                <w:color w:val="auto"/>
              </w:rPr>
            </w:pPr>
            <w:r>
              <w:rPr>
                <w:rFonts w:ascii="Arial" w:cs="Arial" w:eastAsia="Arial" w:hAnsi="Arial"/>
                <w:sz w:val="15"/>
                <w:szCs w:val="15"/>
                <w:color w:val="auto"/>
              </w:rPr>
              <w:t>Tax-exempt investment securities</w:t>
            </w:r>
          </w:p>
        </w:tc>
        <w:tc>
          <w:tcPr>
            <w:tcW w:w="134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4.33%</w:t>
            </w:r>
          </w:p>
        </w:tc>
        <w:tc>
          <w:tcPr>
            <w:tcW w:w="148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5"/>
                <w:szCs w:val="15"/>
                <w:color w:val="auto"/>
              </w:rPr>
              <w:t>5.15%</w:t>
            </w:r>
          </w:p>
        </w:tc>
        <w:tc>
          <w:tcPr>
            <w:tcW w:w="148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5"/>
                <w:szCs w:val="15"/>
                <w:color w:val="auto"/>
              </w:rPr>
              <w:t>4.55%</w:t>
            </w: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4.45%</w:t>
            </w:r>
          </w:p>
        </w:tc>
        <w:tc>
          <w:tcPr>
            <w:tcW w:w="150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5"/>
                <w:szCs w:val="15"/>
                <w:color w:val="auto"/>
              </w:rPr>
              <w:t>5.36%</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auto"/>
            </w:tcBorders>
          </w:tcPr>
          <w:p>
            <w:pPr>
              <w:ind w:left="40"/>
              <w:spacing w:after="0" w:line="162" w:lineRule="exact"/>
              <w:rPr>
                <w:sz w:val="20"/>
                <w:szCs w:val="20"/>
                <w:color w:val="auto"/>
              </w:rPr>
            </w:pPr>
            <w:r>
              <w:rPr>
                <w:rFonts w:ascii="Arial" w:cs="Arial" w:eastAsia="Arial" w:hAnsi="Arial"/>
                <w:sz w:val="15"/>
                <w:szCs w:val="15"/>
                <w:color w:val="auto"/>
              </w:rPr>
              <w:t>Federal funds sold and interest-earning deposits</w:t>
            </w:r>
          </w:p>
        </w:tc>
        <w:tc>
          <w:tcPr>
            <w:tcW w:w="160" w:type="dxa"/>
            <w:vAlign w:val="bottom"/>
          </w:tcPr>
          <w:p>
            <w:pPr>
              <w:spacing w:after="0"/>
              <w:rPr>
                <w:sz w:val="14"/>
                <w:szCs w:val="14"/>
                <w:color w:val="auto"/>
              </w:rPr>
            </w:pPr>
          </w:p>
        </w:tc>
        <w:tc>
          <w:tcPr>
            <w:tcW w:w="13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2.79%</w:t>
            </w:r>
          </w:p>
        </w:tc>
        <w:tc>
          <w:tcPr>
            <w:tcW w:w="140" w:type="dxa"/>
            <w:vAlign w:val="bottom"/>
          </w:tcPr>
          <w:p>
            <w:pPr>
              <w:spacing w:after="0"/>
              <w:rPr>
                <w:sz w:val="14"/>
                <w:szCs w:val="14"/>
                <w:color w:val="auto"/>
              </w:rPr>
            </w:pPr>
          </w:p>
        </w:tc>
        <w:tc>
          <w:tcPr>
            <w:tcW w:w="13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2.89%</w:t>
            </w:r>
          </w:p>
        </w:tc>
        <w:tc>
          <w:tcPr>
            <w:tcW w:w="140" w:type="dxa"/>
            <w:vAlign w:val="bottom"/>
          </w:tcPr>
          <w:p>
            <w:pPr>
              <w:spacing w:after="0"/>
              <w:rPr>
                <w:sz w:val="14"/>
                <w:szCs w:val="14"/>
                <w:color w:val="auto"/>
              </w:rPr>
            </w:pPr>
          </w:p>
        </w:tc>
        <w:tc>
          <w:tcPr>
            <w:tcW w:w="13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2.23%</w:t>
            </w: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3.15%</w:t>
            </w:r>
          </w:p>
        </w:tc>
        <w:tc>
          <w:tcPr>
            <w:tcW w:w="140" w:type="dxa"/>
            <w:vAlign w:val="bottom"/>
          </w:tcPr>
          <w:p>
            <w:pPr>
              <w:spacing w:after="0"/>
              <w:rPr>
                <w:sz w:val="14"/>
                <w:szCs w:val="14"/>
                <w:color w:val="auto"/>
              </w:rPr>
            </w:pPr>
          </w:p>
        </w:tc>
        <w:tc>
          <w:tcPr>
            <w:tcW w:w="13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3.11%</w:t>
            </w:r>
          </w:p>
        </w:tc>
        <w:tc>
          <w:tcPr>
            <w:tcW w:w="0" w:type="dxa"/>
            <w:vAlign w:val="bottom"/>
          </w:tcPr>
          <w:p>
            <w:pPr>
              <w:spacing w:after="0"/>
              <w:rPr>
                <w:sz w:val="1"/>
                <w:szCs w:val="1"/>
                <w:color w:val="auto"/>
              </w:rPr>
            </w:pPr>
          </w:p>
        </w:tc>
      </w:tr>
      <w:tr>
        <w:trPr>
          <w:trHeight w:val="155"/>
        </w:trPr>
        <w:tc>
          <w:tcPr>
            <w:tcW w:w="3780" w:type="dxa"/>
            <w:vAlign w:val="bottom"/>
            <w:tcBorders>
              <w:bottom w:val="single" w:sz="8" w:color="auto"/>
            </w:tcBorders>
            <w:shd w:val="clear" w:color="auto" w:fill="CFF0FC"/>
          </w:tcPr>
          <w:p>
            <w:pPr>
              <w:ind w:left="80"/>
              <w:spacing w:after="0" w:line="156" w:lineRule="exact"/>
              <w:rPr>
                <w:sz w:val="20"/>
                <w:szCs w:val="20"/>
                <w:color w:val="auto"/>
              </w:rPr>
            </w:pPr>
            <w:r>
              <w:rPr>
                <w:rFonts w:ascii="Arial" w:cs="Arial" w:eastAsia="Arial" w:hAnsi="Arial"/>
                <w:sz w:val="15"/>
                <w:szCs w:val="15"/>
                <w:color w:val="auto"/>
              </w:rPr>
              <w:t>Total interest-earning assets</w:t>
            </w:r>
          </w:p>
        </w:tc>
        <w:tc>
          <w:tcPr>
            <w:tcW w:w="160" w:type="dxa"/>
            <w:vAlign w:val="bottom"/>
            <w:tcBorders>
              <w:bottom w:val="single" w:sz="8" w:color="CFF0FC"/>
            </w:tcBorders>
            <w:shd w:val="clear" w:color="auto" w:fill="CFF0FC"/>
          </w:tcPr>
          <w:p>
            <w:pPr>
              <w:spacing w:after="0"/>
              <w:rPr>
                <w:sz w:val="13"/>
                <w:szCs w:val="13"/>
                <w:color w:val="auto"/>
              </w:rPr>
            </w:pPr>
          </w:p>
        </w:tc>
        <w:tc>
          <w:tcPr>
            <w:tcW w:w="134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5.29%</w:t>
            </w:r>
          </w:p>
        </w:tc>
        <w:tc>
          <w:tcPr>
            <w:tcW w:w="140" w:type="dxa"/>
            <w:vAlign w:val="bottom"/>
            <w:tcBorders>
              <w:bottom w:val="single" w:sz="8" w:color="CFF0FC"/>
            </w:tcBorders>
            <w:shd w:val="clear" w:color="auto" w:fill="CFF0FC"/>
          </w:tcPr>
          <w:p>
            <w:pPr>
              <w:spacing w:after="0"/>
              <w:rPr>
                <w:sz w:val="13"/>
                <w:szCs w:val="13"/>
                <w:color w:val="auto"/>
              </w:rPr>
            </w:pPr>
          </w:p>
        </w:tc>
        <w:tc>
          <w:tcPr>
            <w:tcW w:w="134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5.61%</w:t>
            </w:r>
          </w:p>
        </w:tc>
        <w:tc>
          <w:tcPr>
            <w:tcW w:w="140" w:type="dxa"/>
            <w:vAlign w:val="bottom"/>
            <w:tcBorders>
              <w:bottom w:val="single" w:sz="8" w:color="CFF0FC"/>
            </w:tcBorders>
            <w:shd w:val="clear" w:color="auto" w:fill="CFF0FC"/>
          </w:tcPr>
          <w:p>
            <w:pPr>
              <w:spacing w:after="0"/>
              <w:rPr>
                <w:sz w:val="13"/>
                <w:szCs w:val="13"/>
                <w:color w:val="auto"/>
              </w:rPr>
            </w:pPr>
          </w:p>
        </w:tc>
        <w:tc>
          <w:tcPr>
            <w:tcW w:w="134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5.34%</w:t>
            </w:r>
          </w:p>
        </w:tc>
        <w:tc>
          <w:tcPr>
            <w:tcW w:w="16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5.28%</w:t>
            </w:r>
          </w:p>
        </w:tc>
        <w:tc>
          <w:tcPr>
            <w:tcW w:w="140" w:type="dxa"/>
            <w:vAlign w:val="bottom"/>
            <w:tcBorders>
              <w:bottom w:val="single" w:sz="8" w:color="CFF0FC"/>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5.68%</w:t>
            </w:r>
          </w:p>
        </w:tc>
        <w:tc>
          <w:tcPr>
            <w:tcW w:w="0" w:type="dxa"/>
            <w:vAlign w:val="bottom"/>
          </w:tcPr>
          <w:p>
            <w:pPr>
              <w:spacing w:after="0"/>
              <w:rPr>
                <w:sz w:val="1"/>
                <w:szCs w:val="1"/>
                <w:color w:val="auto"/>
              </w:rPr>
            </w:pPr>
          </w:p>
        </w:tc>
      </w:tr>
      <w:tr>
        <w:trPr>
          <w:trHeight w:val="155"/>
        </w:trPr>
        <w:tc>
          <w:tcPr>
            <w:tcW w:w="3940" w:type="dxa"/>
            <w:vAlign w:val="bottom"/>
            <w:gridSpan w:val="2"/>
          </w:tcPr>
          <w:p>
            <w:pPr>
              <w:spacing w:after="0" w:line="156" w:lineRule="exact"/>
              <w:rPr>
                <w:sz w:val="20"/>
                <w:szCs w:val="20"/>
                <w:color w:val="auto"/>
              </w:rPr>
            </w:pPr>
            <w:r>
              <w:rPr>
                <w:rFonts w:ascii="Arial" w:cs="Arial" w:eastAsia="Arial" w:hAnsi="Arial"/>
                <w:sz w:val="15"/>
                <w:szCs w:val="15"/>
                <w:color w:val="auto"/>
              </w:rPr>
              <w:t>Interest-bearing liabilities:</w:t>
            </w: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40" w:type="dxa"/>
            <w:vAlign w:val="bottom"/>
            <w:gridSpan w:val="2"/>
            <w:shd w:val="clear" w:color="auto" w:fill="CFF0FC"/>
          </w:tcPr>
          <w:p>
            <w:pPr>
              <w:ind w:left="40"/>
              <w:spacing w:after="0" w:line="162" w:lineRule="exact"/>
              <w:rPr>
                <w:sz w:val="20"/>
                <w:szCs w:val="20"/>
                <w:color w:val="auto"/>
              </w:rPr>
            </w:pPr>
            <w:r>
              <w:rPr>
                <w:rFonts w:ascii="Arial" w:cs="Arial" w:eastAsia="Arial" w:hAnsi="Arial"/>
                <w:sz w:val="15"/>
                <w:szCs w:val="15"/>
                <w:color w:val="auto"/>
              </w:rPr>
              <w:t>NOW accounts</w:t>
            </w:r>
          </w:p>
        </w:tc>
        <w:tc>
          <w:tcPr>
            <w:tcW w:w="134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1.01%</w:t>
            </w:r>
          </w:p>
        </w:tc>
        <w:tc>
          <w:tcPr>
            <w:tcW w:w="148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5"/>
                <w:szCs w:val="15"/>
                <w:color w:val="auto"/>
              </w:rPr>
              <w:t>1.11%</w:t>
            </w:r>
          </w:p>
        </w:tc>
        <w:tc>
          <w:tcPr>
            <w:tcW w:w="148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5"/>
                <w:szCs w:val="15"/>
                <w:color w:val="auto"/>
              </w:rPr>
              <w:t>1.04%</w:t>
            </w: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1.04%</w:t>
            </w:r>
          </w:p>
        </w:tc>
        <w:tc>
          <w:tcPr>
            <w:tcW w:w="150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162"/>
        </w:trPr>
        <w:tc>
          <w:tcPr>
            <w:tcW w:w="394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Money management accounts</w:t>
            </w:r>
          </w:p>
        </w:tc>
        <w:tc>
          <w:tcPr>
            <w:tcW w:w="1340" w:type="dxa"/>
            <w:vAlign w:val="bottom"/>
          </w:tcPr>
          <w:p>
            <w:pPr>
              <w:jc w:val="right"/>
              <w:spacing w:after="0" w:line="162" w:lineRule="exact"/>
              <w:rPr>
                <w:sz w:val="20"/>
                <w:szCs w:val="20"/>
                <w:color w:val="auto"/>
              </w:rPr>
            </w:pPr>
            <w:r>
              <w:rPr>
                <w:rFonts w:ascii="Arial" w:cs="Arial" w:eastAsia="Arial" w:hAnsi="Arial"/>
                <w:sz w:val="15"/>
                <w:szCs w:val="15"/>
                <w:color w:val="auto"/>
              </w:rPr>
              <w:t>0.09%</w:t>
            </w:r>
          </w:p>
        </w:tc>
        <w:tc>
          <w:tcPr>
            <w:tcW w:w="14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0.11%</w:t>
            </w:r>
          </w:p>
        </w:tc>
        <w:tc>
          <w:tcPr>
            <w:tcW w:w="14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0.10%</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0.09%</w:t>
            </w:r>
          </w:p>
        </w:tc>
        <w:tc>
          <w:tcPr>
            <w:tcW w:w="15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0.12%</w:t>
            </w:r>
          </w:p>
        </w:tc>
        <w:tc>
          <w:tcPr>
            <w:tcW w:w="0" w:type="dxa"/>
            <w:vAlign w:val="bottom"/>
          </w:tcPr>
          <w:p>
            <w:pPr>
              <w:spacing w:after="0"/>
              <w:rPr>
                <w:sz w:val="1"/>
                <w:szCs w:val="1"/>
                <w:color w:val="auto"/>
              </w:rPr>
            </w:pPr>
          </w:p>
        </w:tc>
      </w:tr>
      <w:tr>
        <w:trPr>
          <w:trHeight w:val="162"/>
        </w:trPr>
        <w:tc>
          <w:tcPr>
            <w:tcW w:w="3940" w:type="dxa"/>
            <w:vAlign w:val="bottom"/>
            <w:gridSpan w:val="2"/>
            <w:shd w:val="clear" w:color="auto" w:fill="CFF0FC"/>
          </w:tcPr>
          <w:p>
            <w:pPr>
              <w:ind w:left="40"/>
              <w:spacing w:after="0" w:line="162" w:lineRule="exact"/>
              <w:rPr>
                <w:sz w:val="20"/>
                <w:szCs w:val="20"/>
                <w:color w:val="auto"/>
              </w:rPr>
            </w:pPr>
            <w:r>
              <w:rPr>
                <w:rFonts w:ascii="Arial" w:cs="Arial" w:eastAsia="Arial" w:hAnsi="Arial"/>
                <w:sz w:val="15"/>
                <w:szCs w:val="15"/>
                <w:color w:val="auto"/>
              </w:rPr>
              <w:t>MMDA accounts</w:t>
            </w:r>
          </w:p>
        </w:tc>
        <w:tc>
          <w:tcPr>
            <w:tcW w:w="134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2.69%</w:t>
            </w:r>
          </w:p>
        </w:tc>
        <w:tc>
          <w:tcPr>
            <w:tcW w:w="148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5"/>
                <w:szCs w:val="15"/>
                <w:color w:val="auto"/>
              </w:rPr>
              <w:t>3.17%</w:t>
            </w:r>
          </w:p>
        </w:tc>
        <w:tc>
          <w:tcPr>
            <w:tcW w:w="148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5"/>
                <w:szCs w:val="15"/>
                <w:color w:val="auto"/>
              </w:rPr>
              <w:t>2.71%</w:t>
            </w: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2.71%</w:t>
            </w:r>
          </w:p>
        </w:tc>
        <w:tc>
          <w:tcPr>
            <w:tcW w:w="150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5"/>
                <w:szCs w:val="15"/>
                <w:color w:val="auto"/>
              </w:rPr>
              <w:t>3.20%</w:t>
            </w:r>
          </w:p>
        </w:tc>
        <w:tc>
          <w:tcPr>
            <w:tcW w:w="0" w:type="dxa"/>
            <w:vAlign w:val="bottom"/>
          </w:tcPr>
          <w:p>
            <w:pPr>
              <w:spacing w:after="0"/>
              <w:rPr>
                <w:sz w:val="1"/>
                <w:szCs w:val="1"/>
                <w:color w:val="auto"/>
              </w:rPr>
            </w:pPr>
          </w:p>
        </w:tc>
      </w:tr>
      <w:tr>
        <w:trPr>
          <w:trHeight w:val="162"/>
        </w:trPr>
        <w:tc>
          <w:tcPr>
            <w:tcW w:w="394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Savings and club accounts</w:t>
            </w:r>
          </w:p>
        </w:tc>
        <w:tc>
          <w:tcPr>
            <w:tcW w:w="1340" w:type="dxa"/>
            <w:vAlign w:val="bottom"/>
          </w:tcPr>
          <w:p>
            <w:pPr>
              <w:jc w:val="right"/>
              <w:spacing w:after="0" w:line="162" w:lineRule="exact"/>
              <w:rPr>
                <w:sz w:val="20"/>
                <w:szCs w:val="20"/>
                <w:color w:val="auto"/>
              </w:rPr>
            </w:pPr>
            <w:r>
              <w:rPr>
                <w:rFonts w:ascii="Arial" w:cs="Arial" w:eastAsia="Arial" w:hAnsi="Arial"/>
                <w:sz w:val="15"/>
                <w:szCs w:val="15"/>
                <w:color w:val="auto"/>
              </w:rPr>
              <w:t>0.22%</w:t>
            </w:r>
          </w:p>
        </w:tc>
        <w:tc>
          <w:tcPr>
            <w:tcW w:w="14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0.25%</w:t>
            </w:r>
          </w:p>
        </w:tc>
        <w:tc>
          <w:tcPr>
            <w:tcW w:w="14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0.23%</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0.22%</w:t>
            </w:r>
          </w:p>
        </w:tc>
        <w:tc>
          <w:tcPr>
            <w:tcW w:w="15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r>
        <w:trPr>
          <w:trHeight w:val="162"/>
        </w:trPr>
        <w:tc>
          <w:tcPr>
            <w:tcW w:w="3940" w:type="dxa"/>
            <w:vAlign w:val="bottom"/>
            <w:gridSpan w:val="2"/>
            <w:shd w:val="clear" w:color="auto" w:fill="CFF0FC"/>
          </w:tcPr>
          <w:p>
            <w:pPr>
              <w:ind w:left="40"/>
              <w:spacing w:after="0" w:line="162" w:lineRule="exact"/>
              <w:rPr>
                <w:sz w:val="20"/>
                <w:szCs w:val="20"/>
                <w:color w:val="auto"/>
              </w:rPr>
            </w:pPr>
            <w:r>
              <w:rPr>
                <w:rFonts w:ascii="Arial" w:cs="Arial" w:eastAsia="Arial" w:hAnsi="Arial"/>
                <w:sz w:val="15"/>
                <w:szCs w:val="15"/>
                <w:color w:val="auto"/>
              </w:rPr>
              <w:t>Time deposits</w:t>
            </w:r>
          </w:p>
        </w:tc>
        <w:tc>
          <w:tcPr>
            <w:tcW w:w="134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3.47%</w:t>
            </w:r>
          </w:p>
        </w:tc>
        <w:tc>
          <w:tcPr>
            <w:tcW w:w="148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5"/>
                <w:szCs w:val="15"/>
                <w:color w:val="auto"/>
              </w:rPr>
              <w:t>3.63%</w:t>
            </w:r>
          </w:p>
        </w:tc>
        <w:tc>
          <w:tcPr>
            <w:tcW w:w="148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5"/>
                <w:szCs w:val="15"/>
                <w:color w:val="auto"/>
              </w:rPr>
              <w:t>3.51%</w:t>
            </w: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3.46%</w:t>
            </w:r>
          </w:p>
        </w:tc>
        <w:tc>
          <w:tcPr>
            <w:tcW w:w="150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5"/>
                <w:szCs w:val="15"/>
                <w:color w:val="auto"/>
              </w:rPr>
              <w:t>3.55%</w:t>
            </w:r>
          </w:p>
        </w:tc>
        <w:tc>
          <w:tcPr>
            <w:tcW w:w="0" w:type="dxa"/>
            <w:vAlign w:val="bottom"/>
          </w:tcPr>
          <w:p>
            <w:pPr>
              <w:spacing w:after="0"/>
              <w:rPr>
                <w:sz w:val="1"/>
                <w:szCs w:val="1"/>
                <w:color w:val="auto"/>
              </w:rPr>
            </w:pPr>
          </w:p>
        </w:tc>
      </w:tr>
      <w:tr>
        <w:trPr>
          <w:trHeight w:val="162"/>
        </w:trPr>
        <w:tc>
          <w:tcPr>
            <w:tcW w:w="394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Subordinated debt</w:t>
            </w:r>
          </w:p>
        </w:tc>
        <w:tc>
          <w:tcPr>
            <w:tcW w:w="1340" w:type="dxa"/>
            <w:vAlign w:val="bottom"/>
          </w:tcPr>
          <w:p>
            <w:pPr>
              <w:jc w:val="right"/>
              <w:spacing w:after="0" w:line="162" w:lineRule="exact"/>
              <w:rPr>
                <w:sz w:val="20"/>
                <w:szCs w:val="20"/>
                <w:color w:val="auto"/>
              </w:rPr>
            </w:pPr>
            <w:r>
              <w:rPr>
                <w:rFonts w:ascii="Arial" w:cs="Arial" w:eastAsia="Arial" w:hAnsi="Arial"/>
                <w:sz w:val="15"/>
                <w:szCs w:val="15"/>
                <w:color w:val="auto"/>
              </w:rPr>
              <w:t>8.64%</w:t>
            </w:r>
          </w:p>
        </w:tc>
        <w:tc>
          <w:tcPr>
            <w:tcW w:w="14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6.38%</w:t>
            </w:r>
          </w:p>
        </w:tc>
        <w:tc>
          <w:tcPr>
            <w:tcW w:w="14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8.74%</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8.58%</w:t>
            </w:r>
          </w:p>
        </w:tc>
        <w:tc>
          <w:tcPr>
            <w:tcW w:w="15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6.43%</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auto"/>
            </w:tcBorders>
            <w:shd w:val="clear" w:color="auto" w:fill="CFF0FC"/>
          </w:tcPr>
          <w:p>
            <w:pPr>
              <w:ind w:left="40"/>
              <w:spacing w:after="0" w:line="162" w:lineRule="exact"/>
              <w:rPr>
                <w:sz w:val="20"/>
                <w:szCs w:val="20"/>
                <w:color w:val="auto"/>
              </w:rPr>
            </w:pPr>
            <w:r>
              <w:rPr>
                <w:rFonts w:ascii="Arial" w:cs="Arial" w:eastAsia="Arial" w:hAnsi="Arial"/>
                <w:sz w:val="15"/>
                <w:szCs w:val="15"/>
                <w:color w:val="auto"/>
              </w:rPr>
              <w:t>Borrowings</w:t>
            </w:r>
          </w:p>
        </w:tc>
        <w:tc>
          <w:tcPr>
            <w:tcW w:w="160" w:type="dxa"/>
            <w:vAlign w:val="bottom"/>
            <w:tcBorders>
              <w:bottom w:val="single" w:sz="8" w:color="CFF0FC"/>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3.82%</w:t>
            </w:r>
          </w:p>
        </w:tc>
        <w:tc>
          <w:tcPr>
            <w:tcW w:w="140" w:type="dxa"/>
            <w:vAlign w:val="bottom"/>
            <w:tcBorders>
              <w:bottom w:val="single" w:sz="8" w:color="CFF0FC"/>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3.63%</w:t>
            </w:r>
          </w:p>
        </w:tc>
        <w:tc>
          <w:tcPr>
            <w:tcW w:w="140" w:type="dxa"/>
            <w:vAlign w:val="bottom"/>
            <w:tcBorders>
              <w:bottom w:val="single" w:sz="8" w:color="CFF0FC"/>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3.90%</w:t>
            </w:r>
          </w:p>
        </w:tc>
        <w:tc>
          <w:tcPr>
            <w:tcW w:w="16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3.74%</w:t>
            </w:r>
          </w:p>
        </w:tc>
        <w:tc>
          <w:tcPr>
            <w:tcW w:w="140" w:type="dxa"/>
            <w:vAlign w:val="bottom"/>
            <w:tcBorders>
              <w:bottom w:val="single" w:sz="8" w:color="CFF0FC"/>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3.77%</w:t>
            </w:r>
          </w:p>
        </w:tc>
        <w:tc>
          <w:tcPr>
            <w:tcW w:w="0" w:type="dxa"/>
            <w:vAlign w:val="bottom"/>
          </w:tcPr>
          <w:p>
            <w:pPr>
              <w:spacing w:after="0"/>
              <w:rPr>
                <w:sz w:val="1"/>
                <w:szCs w:val="1"/>
                <w:color w:val="auto"/>
              </w:rPr>
            </w:pPr>
          </w:p>
        </w:tc>
      </w:tr>
      <w:tr>
        <w:trPr>
          <w:trHeight w:val="156"/>
        </w:trPr>
        <w:tc>
          <w:tcPr>
            <w:tcW w:w="3780" w:type="dxa"/>
            <w:vAlign w:val="bottom"/>
            <w:tcBorders>
              <w:bottom w:val="single" w:sz="8" w:color="auto"/>
            </w:tcBorders>
          </w:tcPr>
          <w:p>
            <w:pPr>
              <w:ind w:left="80"/>
              <w:spacing w:after="0" w:line="156" w:lineRule="exact"/>
              <w:rPr>
                <w:sz w:val="20"/>
                <w:szCs w:val="20"/>
                <w:color w:val="auto"/>
              </w:rPr>
            </w:pPr>
            <w:r>
              <w:rPr>
                <w:rFonts w:ascii="Arial" w:cs="Arial" w:eastAsia="Arial" w:hAnsi="Arial"/>
                <w:sz w:val="15"/>
                <w:szCs w:val="15"/>
                <w:color w:val="auto"/>
              </w:rPr>
              <w:t>Total interest-bearing liabilities</w:t>
            </w:r>
          </w:p>
        </w:tc>
        <w:tc>
          <w:tcPr>
            <w:tcW w:w="160" w:type="dxa"/>
            <w:vAlign w:val="bottom"/>
          </w:tcPr>
          <w:p>
            <w:pPr>
              <w:spacing w:after="0"/>
              <w:rPr>
                <w:sz w:val="13"/>
                <w:szCs w:val="13"/>
                <w:color w:val="auto"/>
              </w:rPr>
            </w:pPr>
          </w:p>
        </w:tc>
        <w:tc>
          <w:tcPr>
            <w:tcW w:w="13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2.75%</w:t>
            </w:r>
          </w:p>
        </w:tc>
        <w:tc>
          <w:tcPr>
            <w:tcW w:w="140" w:type="dxa"/>
            <w:vAlign w:val="bottom"/>
          </w:tcPr>
          <w:p>
            <w:pPr>
              <w:spacing w:after="0"/>
              <w:rPr>
                <w:sz w:val="13"/>
                <w:szCs w:val="13"/>
                <w:color w:val="auto"/>
              </w:rPr>
            </w:pPr>
          </w:p>
        </w:tc>
        <w:tc>
          <w:tcPr>
            <w:tcW w:w="13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2.91%</w:t>
            </w:r>
          </w:p>
        </w:tc>
        <w:tc>
          <w:tcPr>
            <w:tcW w:w="140" w:type="dxa"/>
            <w:vAlign w:val="bottom"/>
          </w:tcPr>
          <w:p>
            <w:pPr>
              <w:spacing w:after="0"/>
              <w:rPr>
                <w:sz w:val="13"/>
                <w:szCs w:val="13"/>
                <w:color w:val="auto"/>
              </w:rPr>
            </w:pPr>
          </w:p>
        </w:tc>
        <w:tc>
          <w:tcPr>
            <w:tcW w:w="13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2.83%</w:t>
            </w:r>
          </w:p>
        </w:tc>
        <w:tc>
          <w:tcPr>
            <w:tcW w:w="1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2.73%</w:t>
            </w:r>
          </w:p>
        </w:tc>
        <w:tc>
          <w:tcPr>
            <w:tcW w:w="140" w:type="dxa"/>
            <w:vAlign w:val="bottom"/>
          </w:tcPr>
          <w:p>
            <w:pPr>
              <w:spacing w:after="0"/>
              <w:rPr>
                <w:sz w:val="13"/>
                <w:szCs w:val="13"/>
                <w:color w:val="auto"/>
              </w:rPr>
            </w:pPr>
          </w:p>
        </w:tc>
        <w:tc>
          <w:tcPr>
            <w:tcW w:w="13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2.88%</w:t>
            </w:r>
          </w:p>
        </w:tc>
        <w:tc>
          <w:tcPr>
            <w:tcW w:w="0" w:type="dxa"/>
            <w:vAlign w:val="bottom"/>
          </w:tcPr>
          <w:p>
            <w:pPr>
              <w:spacing w:after="0"/>
              <w:rPr>
                <w:sz w:val="1"/>
                <w:szCs w:val="1"/>
                <w:color w:val="auto"/>
              </w:rPr>
            </w:pPr>
          </w:p>
        </w:tc>
      </w:tr>
      <w:tr>
        <w:trPr>
          <w:trHeight w:val="155"/>
        </w:trPr>
        <w:tc>
          <w:tcPr>
            <w:tcW w:w="3940" w:type="dxa"/>
            <w:vAlign w:val="bottom"/>
            <w:gridSpan w:val="2"/>
            <w:shd w:val="clear" w:color="auto" w:fill="CFF0FC"/>
          </w:tcPr>
          <w:p>
            <w:pPr>
              <w:spacing w:after="0" w:line="156" w:lineRule="exact"/>
              <w:rPr>
                <w:sz w:val="20"/>
                <w:szCs w:val="20"/>
                <w:color w:val="auto"/>
              </w:rPr>
            </w:pPr>
            <w:r>
              <w:rPr>
                <w:rFonts w:ascii="Arial" w:cs="Arial" w:eastAsia="Arial" w:hAnsi="Arial"/>
                <w:sz w:val="15"/>
                <w:szCs w:val="15"/>
                <w:color w:val="auto"/>
              </w:rPr>
              <w:t>Net interest rate spread</w:t>
            </w:r>
          </w:p>
        </w:tc>
        <w:tc>
          <w:tcPr>
            <w:tcW w:w="134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2.54%</w:t>
            </w:r>
          </w:p>
        </w:tc>
        <w:tc>
          <w:tcPr>
            <w:tcW w:w="148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5"/>
                <w:szCs w:val="15"/>
                <w:color w:val="auto"/>
              </w:rPr>
              <w:t>2.70%</w:t>
            </w:r>
          </w:p>
        </w:tc>
        <w:tc>
          <w:tcPr>
            <w:tcW w:w="148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5"/>
                <w:szCs w:val="15"/>
                <w:color w:val="auto"/>
              </w:rPr>
              <w:t>2.51%</w:t>
            </w:r>
          </w:p>
        </w:tc>
        <w:tc>
          <w:tcPr>
            <w:tcW w:w="1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2.55%</w:t>
            </w:r>
          </w:p>
        </w:tc>
        <w:tc>
          <w:tcPr>
            <w:tcW w:w="15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5"/>
                <w:szCs w:val="15"/>
                <w:color w:val="auto"/>
              </w:rPr>
              <w:t>2.80%</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auto"/>
            </w:tcBorders>
          </w:tcPr>
          <w:p>
            <w:pPr>
              <w:spacing w:after="0" w:line="162" w:lineRule="exact"/>
              <w:rPr>
                <w:sz w:val="20"/>
                <w:szCs w:val="20"/>
                <w:color w:val="auto"/>
              </w:rPr>
            </w:pPr>
            <w:r>
              <w:rPr>
                <w:rFonts w:ascii="Arial" w:cs="Arial" w:eastAsia="Arial" w:hAnsi="Arial"/>
                <w:sz w:val="15"/>
                <w:szCs w:val="15"/>
                <w:color w:val="auto"/>
              </w:rPr>
              <w:t>Net interest margin</w:t>
            </w:r>
          </w:p>
        </w:tc>
        <w:tc>
          <w:tcPr>
            <w:tcW w:w="160" w:type="dxa"/>
            <w:vAlign w:val="bottom"/>
          </w:tcPr>
          <w:p>
            <w:pPr>
              <w:spacing w:after="0"/>
              <w:rPr>
                <w:sz w:val="14"/>
                <w:szCs w:val="14"/>
                <w:color w:val="auto"/>
              </w:rPr>
            </w:pPr>
          </w:p>
        </w:tc>
        <w:tc>
          <w:tcPr>
            <w:tcW w:w="13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3.08%</w:t>
            </w:r>
          </w:p>
        </w:tc>
        <w:tc>
          <w:tcPr>
            <w:tcW w:w="140" w:type="dxa"/>
            <w:vAlign w:val="bottom"/>
          </w:tcPr>
          <w:p>
            <w:pPr>
              <w:spacing w:after="0"/>
              <w:rPr>
                <w:sz w:val="14"/>
                <w:szCs w:val="14"/>
                <w:color w:val="auto"/>
              </w:rPr>
            </w:pPr>
          </w:p>
        </w:tc>
        <w:tc>
          <w:tcPr>
            <w:tcW w:w="13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3.25%</w:t>
            </w:r>
          </w:p>
        </w:tc>
        <w:tc>
          <w:tcPr>
            <w:tcW w:w="140" w:type="dxa"/>
            <w:vAlign w:val="bottom"/>
          </w:tcPr>
          <w:p>
            <w:pPr>
              <w:spacing w:after="0"/>
              <w:rPr>
                <w:sz w:val="14"/>
                <w:szCs w:val="14"/>
                <w:color w:val="auto"/>
              </w:rPr>
            </w:pPr>
          </w:p>
        </w:tc>
        <w:tc>
          <w:tcPr>
            <w:tcW w:w="13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3.07%</w:t>
            </w: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3.08%</w:t>
            </w:r>
          </w:p>
        </w:tc>
        <w:tc>
          <w:tcPr>
            <w:tcW w:w="140" w:type="dxa"/>
            <w:vAlign w:val="bottom"/>
          </w:tcPr>
          <w:p>
            <w:pPr>
              <w:spacing w:after="0"/>
              <w:rPr>
                <w:sz w:val="14"/>
                <w:szCs w:val="14"/>
                <w:color w:val="auto"/>
              </w:rPr>
            </w:pPr>
          </w:p>
        </w:tc>
        <w:tc>
          <w:tcPr>
            <w:tcW w:w="13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3.34%</w:t>
            </w:r>
          </w:p>
        </w:tc>
        <w:tc>
          <w:tcPr>
            <w:tcW w:w="0" w:type="dxa"/>
            <w:vAlign w:val="bottom"/>
          </w:tcPr>
          <w:p>
            <w:pPr>
              <w:spacing w:after="0"/>
              <w:rPr>
                <w:sz w:val="1"/>
                <w:szCs w:val="1"/>
                <w:color w:val="auto"/>
              </w:rPr>
            </w:pPr>
          </w:p>
        </w:tc>
      </w:tr>
      <w:tr>
        <w:trPr>
          <w:trHeight w:val="138"/>
        </w:trPr>
        <w:tc>
          <w:tcPr>
            <w:tcW w:w="3940" w:type="dxa"/>
            <w:vAlign w:val="bottom"/>
            <w:gridSpan w:val="2"/>
            <w:shd w:val="clear" w:color="auto" w:fill="CFF0FC"/>
          </w:tcPr>
          <w:p>
            <w:pPr>
              <w:spacing w:after="0" w:line="138" w:lineRule="exact"/>
              <w:rPr>
                <w:sz w:val="20"/>
                <w:szCs w:val="20"/>
                <w:color w:val="auto"/>
              </w:rPr>
            </w:pPr>
            <w:r>
              <w:rPr>
                <w:rFonts w:ascii="Arial" w:cs="Arial" w:eastAsia="Arial" w:hAnsi="Arial"/>
                <w:sz w:val="15"/>
                <w:szCs w:val="15"/>
                <w:color w:val="auto"/>
              </w:rPr>
              <w:t>Ratio of average interest-earning assets to average</w:t>
            </w:r>
          </w:p>
        </w:tc>
        <w:tc>
          <w:tcPr>
            <w:tcW w:w="1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7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5"/>
                <w:szCs w:val="15"/>
                <w:color w:val="auto"/>
              </w:rPr>
              <w:t>interest-bearing liabilities</w:t>
            </w:r>
          </w:p>
        </w:tc>
        <w:tc>
          <w:tcPr>
            <w:tcW w:w="16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124.54%</w:t>
            </w:r>
          </w:p>
        </w:tc>
        <w:tc>
          <w:tcPr>
            <w:tcW w:w="14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123.35%</w:t>
            </w:r>
          </w:p>
        </w:tc>
        <w:tc>
          <w:tcPr>
            <w:tcW w:w="14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124.66%</w:t>
            </w:r>
          </w:p>
        </w:tc>
        <w:tc>
          <w:tcPr>
            <w:tcW w:w="1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124.26%</w:t>
            </w:r>
          </w:p>
        </w:tc>
        <w:tc>
          <w:tcPr>
            <w:tcW w:w="140" w:type="dxa"/>
            <w:vAlign w:val="bottom"/>
            <w:tcBorders>
              <w:bottom w:val="single" w:sz="8" w:color="CFF0FC"/>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122.95%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-1379220</wp:posOffset>
            </wp:positionV>
            <wp:extent cx="946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-1379220</wp:posOffset>
            </wp:positionV>
            <wp:extent cx="946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-1379220</wp:posOffset>
            </wp:positionV>
            <wp:extent cx="939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-1379220</wp:posOffset>
            </wp:positionV>
            <wp:extent cx="939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-1379220</wp:posOffset>
            </wp:positionV>
            <wp:extent cx="939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-548005</wp:posOffset>
            </wp:positionV>
            <wp:extent cx="9461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-548005</wp:posOffset>
            </wp:positionV>
            <wp:extent cx="9461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-548005</wp:posOffset>
            </wp:positionV>
            <wp:extent cx="939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-548005</wp:posOffset>
            </wp:positionV>
            <wp:extent cx="939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-548005</wp:posOffset>
            </wp:positionV>
            <wp:extent cx="939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-8255</wp:posOffset>
            </wp:positionV>
            <wp:extent cx="9461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-8255</wp:posOffset>
            </wp:positionV>
            <wp:extent cx="9461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-8255</wp:posOffset>
            </wp:positionV>
            <wp:extent cx="939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939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939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1"/>
          <w:szCs w:val="11"/>
          <w:color w:val="auto"/>
        </w:rPr>
        <w:t>The above information is unaudited and preliminary based on the Company's data available at the time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rPr>
              <w:t>NON-GAAP RECONCILIATIONS:</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2026</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9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88"/>
              <w:spacing w:after="0" w:line="155" w:lineRule="exact"/>
              <w:rPr>
                <w:sz w:val="20"/>
                <w:szCs w:val="20"/>
                <w:color w:val="auto"/>
              </w:rPr>
            </w:pPr>
            <w:r>
              <w:rPr>
                <w:rFonts w:ascii="Arial" w:cs="Arial" w:eastAsia="Arial" w:hAnsi="Arial"/>
                <w:sz w:val="14"/>
                <w:szCs w:val="14"/>
                <w:b w:val="1"/>
                <w:bCs w:val="1"/>
                <w:color w:val="auto"/>
              </w:rPr>
              <w:t>2026</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ind w:right="88"/>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88"/>
              <w:spacing w:after="0" w:line="155" w:lineRule="exact"/>
              <w:rPr>
                <w:sz w:val="20"/>
                <w:szCs w:val="20"/>
                <w:color w:val="auto"/>
              </w:rPr>
            </w:pPr>
            <w:r>
              <w:rPr>
                <w:rFonts w:ascii="Arial" w:cs="Arial" w:eastAsia="Arial" w:hAnsi="Arial"/>
                <w:sz w:val="14"/>
                <w:szCs w:val="14"/>
                <w:b w:val="1"/>
                <w:bCs w:val="1"/>
                <w:color w:val="auto"/>
              </w:rPr>
              <w:t>Q3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88"/>
              <w:spacing w:after="0" w:line="155" w:lineRule="exact"/>
              <w:rPr>
                <w:sz w:val="20"/>
                <w:szCs w:val="20"/>
                <w:color w:val="auto"/>
              </w:rPr>
            </w:pPr>
            <w:r>
              <w:rPr>
                <w:rFonts w:ascii="Arial" w:cs="Arial" w:eastAsia="Arial" w:hAnsi="Arial"/>
                <w:sz w:val="14"/>
                <w:szCs w:val="14"/>
                <w:b w:val="1"/>
                <w:bCs w:val="1"/>
                <w:color w:val="auto"/>
              </w:rPr>
              <w:t>Q2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88"/>
              <w:spacing w:after="0" w:line="155" w:lineRule="exact"/>
              <w:rPr>
                <w:sz w:val="20"/>
                <w:szCs w:val="20"/>
                <w:color w:val="auto"/>
              </w:rPr>
            </w:pPr>
            <w:r>
              <w:rPr>
                <w:rFonts w:ascii="Arial" w:cs="Arial" w:eastAsia="Arial" w:hAnsi="Arial"/>
                <w:sz w:val="14"/>
                <w:szCs w:val="14"/>
                <w:b w:val="1"/>
                <w:bCs w:val="1"/>
                <w:color w:val="auto"/>
              </w:rPr>
              <w:t>Q1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Q4</w:t>
            </w:r>
          </w:p>
        </w:tc>
        <w:tc>
          <w:tcPr>
            <w:tcW w:w="140" w:type="dxa"/>
            <w:vAlign w:val="bottom"/>
          </w:tcPr>
          <w:p>
            <w:pPr>
              <w:spacing w:after="0"/>
              <w:rPr>
                <w:sz w:val="13"/>
                <w:szCs w:val="13"/>
                <w:color w:val="auto"/>
              </w:rPr>
            </w:pPr>
          </w:p>
        </w:tc>
        <w:tc>
          <w:tcPr>
            <w:tcW w:w="880" w:type="dxa"/>
            <w:vAlign w:val="bottom"/>
          </w:tcPr>
          <w:p>
            <w:pPr>
              <w:jc w:val="right"/>
              <w:ind w:right="88"/>
              <w:spacing w:after="0" w:line="155" w:lineRule="exact"/>
              <w:rPr>
                <w:sz w:val="20"/>
                <w:szCs w:val="20"/>
                <w:color w:val="auto"/>
              </w:rPr>
            </w:pPr>
            <w:r>
              <w:rPr>
                <w:rFonts w:ascii="Arial" w:cs="Arial" w:eastAsia="Arial" w:hAnsi="Arial"/>
                <w:sz w:val="14"/>
                <w:szCs w:val="14"/>
                <w:b w:val="1"/>
                <w:bCs w:val="1"/>
                <w:color w:val="auto"/>
              </w:rPr>
              <w:t>Q3</w:t>
            </w:r>
          </w:p>
        </w:tc>
        <w:tc>
          <w:tcPr>
            <w:tcW w:w="0" w:type="dxa"/>
            <w:vAlign w:val="bottom"/>
          </w:tcPr>
          <w:p>
            <w:pPr>
              <w:spacing w:after="0"/>
              <w:rPr>
                <w:sz w:val="1"/>
                <w:szCs w:val="1"/>
                <w:color w:val="auto"/>
              </w:rPr>
            </w:pPr>
          </w:p>
        </w:tc>
      </w:tr>
      <w:tr>
        <w:trPr>
          <w:trHeight w:val="156"/>
        </w:trPr>
        <w:tc>
          <w:tcPr>
            <w:tcW w:w="296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Tangible book value per common share:</w:t>
            </w:r>
          </w:p>
        </w:tc>
        <w:tc>
          <w:tcPr>
            <w:tcW w:w="16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40"/>
              <w:spacing w:after="0"/>
              <w:rPr>
                <w:sz w:val="20"/>
                <w:szCs w:val="20"/>
                <w:color w:val="auto"/>
              </w:rPr>
            </w:pPr>
            <w:r>
              <w:rPr>
                <w:rFonts w:ascii="Arial" w:cs="Arial" w:eastAsia="Arial" w:hAnsi="Arial"/>
                <w:sz w:val="14"/>
                <w:szCs w:val="14"/>
                <w:color w:val="auto"/>
              </w:rPr>
              <w:t>Total equity</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118,765</w:t>
            </w:r>
          </w:p>
        </w:tc>
        <w:tc>
          <w:tcPr>
            <w:tcW w:w="3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125,744</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123,583</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122,451</w:t>
            </w:r>
          </w:p>
        </w:tc>
        <w:tc>
          <w:tcPr>
            <w:tcW w:w="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126,339</w:t>
            </w:r>
          </w:p>
        </w:tc>
        <w:tc>
          <w:tcPr>
            <w:tcW w:w="0" w:type="dxa"/>
            <w:vAlign w:val="bottom"/>
          </w:tcPr>
          <w:p>
            <w:pPr>
              <w:spacing w:after="0"/>
              <w:rPr>
                <w:sz w:val="1"/>
                <w:szCs w:val="1"/>
                <w:color w:val="auto"/>
              </w:rPr>
            </w:pPr>
          </w:p>
        </w:tc>
      </w:tr>
      <w:tr>
        <w:trPr>
          <w:trHeight w:val="162"/>
        </w:trPr>
        <w:tc>
          <w:tcPr>
            <w:tcW w:w="296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4"/>
                <w:szCs w:val="14"/>
                <w:color w:val="auto"/>
              </w:rPr>
              <w:t>Intangible assets</w:t>
            </w:r>
          </w:p>
        </w:tc>
        <w:tc>
          <w:tcPr>
            <w:tcW w:w="1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(9,947)</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(10,104)</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(10,261)</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(10,418)</w:t>
            </w:r>
          </w:p>
        </w:tc>
        <w:tc>
          <w:tcPr>
            <w:tcW w:w="1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(10,574)</w:t>
            </w:r>
          </w:p>
        </w:tc>
        <w:tc>
          <w:tcPr>
            <w:tcW w:w="0" w:type="dxa"/>
            <w:vAlign w:val="bottom"/>
          </w:tcPr>
          <w:p>
            <w:pPr>
              <w:spacing w:after="0"/>
              <w:rPr>
                <w:sz w:val="1"/>
                <w:szCs w:val="1"/>
                <w:color w:val="auto"/>
              </w:rPr>
            </w:pPr>
          </w:p>
        </w:tc>
      </w:tr>
      <w:tr>
        <w:trPr>
          <w:trHeight w:val="155"/>
        </w:trPr>
        <w:tc>
          <w:tcPr>
            <w:tcW w:w="2960" w:type="dxa"/>
            <w:vAlign w:val="bottom"/>
          </w:tcPr>
          <w:p>
            <w:pPr>
              <w:ind w:left="60"/>
              <w:spacing w:after="0" w:line="155" w:lineRule="exact"/>
              <w:rPr>
                <w:sz w:val="20"/>
                <w:szCs w:val="20"/>
                <w:color w:val="auto"/>
              </w:rPr>
            </w:pPr>
            <w:r>
              <w:rPr>
                <w:rFonts w:ascii="Arial" w:cs="Arial" w:eastAsia="Arial" w:hAnsi="Arial"/>
                <w:sz w:val="14"/>
                <w:szCs w:val="14"/>
                <w:color w:val="auto"/>
              </w:rPr>
              <w:t>Tangible common equity (non-GAAP)</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88"/>
              <w:spacing w:after="0" w:line="155" w:lineRule="exact"/>
              <w:rPr>
                <w:sz w:val="20"/>
                <w:szCs w:val="20"/>
                <w:color w:val="auto"/>
              </w:rPr>
            </w:pPr>
            <w:r>
              <w:rPr>
                <w:rFonts w:ascii="Arial" w:cs="Arial" w:eastAsia="Arial" w:hAnsi="Arial"/>
                <w:sz w:val="14"/>
                <w:szCs w:val="14"/>
                <w:color w:val="auto"/>
              </w:rPr>
              <w:t>108,818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88"/>
              <w:spacing w:after="0" w:line="155" w:lineRule="exact"/>
              <w:rPr>
                <w:sz w:val="20"/>
                <w:szCs w:val="20"/>
                <w:color w:val="auto"/>
              </w:rPr>
            </w:pPr>
            <w:r>
              <w:rPr>
                <w:rFonts w:ascii="Arial" w:cs="Arial" w:eastAsia="Arial" w:hAnsi="Arial"/>
                <w:sz w:val="14"/>
                <w:szCs w:val="14"/>
                <w:color w:val="auto"/>
              </w:rPr>
              <w:t>115,640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88"/>
              <w:spacing w:after="0" w:line="155" w:lineRule="exact"/>
              <w:rPr>
                <w:sz w:val="20"/>
                <w:szCs w:val="20"/>
                <w:color w:val="auto"/>
              </w:rPr>
            </w:pPr>
            <w:r>
              <w:rPr>
                <w:rFonts w:ascii="Arial" w:cs="Arial" w:eastAsia="Arial" w:hAnsi="Arial"/>
                <w:sz w:val="14"/>
                <w:szCs w:val="14"/>
                <w:color w:val="auto"/>
              </w:rPr>
              <w:t>113,322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88"/>
              <w:spacing w:after="0" w:line="155" w:lineRule="exact"/>
              <w:rPr>
                <w:sz w:val="20"/>
                <w:szCs w:val="20"/>
                <w:color w:val="auto"/>
              </w:rPr>
            </w:pPr>
            <w:r>
              <w:rPr>
                <w:rFonts w:ascii="Arial" w:cs="Arial" w:eastAsia="Arial" w:hAnsi="Arial"/>
                <w:sz w:val="14"/>
                <w:szCs w:val="14"/>
                <w:color w:val="auto"/>
              </w:rPr>
              <w:t>112,033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88"/>
              <w:spacing w:after="0" w:line="155" w:lineRule="exact"/>
              <w:rPr>
                <w:sz w:val="20"/>
                <w:szCs w:val="20"/>
                <w:color w:val="auto"/>
              </w:rPr>
            </w:pPr>
            <w:r>
              <w:rPr>
                <w:rFonts w:ascii="Arial" w:cs="Arial" w:eastAsia="Arial" w:hAnsi="Arial"/>
                <w:sz w:val="14"/>
                <w:szCs w:val="14"/>
                <w:color w:val="auto"/>
              </w:rPr>
              <w:t>115,765</w:t>
            </w:r>
          </w:p>
        </w:tc>
        <w:tc>
          <w:tcPr>
            <w:tcW w:w="0" w:type="dxa"/>
            <w:vAlign w:val="bottom"/>
          </w:tcPr>
          <w:p>
            <w:pPr>
              <w:spacing w:after="0"/>
              <w:rPr>
                <w:sz w:val="1"/>
                <w:szCs w:val="1"/>
                <w:color w:val="auto"/>
              </w:rPr>
            </w:pPr>
          </w:p>
        </w:tc>
      </w:tr>
      <w:tr>
        <w:trPr>
          <w:trHeight w:val="162"/>
        </w:trPr>
        <w:tc>
          <w:tcPr>
            <w:tcW w:w="296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4"/>
                <w:szCs w:val="14"/>
                <w:color w:val="auto"/>
              </w:rPr>
              <w:t>Common shares outstanding</w:t>
            </w:r>
          </w:p>
        </w:tc>
        <w:tc>
          <w:tcPr>
            <w:tcW w:w="1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6,279</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6,279</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6,256</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6,186</w:t>
            </w:r>
          </w:p>
        </w:tc>
        <w:tc>
          <w:tcPr>
            <w:tcW w:w="1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6,175</w:t>
            </w:r>
          </w:p>
        </w:tc>
        <w:tc>
          <w:tcPr>
            <w:tcW w:w="0" w:type="dxa"/>
            <w:vAlign w:val="bottom"/>
          </w:tcPr>
          <w:p>
            <w:pPr>
              <w:spacing w:after="0"/>
              <w:rPr>
                <w:sz w:val="1"/>
                <w:szCs w:val="1"/>
                <w:color w:val="auto"/>
              </w:rPr>
            </w:pPr>
          </w:p>
        </w:tc>
      </w:tr>
      <w:tr>
        <w:trPr>
          <w:trHeight w:val="146"/>
        </w:trPr>
        <w:tc>
          <w:tcPr>
            <w:tcW w:w="2960" w:type="dxa"/>
            <w:vAlign w:val="bottom"/>
          </w:tcPr>
          <w:p>
            <w:pPr>
              <w:ind w:left="80"/>
              <w:spacing w:after="0" w:line="147" w:lineRule="exact"/>
              <w:rPr>
                <w:sz w:val="20"/>
                <w:szCs w:val="20"/>
                <w:color w:val="auto"/>
              </w:rPr>
            </w:pPr>
            <w:r>
              <w:rPr>
                <w:rFonts w:ascii="Arial" w:cs="Arial" w:eastAsia="Arial" w:hAnsi="Arial"/>
                <w:sz w:val="14"/>
                <w:szCs w:val="14"/>
                <w:color w:val="auto"/>
              </w:rPr>
              <w:t>Tangible book value per common share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60" w:type="dxa"/>
            <w:vAlign w:val="bottom"/>
          </w:tcPr>
          <w:p>
            <w:pPr>
              <w:ind w:left="80"/>
              <w:spacing w:after="0"/>
              <w:rPr>
                <w:sz w:val="20"/>
                <w:szCs w:val="20"/>
                <w:color w:val="auto"/>
              </w:rPr>
            </w:pPr>
            <w:r>
              <w:rPr>
                <w:rFonts w:ascii="Arial" w:cs="Arial" w:eastAsia="Arial" w:hAnsi="Arial"/>
                <w:sz w:val="14"/>
                <w:szCs w:val="14"/>
                <w:color w:val="auto"/>
              </w:rPr>
              <w:t>(non-GAAP)</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17.33</w:t>
            </w:r>
          </w:p>
        </w:tc>
        <w:tc>
          <w:tcPr>
            <w:tcW w:w="3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18.42</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18.11</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18.11</w:t>
            </w:r>
          </w:p>
        </w:tc>
        <w:tc>
          <w:tcPr>
            <w:tcW w:w="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18.75</w:t>
            </w:r>
          </w:p>
        </w:tc>
        <w:tc>
          <w:tcPr>
            <w:tcW w:w="0" w:type="dxa"/>
            <w:vAlign w:val="bottom"/>
          </w:tcPr>
          <w:p>
            <w:pPr>
              <w:spacing w:after="0"/>
              <w:rPr>
                <w:sz w:val="1"/>
                <w:szCs w:val="1"/>
                <w:color w:val="auto"/>
              </w:rPr>
            </w:pPr>
          </w:p>
        </w:tc>
      </w:tr>
      <w:tr>
        <w:trPr>
          <w:trHeight w:val="20"/>
        </w:trPr>
        <w:tc>
          <w:tcPr>
            <w:tcW w:w="2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Tangible common equity to tangible assets:</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40"/>
              <w:spacing w:after="0"/>
              <w:rPr>
                <w:sz w:val="20"/>
                <w:szCs w:val="20"/>
                <w:color w:val="auto"/>
              </w:rPr>
            </w:pPr>
            <w:r>
              <w:rPr>
                <w:rFonts w:ascii="Arial" w:cs="Arial" w:eastAsia="Arial" w:hAnsi="Arial"/>
                <w:sz w:val="14"/>
                <w:szCs w:val="14"/>
                <w:color w:val="auto"/>
              </w:rPr>
              <w:t>Tangible common equity (non-GAAP)</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108,818</w:t>
            </w:r>
          </w:p>
        </w:tc>
        <w:tc>
          <w:tcPr>
            <w:tcW w:w="3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115,640</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113,322</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112,033</w:t>
            </w:r>
          </w:p>
        </w:tc>
        <w:tc>
          <w:tcPr>
            <w:tcW w:w="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115,765</w:t>
            </w:r>
          </w:p>
        </w:tc>
        <w:tc>
          <w:tcPr>
            <w:tcW w:w="0" w:type="dxa"/>
            <w:vAlign w:val="bottom"/>
          </w:tcPr>
          <w:p>
            <w:pPr>
              <w:spacing w:after="0"/>
              <w:rPr>
                <w:sz w:val="1"/>
                <w:szCs w:val="1"/>
                <w:color w:val="auto"/>
              </w:rPr>
            </w:pPr>
          </w:p>
        </w:tc>
      </w:tr>
      <w:tr>
        <w:trPr>
          <w:trHeight w:val="162"/>
        </w:trPr>
        <w:tc>
          <w:tcPr>
            <w:tcW w:w="296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4"/>
                <w:szCs w:val="14"/>
                <w:color w:val="auto"/>
              </w:rPr>
              <w:t>Tangible assets</w:t>
            </w:r>
          </w:p>
        </w:tc>
        <w:tc>
          <w:tcPr>
            <w:tcW w:w="1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1,481,662</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1,482,399</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1,411,721</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1,416,218</w:t>
            </w:r>
          </w:p>
        </w:tc>
        <w:tc>
          <w:tcPr>
            <w:tcW w:w="1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1,461,694</w:t>
            </w:r>
          </w:p>
        </w:tc>
        <w:tc>
          <w:tcPr>
            <w:tcW w:w="0" w:type="dxa"/>
            <w:vAlign w:val="bottom"/>
          </w:tcPr>
          <w:p>
            <w:pPr>
              <w:spacing w:after="0"/>
              <w:rPr>
                <w:sz w:val="1"/>
                <w:szCs w:val="1"/>
                <w:color w:val="auto"/>
              </w:rPr>
            </w:pPr>
          </w:p>
        </w:tc>
      </w:tr>
      <w:tr>
        <w:trPr>
          <w:trHeight w:val="146"/>
        </w:trPr>
        <w:tc>
          <w:tcPr>
            <w:tcW w:w="2960" w:type="dxa"/>
            <w:vAlign w:val="bottom"/>
          </w:tcPr>
          <w:p>
            <w:pPr>
              <w:ind w:left="80"/>
              <w:spacing w:after="0" w:line="147" w:lineRule="exact"/>
              <w:rPr>
                <w:sz w:val="20"/>
                <w:szCs w:val="20"/>
                <w:color w:val="auto"/>
              </w:rPr>
            </w:pPr>
            <w:r>
              <w:rPr>
                <w:rFonts w:ascii="Arial" w:cs="Arial" w:eastAsia="Arial" w:hAnsi="Arial"/>
                <w:sz w:val="14"/>
                <w:szCs w:val="14"/>
                <w:color w:val="auto"/>
              </w:rPr>
              <w:t>Tangible common equity to tangible assets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ratio (non-GAAP)</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8.03%</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w:t>
            </w:r>
          </w:p>
        </w:tc>
        <w:tc>
          <w:tcPr>
            <w:tcW w:w="0" w:type="dxa"/>
            <w:vAlign w:val="bottom"/>
          </w:tcPr>
          <w:p>
            <w:pPr>
              <w:spacing w:after="0"/>
              <w:rPr>
                <w:sz w:val="1"/>
                <w:szCs w:val="1"/>
                <w:color w:val="auto"/>
              </w:rPr>
            </w:pPr>
          </w:p>
        </w:tc>
      </w:tr>
      <w:tr>
        <w:trPr>
          <w:trHeight w:val="20"/>
        </w:trPr>
        <w:tc>
          <w:tcPr>
            <w:tcW w:w="2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Return on average tangible common equity:</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40"/>
              <w:spacing w:after="0"/>
              <w:rPr>
                <w:sz w:val="20"/>
                <w:szCs w:val="20"/>
                <w:color w:val="auto"/>
              </w:rPr>
            </w:pPr>
            <w:r>
              <w:rPr>
                <w:rFonts w:ascii="Arial" w:cs="Arial" w:eastAsia="Arial" w:hAnsi="Arial"/>
                <w:sz w:val="14"/>
                <w:szCs w:val="14"/>
                <w:color w:val="auto"/>
              </w:rPr>
              <w:t>Average shareholders' equity</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124,719</w:t>
            </w: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w w:val="98"/>
              </w:rPr>
              <w:t>124,968</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125,401</w:t>
            </w:r>
          </w:p>
        </w:tc>
        <w:tc>
          <w:tcPr>
            <w:tcW w:w="3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124,730</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124,011</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128,743</w:t>
            </w:r>
          </w:p>
        </w:tc>
        <w:tc>
          <w:tcPr>
            <w:tcW w:w="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126,211</w:t>
            </w:r>
          </w:p>
        </w:tc>
        <w:tc>
          <w:tcPr>
            <w:tcW w:w="0" w:type="dxa"/>
            <w:vAlign w:val="bottom"/>
          </w:tcPr>
          <w:p>
            <w:pPr>
              <w:spacing w:after="0"/>
              <w:rPr>
                <w:sz w:val="1"/>
                <w:szCs w:val="1"/>
                <w:color w:val="auto"/>
              </w:rPr>
            </w:pPr>
          </w:p>
        </w:tc>
      </w:tr>
      <w:tr>
        <w:trPr>
          <w:trHeight w:val="162"/>
        </w:trPr>
        <w:tc>
          <w:tcPr>
            <w:tcW w:w="296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4"/>
                <w:szCs w:val="14"/>
                <w:color w:val="auto"/>
              </w:rPr>
              <w:t>Average intangible assets</w:t>
            </w:r>
          </w:p>
        </w:tc>
        <w:tc>
          <w:tcPr>
            <w:tcW w:w="1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10,205</w:t>
            </w:r>
          </w:p>
        </w:tc>
        <w:tc>
          <w:tcPr>
            <w:tcW w:w="16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10,833</w:t>
            </w:r>
          </w:p>
        </w:tc>
        <w:tc>
          <w:tcPr>
            <w:tcW w:w="1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10,051</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10,206</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10,363</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10,520</w:t>
            </w:r>
          </w:p>
        </w:tc>
        <w:tc>
          <w:tcPr>
            <w:tcW w:w="1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10,677</w:t>
            </w:r>
          </w:p>
        </w:tc>
        <w:tc>
          <w:tcPr>
            <w:tcW w:w="0" w:type="dxa"/>
            <w:vAlign w:val="bottom"/>
          </w:tcPr>
          <w:p>
            <w:pPr>
              <w:spacing w:after="0"/>
              <w:rPr>
                <w:sz w:val="1"/>
                <w:szCs w:val="1"/>
                <w:color w:val="auto"/>
              </w:rPr>
            </w:pPr>
          </w:p>
        </w:tc>
      </w:tr>
      <w:tr>
        <w:trPr>
          <w:trHeight w:val="156"/>
        </w:trPr>
        <w:tc>
          <w:tcPr>
            <w:tcW w:w="2960" w:type="dxa"/>
            <w:vAlign w:val="bottom"/>
          </w:tcPr>
          <w:p>
            <w:pPr>
              <w:ind w:left="60"/>
              <w:spacing w:after="0" w:line="155" w:lineRule="exact"/>
              <w:rPr>
                <w:sz w:val="20"/>
                <w:szCs w:val="20"/>
                <w:color w:val="auto"/>
              </w:rPr>
            </w:pPr>
            <w:r>
              <w:rPr>
                <w:rFonts w:ascii="Arial" w:cs="Arial" w:eastAsia="Arial" w:hAnsi="Arial"/>
                <w:sz w:val="14"/>
                <w:szCs w:val="14"/>
                <w:color w:val="auto"/>
              </w:rPr>
              <w:t>Average tangible equity (non-GAAP)</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88"/>
              <w:spacing w:after="0" w:line="155" w:lineRule="exact"/>
              <w:rPr>
                <w:sz w:val="20"/>
                <w:szCs w:val="20"/>
                <w:color w:val="auto"/>
              </w:rPr>
            </w:pPr>
            <w:r>
              <w:rPr>
                <w:rFonts w:ascii="Arial" w:cs="Arial" w:eastAsia="Arial" w:hAnsi="Arial"/>
                <w:sz w:val="14"/>
                <w:szCs w:val="14"/>
                <w:color w:val="auto"/>
              </w:rPr>
              <w:t>114,514</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ind w:right="88"/>
              <w:spacing w:after="0" w:line="155" w:lineRule="exact"/>
              <w:rPr>
                <w:sz w:val="20"/>
                <w:szCs w:val="20"/>
                <w:color w:val="auto"/>
              </w:rPr>
            </w:pPr>
            <w:r>
              <w:rPr>
                <w:rFonts w:ascii="Arial" w:cs="Arial" w:eastAsia="Arial" w:hAnsi="Arial"/>
                <w:sz w:val="14"/>
                <w:szCs w:val="14"/>
                <w:color w:val="auto"/>
                <w:w w:val="98"/>
              </w:rPr>
              <w:t>114,135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88"/>
              <w:spacing w:after="0" w:line="155" w:lineRule="exact"/>
              <w:rPr>
                <w:sz w:val="20"/>
                <w:szCs w:val="20"/>
                <w:color w:val="auto"/>
              </w:rPr>
            </w:pPr>
            <w:r>
              <w:rPr>
                <w:rFonts w:ascii="Arial" w:cs="Arial" w:eastAsia="Arial" w:hAnsi="Arial"/>
                <w:sz w:val="14"/>
                <w:szCs w:val="14"/>
                <w:color w:val="auto"/>
              </w:rPr>
              <w:t>115,350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88"/>
              <w:spacing w:after="0" w:line="155" w:lineRule="exact"/>
              <w:rPr>
                <w:sz w:val="20"/>
                <w:szCs w:val="20"/>
                <w:color w:val="auto"/>
              </w:rPr>
            </w:pPr>
            <w:r>
              <w:rPr>
                <w:rFonts w:ascii="Arial" w:cs="Arial" w:eastAsia="Arial" w:hAnsi="Arial"/>
                <w:sz w:val="14"/>
                <w:szCs w:val="14"/>
                <w:color w:val="auto"/>
              </w:rPr>
              <w:t>114,524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88"/>
              <w:spacing w:after="0" w:line="155" w:lineRule="exact"/>
              <w:rPr>
                <w:sz w:val="20"/>
                <w:szCs w:val="20"/>
                <w:color w:val="auto"/>
              </w:rPr>
            </w:pPr>
            <w:r>
              <w:rPr>
                <w:rFonts w:ascii="Arial" w:cs="Arial" w:eastAsia="Arial" w:hAnsi="Arial"/>
                <w:sz w:val="14"/>
                <w:szCs w:val="14"/>
                <w:color w:val="auto"/>
              </w:rPr>
              <w:t>113,648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88"/>
              <w:spacing w:after="0" w:line="155" w:lineRule="exact"/>
              <w:rPr>
                <w:sz w:val="20"/>
                <w:szCs w:val="20"/>
                <w:color w:val="auto"/>
              </w:rPr>
            </w:pPr>
            <w:r>
              <w:rPr>
                <w:rFonts w:ascii="Arial" w:cs="Arial" w:eastAsia="Arial" w:hAnsi="Arial"/>
                <w:sz w:val="14"/>
                <w:szCs w:val="14"/>
                <w:color w:val="auto"/>
              </w:rPr>
              <w:t>118,223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88"/>
              <w:spacing w:after="0" w:line="155" w:lineRule="exact"/>
              <w:rPr>
                <w:sz w:val="20"/>
                <w:szCs w:val="20"/>
                <w:color w:val="auto"/>
              </w:rPr>
            </w:pPr>
            <w:r>
              <w:rPr>
                <w:rFonts w:ascii="Arial" w:cs="Arial" w:eastAsia="Arial" w:hAnsi="Arial"/>
                <w:sz w:val="14"/>
                <w:szCs w:val="14"/>
                <w:color w:val="auto"/>
              </w:rPr>
              <w:t>115,534</w:t>
            </w:r>
          </w:p>
        </w:tc>
        <w:tc>
          <w:tcPr>
            <w:tcW w:w="0" w:type="dxa"/>
            <w:vAlign w:val="bottom"/>
          </w:tcPr>
          <w:p>
            <w:pPr>
              <w:spacing w:after="0"/>
              <w:rPr>
                <w:sz w:val="1"/>
                <w:szCs w:val="1"/>
                <w:color w:val="auto"/>
              </w:rPr>
            </w:pPr>
          </w:p>
        </w:tc>
      </w:tr>
      <w:tr>
        <w:trPr>
          <w:trHeight w:val="162"/>
        </w:trPr>
        <w:tc>
          <w:tcPr>
            <w:tcW w:w="2960" w:type="dxa"/>
            <w:vAlign w:val="bottom"/>
            <w:shd w:val="clear" w:color="auto" w:fill="CFF0FC"/>
          </w:tcPr>
          <w:p>
            <w:pPr>
              <w:ind w:left="40"/>
              <w:spacing w:after="0"/>
              <w:rPr>
                <w:sz w:val="20"/>
                <w:szCs w:val="20"/>
                <w:color w:val="auto"/>
              </w:rPr>
            </w:pPr>
            <w:r>
              <w:rPr>
                <w:rFonts w:ascii="Arial" w:cs="Arial" w:eastAsia="Arial" w:hAnsi="Arial"/>
                <w:sz w:val="14"/>
                <w:szCs w:val="14"/>
                <w:color w:val="auto"/>
              </w:rPr>
              <w:t>Net income (loss)</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7,150</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3,631</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2,069</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2,668</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2,413</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(5,564)</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626</w:t>
            </w:r>
          </w:p>
        </w:tc>
        <w:tc>
          <w:tcPr>
            <w:tcW w:w="0" w:type="dxa"/>
            <w:vAlign w:val="bottom"/>
          </w:tcPr>
          <w:p>
            <w:pPr>
              <w:spacing w:after="0"/>
              <w:rPr>
                <w:sz w:val="1"/>
                <w:szCs w:val="1"/>
                <w:color w:val="auto"/>
              </w:rPr>
            </w:pPr>
          </w:p>
        </w:tc>
      </w:tr>
      <w:tr>
        <w:trPr>
          <w:trHeight w:val="162"/>
        </w:trPr>
        <w:tc>
          <w:tcPr>
            <w:tcW w:w="2960" w:type="dxa"/>
            <w:vAlign w:val="bottom"/>
          </w:tcPr>
          <w:p>
            <w:pPr>
              <w:ind w:left="40"/>
              <w:spacing w:after="0"/>
              <w:rPr>
                <w:sz w:val="20"/>
                <w:szCs w:val="20"/>
                <w:color w:val="auto"/>
              </w:rPr>
            </w:pPr>
            <w:r>
              <w:rPr>
                <w:rFonts w:ascii="Arial" w:cs="Arial" w:eastAsia="Arial" w:hAnsi="Arial"/>
                <w:sz w:val="14"/>
                <w:szCs w:val="14"/>
                <w:color w:val="auto"/>
              </w:rPr>
              <w:t>Net income (loss), annualized</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9,560</w:t>
            </w: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4,855</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8,209</w:t>
            </w:r>
          </w:p>
        </w:tc>
        <w:tc>
          <w:tcPr>
            <w:tcW w:w="3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10,701</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9,786</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(22,075)</w:t>
            </w:r>
          </w:p>
        </w:tc>
        <w:tc>
          <w:tcPr>
            <w:tcW w:w="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2,511</w:t>
            </w:r>
          </w:p>
        </w:tc>
        <w:tc>
          <w:tcPr>
            <w:tcW w:w="0" w:type="dxa"/>
            <w:vAlign w:val="bottom"/>
          </w:tcPr>
          <w:p>
            <w:pPr>
              <w:spacing w:after="0"/>
              <w:rPr>
                <w:sz w:val="1"/>
                <w:szCs w:val="1"/>
                <w:color w:val="auto"/>
              </w:rPr>
            </w:pPr>
          </w:p>
        </w:tc>
      </w:tr>
      <w:tr>
        <w:trPr>
          <w:trHeight w:val="135"/>
        </w:trPr>
        <w:tc>
          <w:tcPr>
            <w:tcW w:w="2960" w:type="dxa"/>
            <w:vAlign w:val="bottom"/>
            <w:shd w:val="clear" w:color="auto" w:fill="CFF0FC"/>
          </w:tcPr>
          <w:p>
            <w:pPr>
              <w:ind w:left="40"/>
              <w:spacing w:after="0" w:line="135" w:lineRule="exact"/>
              <w:rPr>
                <w:sz w:val="20"/>
                <w:szCs w:val="20"/>
                <w:color w:val="auto"/>
              </w:rPr>
            </w:pPr>
            <w:r>
              <w:rPr>
                <w:rFonts w:ascii="Arial" w:cs="Arial" w:eastAsia="Arial" w:hAnsi="Arial"/>
                <w:sz w:val="14"/>
                <w:szCs w:val="14"/>
                <w:color w:val="auto"/>
              </w:rPr>
              <w:t>Return on average tangible common equity</w:t>
            </w: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2960" w:type="dxa"/>
            <w:vAlign w:val="bottom"/>
            <w:tcBorders>
              <w:bottom w:val="single" w:sz="8" w:color="auto"/>
            </w:tcBorders>
            <w:shd w:val="clear" w:color="auto" w:fill="CFF0FC"/>
          </w:tcPr>
          <w:p>
            <w:pPr>
              <w:ind w:left="40"/>
              <w:spacing w:after="0" w:line="216" w:lineRule="exact"/>
              <w:rPr>
                <w:sz w:val="20"/>
                <w:szCs w:val="20"/>
                <w:color w:val="auto"/>
              </w:rPr>
            </w:pPr>
            <w:r>
              <w:rPr>
                <w:rFonts w:ascii="Arial" w:cs="Arial" w:eastAsia="Arial" w:hAnsi="Arial"/>
                <w:sz w:val="14"/>
                <w:szCs w:val="14"/>
                <w:color w:val="auto"/>
              </w:rPr>
              <w:t xml:space="preserve">(non-GAAP) </w:t>
            </w:r>
            <w:r>
              <w:rPr>
                <w:rFonts w:ascii="Arial" w:cs="Arial" w:eastAsia="Arial" w:hAnsi="Arial"/>
                <w:sz w:val="19"/>
                <w:szCs w:val="19"/>
                <w:color w:val="auto"/>
                <w:vertAlign w:val="superscript"/>
              </w:rPr>
              <w:t>1</w:t>
            </w:r>
          </w:p>
        </w:tc>
        <w:tc>
          <w:tcPr>
            <w:tcW w:w="1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8.35%</w:t>
            </w:r>
          </w:p>
        </w:tc>
        <w:tc>
          <w:tcPr>
            <w:tcW w:w="1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4.25%</w:t>
            </w:r>
          </w:p>
        </w:tc>
        <w:tc>
          <w:tcPr>
            <w:tcW w:w="1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7.12%</w:t>
            </w:r>
          </w:p>
        </w:tc>
        <w:tc>
          <w:tcPr>
            <w:tcW w:w="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9.34%</w:t>
            </w:r>
          </w:p>
        </w:tc>
        <w:tc>
          <w:tcPr>
            <w:tcW w:w="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8.61%</w:t>
            </w:r>
          </w:p>
        </w:tc>
        <w:tc>
          <w:tcPr>
            <w:tcW w:w="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-18.67%</w:t>
            </w:r>
          </w:p>
        </w:tc>
        <w:tc>
          <w:tcPr>
            <w:tcW w:w="1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33"/>
        </w:trPr>
        <w:tc>
          <w:tcPr>
            <w:tcW w:w="2960" w:type="dxa"/>
            <w:vAlign w:val="bottom"/>
          </w:tcPr>
          <w:p>
            <w:pPr>
              <w:spacing w:after="0" w:line="133" w:lineRule="exact"/>
              <w:rPr>
                <w:sz w:val="20"/>
                <w:szCs w:val="20"/>
                <w:color w:val="auto"/>
              </w:rPr>
            </w:pPr>
            <w:r>
              <w:rPr>
                <w:rFonts w:ascii="Arial" w:cs="Arial" w:eastAsia="Arial" w:hAnsi="Arial"/>
                <w:sz w:val="14"/>
                <w:szCs w:val="14"/>
                <w:color w:val="auto"/>
              </w:rPr>
              <w:t>Revenue, pre-tax, pre-provision net income,</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960" w:type="dxa"/>
            <w:vAlign w:val="bottom"/>
          </w:tcPr>
          <w:p>
            <w:pPr>
              <w:spacing w:after="0"/>
              <w:rPr>
                <w:sz w:val="20"/>
                <w:szCs w:val="20"/>
                <w:color w:val="auto"/>
              </w:rPr>
            </w:pPr>
            <w:r>
              <w:rPr>
                <w:rFonts w:ascii="Arial" w:cs="Arial" w:eastAsia="Arial" w:hAnsi="Arial"/>
                <w:sz w:val="14"/>
                <w:szCs w:val="14"/>
                <w:color w:val="auto"/>
              </w:rPr>
              <w:t>and efficiency ratio:</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shd w:val="clear" w:color="auto" w:fill="CFF0FC"/>
          </w:tcPr>
          <w:p>
            <w:pPr>
              <w:ind w:left="40"/>
              <w:spacing w:after="0"/>
              <w:rPr>
                <w:sz w:val="20"/>
                <w:szCs w:val="20"/>
                <w:color w:val="auto"/>
              </w:rPr>
            </w:pPr>
            <w:r>
              <w:rPr>
                <w:rFonts w:ascii="Arial" w:cs="Arial" w:eastAsia="Arial" w:hAnsi="Arial"/>
                <w:sz w:val="14"/>
                <w:szCs w:val="14"/>
                <w:color w:val="auto"/>
              </w:rPr>
              <w:t>Net interest income</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31,587</w:t>
            </w: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33,825</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10,711</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10,536</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10,340</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10,510</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11,600</w:t>
            </w:r>
          </w:p>
        </w:tc>
        <w:tc>
          <w:tcPr>
            <w:tcW w:w="0" w:type="dxa"/>
            <w:vAlign w:val="bottom"/>
          </w:tcPr>
          <w:p>
            <w:pPr>
              <w:spacing w:after="0"/>
              <w:rPr>
                <w:sz w:val="1"/>
                <w:szCs w:val="1"/>
                <w:color w:val="auto"/>
              </w:rPr>
            </w:pPr>
          </w:p>
        </w:tc>
      </w:tr>
      <w:tr>
        <w:trPr>
          <w:trHeight w:val="162"/>
        </w:trPr>
        <w:tc>
          <w:tcPr>
            <w:tcW w:w="2960" w:type="dxa"/>
            <w:vAlign w:val="bottom"/>
          </w:tcPr>
          <w:p>
            <w:pPr>
              <w:ind w:left="40"/>
              <w:spacing w:after="0"/>
              <w:rPr>
                <w:sz w:val="20"/>
                <w:szCs w:val="20"/>
                <w:color w:val="auto"/>
              </w:rPr>
            </w:pPr>
            <w:r>
              <w:rPr>
                <w:rFonts w:ascii="Arial" w:cs="Arial" w:eastAsia="Arial" w:hAnsi="Arial"/>
                <w:sz w:val="14"/>
                <w:szCs w:val="14"/>
                <w:color w:val="auto"/>
              </w:rPr>
              <w:t>Total noninterest income (loss)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3,748</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1,182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1,397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1,224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1,127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1,313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1,503</w:t>
            </w:r>
          </w:p>
        </w:tc>
        <w:tc>
          <w:tcPr>
            <w:tcW w:w="0" w:type="dxa"/>
            <w:vAlign w:val="bottom"/>
          </w:tcPr>
          <w:p>
            <w:pPr>
              <w:spacing w:after="0"/>
              <w:rPr>
                <w:sz w:val="1"/>
                <w:szCs w:val="1"/>
                <w:color w:val="auto"/>
              </w:rPr>
            </w:pPr>
          </w:p>
        </w:tc>
      </w:tr>
      <w:tr>
        <w:trPr>
          <w:trHeight w:val="153"/>
        </w:trPr>
        <w:tc>
          <w:tcPr>
            <w:tcW w:w="2960" w:type="dxa"/>
            <w:vAlign w:val="bottom"/>
            <w:shd w:val="clear" w:color="auto" w:fill="CFF0FC"/>
          </w:tcPr>
          <w:p>
            <w:pPr>
              <w:ind w:left="40"/>
              <w:spacing w:after="0" w:line="153" w:lineRule="exact"/>
              <w:rPr>
                <w:sz w:val="20"/>
                <w:szCs w:val="20"/>
                <w:color w:val="auto"/>
              </w:rPr>
            </w:pPr>
            <w:r>
              <w:rPr>
                <w:rFonts w:ascii="Arial" w:cs="Arial" w:eastAsia="Arial" w:hAnsi="Arial"/>
                <w:sz w:val="14"/>
                <w:szCs w:val="14"/>
                <w:color w:val="auto"/>
              </w:rPr>
              <w:t>Net realized gain (loss) on sales and</w:t>
            </w: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60" w:type="dxa"/>
            <w:vAlign w:val="bottom"/>
            <w:shd w:val="clear" w:color="auto" w:fill="CFF0FC"/>
          </w:tcPr>
          <w:p>
            <w:pPr>
              <w:ind w:left="40"/>
              <w:spacing w:after="0"/>
              <w:rPr>
                <w:sz w:val="20"/>
                <w:szCs w:val="20"/>
                <w:color w:val="auto"/>
              </w:rPr>
            </w:pPr>
            <w:r>
              <w:rPr>
                <w:rFonts w:ascii="Arial" w:cs="Arial" w:eastAsia="Arial" w:hAnsi="Arial"/>
                <w:sz w:val="14"/>
                <w:szCs w:val="14"/>
                <w:color w:val="auto"/>
              </w:rPr>
              <w:t>redemptions of investment securities</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34</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(20)</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39</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53"/>
        </w:trPr>
        <w:tc>
          <w:tcPr>
            <w:tcW w:w="2960" w:type="dxa"/>
            <w:vAlign w:val="bottom"/>
          </w:tcPr>
          <w:p>
            <w:pPr>
              <w:ind w:left="40"/>
              <w:spacing w:after="0" w:line="153" w:lineRule="exact"/>
              <w:rPr>
                <w:sz w:val="20"/>
                <w:szCs w:val="20"/>
                <w:color w:val="auto"/>
              </w:rPr>
            </w:pPr>
            <w:r>
              <w:rPr>
                <w:rFonts w:ascii="Arial" w:cs="Arial" w:eastAsia="Arial" w:hAnsi="Arial"/>
                <w:sz w:val="14"/>
                <w:szCs w:val="14"/>
                <w:color w:val="auto"/>
              </w:rPr>
              <w:t>Gain on sales of loans and foreclosed real</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60" w:type="dxa"/>
            <w:vAlign w:val="bottom"/>
          </w:tcPr>
          <w:p>
            <w:pPr>
              <w:ind w:left="40"/>
              <w:spacing w:after="0"/>
              <w:rPr>
                <w:sz w:val="20"/>
                <w:szCs w:val="20"/>
                <w:color w:val="auto"/>
              </w:rPr>
            </w:pPr>
            <w:r>
              <w:rPr>
                <w:rFonts w:ascii="Arial" w:cs="Arial" w:eastAsia="Arial" w:hAnsi="Arial"/>
                <w:sz w:val="14"/>
                <w:szCs w:val="14"/>
                <w:color w:val="auto"/>
              </w:rPr>
              <w:t>estate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377</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269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96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95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186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133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89"/>
        </w:trPr>
        <w:tc>
          <w:tcPr>
            <w:tcW w:w="2960" w:type="dxa"/>
            <w:vAlign w:val="bottom"/>
            <w:shd w:val="clear" w:color="auto" w:fill="CFF0FC"/>
          </w:tcPr>
          <w:p>
            <w:pPr>
              <w:ind w:left="40"/>
              <w:spacing w:after="0" w:line="189" w:lineRule="exact"/>
              <w:rPr>
                <w:sz w:val="20"/>
                <w:szCs w:val="20"/>
                <w:color w:val="auto"/>
              </w:rPr>
            </w:pPr>
            <w:r>
              <w:rPr>
                <w:rFonts w:ascii="Arial" w:cs="Arial" w:eastAsia="Arial" w:hAnsi="Arial"/>
                <w:sz w:val="14"/>
                <w:szCs w:val="14"/>
                <w:color w:val="auto"/>
              </w:rPr>
              <w:t xml:space="preserve">Fair value adjustment to loans held-for-sale </w:t>
            </w:r>
            <w:r>
              <w:rPr>
                <w:rFonts w:ascii="Arial" w:cs="Arial" w:eastAsia="Arial" w:hAnsi="Arial"/>
                <w:sz w:val="19"/>
                <w:szCs w:val="19"/>
                <w:color w:val="auto"/>
                <w:vertAlign w:val="superscript"/>
              </w:rPr>
              <w:t>2</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(203)</w:t>
            </w: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(3,064)</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(203)</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(398)</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Loss on asset sale</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960" w:type="dxa"/>
            <w:vAlign w:val="bottom"/>
            <w:tcBorders>
              <w:bottom w:val="single" w:sz="8" w:color="auto"/>
            </w:tcBorders>
            <w:shd w:val="clear" w:color="auto" w:fill="CFF0FC"/>
          </w:tcPr>
          <w:p>
            <w:pPr>
              <w:ind w:left="60"/>
              <w:spacing w:after="0" w:line="183" w:lineRule="exact"/>
              <w:rPr>
                <w:sz w:val="20"/>
                <w:szCs w:val="20"/>
                <w:color w:val="auto"/>
              </w:rPr>
            </w:pPr>
            <w:r>
              <w:rPr>
                <w:rFonts w:ascii="Arial" w:cs="Arial" w:eastAsia="Arial" w:hAnsi="Arial"/>
                <w:sz w:val="14"/>
                <w:szCs w:val="14"/>
                <w:color w:val="auto"/>
              </w:rPr>
              <w:t xml:space="preserve">Revenue (non-GAAP) </w:t>
            </w:r>
            <w:r>
              <w:rPr>
                <w:rFonts w:ascii="Arial" w:cs="Arial" w:eastAsia="Arial" w:hAnsi="Arial"/>
                <w:sz w:val="19"/>
                <w:szCs w:val="19"/>
                <w:color w:val="auto"/>
                <w:vertAlign w:val="superscript"/>
              </w:rPr>
              <w:t>3</w:t>
            </w:r>
          </w:p>
        </w:tc>
        <w:tc>
          <w:tcPr>
            <w:tcW w:w="1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35,127</w:t>
            </w:r>
          </w:p>
        </w:tc>
        <w:tc>
          <w:tcPr>
            <w:tcW w:w="1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37,822</w:t>
            </w:r>
          </w:p>
        </w:tc>
        <w:tc>
          <w:tcPr>
            <w:tcW w:w="1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11,973</w:t>
            </w: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11,665</w:t>
            </w: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11,489</w:t>
            </w: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12,206</w:t>
            </w:r>
          </w:p>
        </w:tc>
        <w:tc>
          <w:tcPr>
            <w:tcW w:w="1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12,994</w:t>
            </w:r>
          </w:p>
        </w:tc>
        <w:tc>
          <w:tcPr>
            <w:tcW w:w="0" w:type="dxa"/>
            <w:vAlign w:val="bottom"/>
          </w:tcPr>
          <w:p>
            <w:pPr>
              <w:spacing w:after="0"/>
              <w:rPr>
                <w:sz w:val="1"/>
                <w:szCs w:val="1"/>
                <w:color w:val="auto"/>
              </w:rPr>
            </w:pPr>
          </w:p>
        </w:tc>
      </w:tr>
      <w:tr>
        <w:trPr>
          <w:trHeight w:val="155"/>
        </w:trPr>
        <w:tc>
          <w:tcPr>
            <w:tcW w:w="296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Total noninterest expense</w:t>
            </w: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26,708</w:t>
            </w:r>
          </w:p>
        </w:tc>
        <w:tc>
          <w:tcPr>
            <w:tcW w:w="1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25,431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9,354</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8,662</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8,692</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9,150</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8,937</w:t>
            </w:r>
          </w:p>
        </w:tc>
        <w:tc>
          <w:tcPr>
            <w:tcW w:w="0" w:type="dxa"/>
            <w:vAlign w:val="bottom"/>
          </w:tcPr>
          <w:p>
            <w:pPr>
              <w:spacing w:after="0"/>
              <w:rPr>
                <w:sz w:val="1"/>
                <w:szCs w:val="1"/>
                <w:color w:val="auto"/>
              </w:rPr>
            </w:pPr>
          </w:p>
        </w:tc>
      </w:tr>
      <w:tr>
        <w:trPr>
          <w:trHeight w:val="129"/>
        </w:trPr>
        <w:tc>
          <w:tcPr>
            <w:tcW w:w="2960" w:type="dxa"/>
            <w:vAlign w:val="bottom"/>
            <w:shd w:val="clear" w:color="auto" w:fill="CFF0FC"/>
          </w:tcPr>
          <w:p>
            <w:pPr>
              <w:ind w:left="60"/>
              <w:spacing w:after="0" w:line="129" w:lineRule="exact"/>
              <w:rPr>
                <w:sz w:val="20"/>
                <w:szCs w:val="20"/>
                <w:color w:val="auto"/>
              </w:rPr>
            </w:pPr>
            <w:r>
              <w:rPr>
                <w:rFonts w:ascii="Arial" w:cs="Arial" w:eastAsia="Arial" w:hAnsi="Arial"/>
                <w:sz w:val="14"/>
                <w:szCs w:val="14"/>
                <w:color w:val="auto"/>
              </w:rPr>
              <w:t>Pre-tax, pre-provision net income (non-</w:t>
            </w: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ind w:left="60"/>
              <w:spacing w:after="0" w:line="216" w:lineRule="exact"/>
              <w:rPr>
                <w:sz w:val="20"/>
                <w:szCs w:val="20"/>
                <w:color w:val="auto"/>
              </w:rPr>
            </w:pPr>
            <w:r>
              <w:rPr>
                <w:rFonts w:ascii="Arial" w:cs="Arial" w:eastAsia="Arial" w:hAnsi="Arial"/>
                <w:sz w:val="14"/>
                <w:szCs w:val="14"/>
                <w:color w:val="auto"/>
              </w:rPr>
              <w:t xml:space="preserve">GAAP) </w:t>
            </w:r>
            <w:r>
              <w:rPr>
                <w:rFonts w:ascii="Arial" w:cs="Arial" w:eastAsia="Arial" w:hAnsi="Arial"/>
                <w:sz w:val="19"/>
                <w:szCs w:val="19"/>
                <w:color w:val="auto"/>
                <w:vertAlign w:val="superscript"/>
              </w:rPr>
              <w:t>4</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8,419</w:t>
            </w: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12,391</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2,619</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3,003</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2,797</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3,056</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4,057</w:t>
            </w:r>
          </w:p>
        </w:tc>
        <w:tc>
          <w:tcPr>
            <w:tcW w:w="0" w:type="dxa"/>
            <w:vAlign w:val="bottom"/>
          </w:tcPr>
          <w:p>
            <w:pPr>
              <w:spacing w:after="0"/>
              <w:rPr>
                <w:sz w:val="1"/>
                <w:szCs w:val="1"/>
                <w:color w:val="auto"/>
              </w:rPr>
            </w:pPr>
          </w:p>
        </w:tc>
      </w:tr>
      <w:tr>
        <w:trPr>
          <w:trHeight w:val="183"/>
        </w:trPr>
        <w:tc>
          <w:tcPr>
            <w:tcW w:w="2960" w:type="dxa"/>
            <w:vAlign w:val="bottom"/>
            <w:tcBorders>
              <w:top w:val="single" w:sz="8" w:color="auto"/>
              <w:bottom w:val="single" w:sz="8" w:color="auto"/>
            </w:tcBorders>
          </w:tcPr>
          <w:p>
            <w:pPr>
              <w:ind w:left="80"/>
              <w:spacing w:after="0" w:line="183" w:lineRule="exact"/>
              <w:rPr>
                <w:sz w:val="20"/>
                <w:szCs w:val="20"/>
                <w:color w:val="auto"/>
              </w:rPr>
            </w:pPr>
            <w:r>
              <w:rPr>
                <w:rFonts w:ascii="Arial" w:cs="Arial" w:eastAsia="Arial" w:hAnsi="Arial"/>
                <w:sz w:val="14"/>
                <w:szCs w:val="14"/>
                <w:color w:val="auto"/>
              </w:rPr>
              <w:t xml:space="preserve">Efficiency ratio (non-GAAP) </w:t>
            </w:r>
            <w:r>
              <w:rPr>
                <w:rFonts w:ascii="Arial" w:cs="Arial" w:eastAsia="Arial" w:hAnsi="Arial"/>
                <w:sz w:val="19"/>
                <w:szCs w:val="19"/>
                <w:color w:val="auto"/>
                <w:vertAlign w:val="superscript"/>
              </w:rPr>
              <w:t>5</w:t>
            </w:r>
          </w:p>
        </w:tc>
        <w:tc>
          <w:tcPr>
            <w:tcW w:w="160" w:type="dxa"/>
            <w:vAlign w:val="bottom"/>
            <w:tcBorders>
              <w:top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76.03%</w:t>
            </w:r>
          </w:p>
        </w:tc>
        <w:tc>
          <w:tcPr>
            <w:tcW w:w="160" w:type="dxa"/>
            <w:vAlign w:val="bottom"/>
            <w:tcBorders>
              <w:top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67.24%</w:t>
            </w:r>
          </w:p>
        </w:tc>
        <w:tc>
          <w:tcPr>
            <w:tcW w:w="160" w:type="dxa"/>
            <w:vAlign w:val="bottom"/>
            <w:tcBorders>
              <w:top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78.13%</w:t>
            </w:r>
          </w:p>
        </w:tc>
        <w:tc>
          <w:tcPr>
            <w:tcW w:w="160" w:type="dxa"/>
            <w:vAlign w:val="bottom"/>
            <w:tcBorders>
              <w:top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74.26%</w:t>
            </w:r>
          </w:p>
        </w:tc>
        <w:tc>
          <w:tcPr>
            <w:tcW w:w="160" w:type="dxa"/>
            <w:vAlign w:val="bottom"/>
            <w:tcBorders>
              <w:top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75.65%</w:t>
            </w:r>
          </w:p>
        </w:tc>
        <w:tc>
          <w:tcPr>
            <w:tcW w:w="160" w:type="dxa"/>
            <w:vAlign w:val="bottom"/>
            <w:tcBorders>
              <w:top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74.96%</w:t>
            </w:r>
          </w:p>
        </w:tc>
        <w:tc>
          <w:tcPr>
            <w:tcW w:w="160" w:type="dxa"/>
            <w:vAlign w:val="bottom"/>
            <w:tcBorders>
              <w:top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68.78%</w:t>
            </w:r>
          </w:p>
        </w:tc>
        <w:tc>
          <w:tcPr>
            <w:tcW w:w="0" w:type="dxa"/>
            <w:vAlign w:val="bottom"/>
          </w:tcPr>
          <w:p>
            <w:pPr>
              <w:spacing w:after="0"/>
              <w:rPr>
                <w:sz w:val="1"/>
                <w:szCs w:val="1"/>
                <w:color w:val="auto"/>
              </w:rPr>
            </w:pPr>
          </w:p>
        </w:tc>
      </w:tr>
      <w:tr>
        <w:trPr>
          <w:trHeight w:val="20"/>
        </w:trPr>
        <w:tc>
          <w:tcPr>
            <w:tcW w:w="2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-3548380</wp:posOffset>
            </wp:positionV>
            <wp:extent cx="1028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-3548380</wp:posOffset>
            </wp:positionV>
            <wp:extent cx="1028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-3548380</wp:posOffset>
            </wp:positionV>
            <wp:extent cx="1028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-3548380</wp:posOffset>
            </wp:positionV>
            <wp:extent cx="1028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-3548380</wp:posOffset>
            </wp:positionV>
            <wp:extent cx="1028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-3333750</wp:posOffset>
            </wp:positionV>
            <wp:extent cx="1028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-3333750</wp:posOffset>
            </wp:positionV>
            <wp:extent cx="1028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-3333750</wp:posOffset>
            </wp:positionV>
            <wp:extent cx="1028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-3333750</wp:posOffset>
            </wp:positionV>
            <wp:extent cx="1028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-3333750</wp:posOffset>
            </wp:positionV>
            <wp:extent cx="1028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-2785110</wp:posOffset>
            </wp:positionV>
            <wp:extent cx="1028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-2785110</wp:posOffset>
            </wp:positionV>
            <wp:extent cx="1028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-2785110</wp:posOffset>
            </wp:positionV>
            <wp:extent cx="1028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-2785110</wp:posOffset>
            </wp:positionV>
            <wp:extent cx="1028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-2785110</wp:posOffset>
            </wp:positionV>
            <wp:extent cx="1028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-2236470</wp:posOffset>
            </wp:positionV>
            <wp:extent cx="1028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-2236470</wp:posOffset>
            </wp:positionV>
            <wp:extent cx="1028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-2236470</wp:posOffset>
            </wp:positionV>
            <wp:extent cx="1028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-2236470</wp:posOffset>
            </wp:positionV>
            <wp:extent cx="1028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-2236470</wp:posOffset>
            </wp:positionV>
            <wp:extent cx="1028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-2236470</wp:posOffset>
            </wp:positionV>
            <wp:extent cx="1028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-2236470</wp:posOffset>
            </wp:positionV>
            <wp:extent cx="1028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-1696720</wp:posOffset>
            </wp:positionV>
            <wp:extent cx="1028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-1679575</wp:posOffset>
            </wp:positionV>
            <wp:extent cx="1028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-1696720</wp:posOffset>
            </wp:positionV>
            <wp:extent cx="1028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-1679575</wp:posOffset>
            </wp:positionV>
            <wp:extent cx="1028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-1696720</wp:posOffset>
            </wp:positionV>
            <wp:extent cx="1028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-1679575</wp:posOffset>
            </wp:positionV>
            <wp:extent cx="1028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-1696720</wp:posOffset>
            </wp:positionV>
            <wp:extent cx="1028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-1679575</wp:posOffset>
            </wp:positionV>
            <wp:extent cx="1028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-1696720</wp:posOffset>
            </wp:positionV>
            <wp:extent cx="1028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-1679575</wp:posOffset>
            </wp:positionV>
            <wp:extent cx="1028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-1696720</wp:posOffset>
            </wp:positionV>
            <wp:extent cx="1028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-1679575</wp:posOffset>
            </wp:positionV>
            <wp:extent cx="1028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-1696720</wp:posOffset>
            </wp:positionV>
            <wp:extent cx="1028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-1679575</wp:posOffset>
            </wp:positionV>
            <wp:extent cx="1028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-496570</wp:posOffset>
            </wp:positionV>
            <wp:extent cx="1028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-496570</wp:posOffset>
            </wp:positionV>
            <wp:extent cx="1028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-496570</wp:posOffset>
            </wp:positionV>
            <wp:extent cx="1028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-496570</wp:posOffset>
            </wp:positionV>
            <wp:extent cx="1028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-496570</wp:posOffset>
            </wp:positionV>
            <wp:extent cx="1028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-496570</wp:posOffset>
            </wp:positionV>
            <wp:extent cx="1028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-496570</wp:posOffset>
            </wp:positionV>
            <wp:extent cx="1028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-153670</wp:posOffset>
            </wp:positionV>
            <wp:extent cx="1028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-153670</wp:posOffset>
            </wp:positionV>
            <wp:extent cx="1028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-153670</wp:posOffset>
            </wp:positionV>
            <wp:extent cx="1028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-153670</wp:posOffset>
            </wp:positionV>
            <wp:extent cx="1028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-153670</wp:posOffset>
            </wp:positionV>
            <wp:extent cx="1028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-153670</wp:posOffset>
            </wp:positionV>
            <wp:extent cx="1028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-153670</wp:posOffset>
            </wp:positionV>
            <wp:extent cx="1028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ind w:left="80" w:hanging="72"/>
        <w:spacing w:after="0"/>
        <w:tabs>
          <w:tab w:leader="none" w:pos="80" w:val="left"/>
        </w:tabs>
        <w:numPr>
          <w:ilvl w:val="0"/>
          <w:numId w:val="11"/>
        </w:numPr>
        <w:rPr>
          <w:rFonts w:ascii="Arial" w:cs="Arial" w:eastAsia="Arial" w:hAnsi="Arial"/>
          <w:sz w:val="7"/>
          <w:szCs w:val="7"/>
          <w:color w:val="auto"/>
        </w:rPr>
      </w:pPr>
      <w:r>
        <w:rPr>
          <w:rFonts w:ascii="Arial" w:cs="Arial" w:eastAsia="Arial" w:hAnsi="Arial"/>
          <w:sz w:val="11"/>
          <w:szCs w:val="11"/>
          <w:color w:val="auto"/>
        </w:rPr>
        <w:t>Return on average tangible common equity equals annualized net income (loss) divided by average tangible equity.</w:t>
      </w:r>
    </w:p>
    <w:p>
      <w:pPr>
        <w:spacing w:after="0" w:line="15" w:lineRule="exact"/>
        <w:rPr>
          <w:sz w:val="20"/>
          <w:szCs w:val="20"/>
          <w:color w:val="auto"/>
        </w:rPr>
      </w:pPr>
    </w:p>
    <w:p>
      <w:pPr>
        <w:ind w:left="80" w:hanging="72"/>
        <w:spacing w:after="0"/>
        <w:tabs>
          <w:tab w:leader="none" w:pos="80" w:val="left"/>
        </w:tabs>
        <w:numPr>
          <w:ilvl w:val="0"/>
          <w:numId w:val="12"/>
        </w:numPr>
        <w:rPr>
          <w:rFonts w:ascii="Arial" w:cs="Arial" w:eastAsia="Arial" w:hAnsi="Arial"/>
          <w:sz w:val="7"/>
          <w:szCs w:val="7"/>
          <w:color w:val="auto"/>
        </w:rPr>
      </w:pPr>
      <w:r>
        <w:rPr>
          <w:rFonts w:ascii="Arial" w:cs="Arial" w:eastAsia="Arial" w:hAnsi="Arial"/>
          <w:sz w:val="11"/>
          <w:szCs w:val="11"/>
          <w:color w:val="auto"/>
        </w:rPr>
        <w:t>The loss reflects a valuation adjustment “Lower-of-cost-or-market" adjustment on loans held for sale to the estimated market value based on sale negotiation terms.</w:t>
      </w:r>
    </w:p>
    <w:p>
      <w:pPr>
        <w:spacing w:after="0" w:line="9" w:lineRule="exact"/>
        <w:rPr>
          <w:sz w:val="20"/>
          <w:szCs w:val="20"/>
          <w:color w:val="auto"/>
        </w:rPr>
      </w:pPr>
    </w:p>
    <w:p>
      <w:pPr>
        <w:ind w:right="120" w:firstLine="8"/>
        <w:spacing w:after="0" w:line="243" w:lineRule="auto"/>
        <w:tabs>
          <w:tab w:leader="none" w:pos="70" w:val="left"/>
        </w:tabs>
        <w:numPr>
          <w:ilvl w:val="0"/>
          <w:numId w:val="13"/>
        </w:numPr>
        <w:rPr>
          <w:rFonts w:ascii="Arial" w:cs="Arial" w:eastAsia="Arial" w:hAnsi="Arial"/>
          <w:sz w:val="7"/>
          <w:szCs w:val="7"/>
          <w:color w:val="auto"/>
        </w:rPr>
      </w:pPr>
      <w:r>
        <w:rPr>
          <w:rFonts w:ascii="Arial" w:cs="Arial" w:eastAsia="Arial" w:hAnsi="Arial"/>
          <w:sz w:val="11"/>
          <w:szCs w:val="11"/>
          <w:color w:val="auto"/>
        </w:rPr>
        <w:t>Revenue equals net interest income plus total noninterest income, less net realized gains or losses on sales and redemptions of investment securities, sales of loans and foreclosed real estate, fair value adjustment to loans held-for-sale, and sales of assets.</w:t>
      </w:r>
    </w:p>
    <w:p>
      <w:pPr>
        <w:ind w:right="7320"/>
        <w:spacing w:after="0" w:line="323" w:lineRule="auto"/>
        <w:rPr>
          <w:rFonts w:ascii="Arial" w:cs="Arial" w:eastAsia="Arial" w:hAnsi="Arial"/>
          <w:sz w:val="7"/>
          <w:szCs w:val="7"/>
          <w:color w:val="auto"/>
        </w:rPr>
      </w:pPr>
      <w:r>
        <w:rPr>
          <w:rFonts w:ascii="Arial" w:cs="Arial" w:eastAsia="Arial" w:hAnsi="Arial"/>
          <w:sz w:val="7"/>
          <w:szCs w:val="7"/>
          <w:color w:val="auto"/>
        </w:rPr>
        <w:t xml:space="preserve">4 </w:t>
      </w:r>
      <w:r>
        <w:rPr>
          <w:rFonts w:ascii="Arial" w:cs="Arial" w:eastAsia="Arial" w:hAnsi="Arial"/>
          <w:sz w:val="10"/>
          <w:szCs w:val="10"/>
          <w:color w:val="auto"/>
        </w:rPr>
        <w:t>Pre-tax, pre-provision net income equals revenue less total noninterest expense.</w:t>
      </w:r>
      <w:r>
        <w:rPr>
          <w:rFonts w:ascii="Arial" w:cs="Arial" w:eastAsia="Arial" w:hAnsi="Arial"/>
          <w:sz w:val="7"/>
          <w:szCs w:val="7"/>
          <w:color w:val="auto"/>
        </w:rPr>
        <w:t xml:space="preserve"> 5 </w:t>
      </w:r>
      <w:r>
        <w:rPr>
          <w:rFonts w:ascii="Arial" w:cs="Arial" w:eastAsia="Arial" w:hAnsi="Arial"/>
          <w:sz w:val="10"/>
          <w:szCs w:val="10"/>
          <w:color w:val="auto"/>
        </w:rPr>
        <w:t>Efficiency ratio equals noninterest expense divided by revenue.</w:t>
      </w:r>
    </w:p>
    <w:p>
      <w:pPr>
        <w:spacing w:after="0" w:line="62" w:lineRule="exact"/>
        <w:rPr>
          <w:sz w:val="20"/>
          <w:szCs w:val="20"/>
          <w:color w:val="auto"/>
        </w:rPr>
      </w:pPr>
    </w:p>
    <w:p>
      <w:pPr>
        <w:spacing w:after="0"/>
        <w:rPr>
          <w:sz w:val="20"/>
          <w:szCs w:val="20"/>
          <w:color w:val="auto"/>
        </w:rPr>
      </w:pPr>
      <w:r>
        <w:rPr>
          <w:rFonts w:ascii="Arial" w:cs="Arial" w:eastAsia="Arial" w:hAnsi="Arial"/>
          <w:sz w:val="11"/>
          <w:szCs w:val="11"/>
          <w:color w:val="auto"/>
        </w:rPr>
        <w:t>The above information is unaudited and preliminary based on the Company's data available at the time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1"/>
      <w:numFmt w:val="bullet"/>
      <w:start w:val="1"/>
    </w:lvl>
  </w:abstractNum>
  <w:abstractNum w:abstractNumId="7">
    <w:nsid w:val="216231B"/>
    <w:multiLevelType w:val="hybridMultilevel"/>
    <w:lvl w:ilvl="0">
      <w:lvlJc w:val="left"/>
      <w:lvlText w:val="1"/>
      <w:numFmt w:val="bullet"/>
      <w:start w:val="1"/>
    </w:lvl>
  </w:abstractNum>
  <w:abstractNum w:abstractNumId="8">
    <w:nsid w:val="1F16E9E8"/>
    <w:multiLevelType w:val="hybridMultilevel"/>
    <w:lvl w:ilvl="0">
      <w:lvlJc w:val="left"/>
      <w:lvlText w:val="2"/>
      <w:numFmt w:val="bullet"/>
      <w:start w:val="1"/>
    </w:lvl>
  </w:abstractNum>
  <w:abstractNum w:abstractNumId="9">
    <w:nsid w:val="1190CDE7"/>
    <w:multiLevelType w:val="hybridMultilevel"/>
    <w:lvl w:ilvl="0">
      <w:lvlJc w:val="left"/>
      <w:lvlText w:val="1"/>
      <w:numFmt w:val="bullet"/>
      <w:start w:val="1"/>
    </w:lvl>
  </w:abstractNum>
  <w:abstractNum w:abstractNumId="10">
    <w:nsid w:val="66EF438D"/>
    <w:multiLevelType w:val="hybridMultilevel"/>
    <w:lvl w:ilvl="0">
      <w:lvlJc w:val="left"/>
      <w:lvlText w:val="1"/>
      <w:numFmt w:val="bullet"/>
      <w:start w:val="1"/>
    </w:lvl>
  </w:abstractNum>
  <w:abstractNum w:abstractNumId="11">
    <w:nsid w:val="140E0F76"/>
    <w:multiLevelType w:val="hybridMultilevel"/>
    <w:lvl w:ilvl="0">
      <w:lvlJc w:val="left"/>
      <w:lvlText w:val="2"/>
      <w:numFmt w:val="bullet"/>
      <w:start w:val="1"/>
    </w:lvl>
  </w:abstractNum>
  <w:abstractNum w:abstractNumId="12">
    <w:nsid w:val="3352255A"/>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2026-11-02T07:32:32Z</dcterms:created>
  <dcterms:modified xsi:type="dcterms:W3CDTF">2026-11-02T07:32:32Z</dcterms:modified>
</cp:coreProperties>
</file>