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9"/>
          <w:szCs w:val="19"/>
          <w:b w:val="1"/>
          <w:bCs w:val="1"/>
          <w:color w:val="auto"/>
        </w:rPr>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Washington, D.C. 20549</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10-Q</w:t>
      </w:r>
    </w:p>
    <w:p>
      <w:pPr>
        <w:spacing w:after="0" w:line="188" w:lineRule="exact"/>
        <w:rPr>
          <w:sz w:val="24"/>
          <w:szCs w:val="24"/>
          <w:color w:val="auto"/>
        </w:rPr>
      </w:pPr>
    </w:p>
    <w:p>
      <w:pPr>
        <w:ind w:left="2460" w:hanging="762"/>
        <w:spacing w:after="0"/>
        <w:tabs>
          <w:tab w:leader="none" w:pos="2460" w:val="left"/>
        </w:tabs>
        <w:numPr>
          <w:ilvl w:val="0"/>
          <w:numId w:val="1"/>
        </w:numPr>
        <w:rPr>
          <w:rFonts w:ascii="MS PGothic" w:cs="MS PGothic" w:eastAsia="MS PGothic" w:hAnsi="MS PGothic"/>
          <w:sz w:val="16"/>
          <w:szCs w:val="16"/>
          <w:b w:val="1"/>
          <w:bCs w:val="1"/>
          <w:color w:val="auto"/>
        </w:rPr>
      </w:pPr>
      <w:r>
        <w:rPr>
          <w:rFonts w:ascii="Arial" w:cs="Arial" w:eastAsia="Arial" w:hAnsi="Arial"/>
          <w:sz w:val="16"/>
          <w:szCs w:val="16"/>
          <w:color w:val="auto"/>
        </w:rPr>
        <w:t>QUARTERLY REPORT PURSUANT TO SECTION 13 OR 15(d) OF THE SECURITIES</w:t>
      </w:r>
    </w:p>
    <w:p>
      <w:pPr>
        <w:spacing w:after="0" w:line="6" w:lineRule="exact"/>
        <w:rPr>
          <w:rFonts w:ascii="MS PGothic" w:cs="MS PGothic" w:eastAsia="MS PGothic" w:hAnsi="MS PGothic"/>
          <w:sz w:val="16"/>
          <w:szCs w:val="16"/>
          <w:b w:val="1"/>
          <w:bCs w:val="1"/>
          <w:color w:val="auto"/>
        </w:rPr>
      </w:pPr>
    </w:p>
    <w:p>
      <w:pPr>
        <w:ind w:left="4520"/>
        <w:spacing w:after="0"/>
        <w:rPr>
          <w:rFonts w:ascii="MS PGothic" w:cs="MS PGothic" w:eastAsia="MS PGothic" w:hAnsi="MS PGothic"/>
          <w:sz w:val="16"/>
          <w:szCs w:val="16"/>
          <w:b w:val="1"/>
          <w:bCs w:val="1"/>
          <w:color w:val="auto"/>
        </w:rPr>
      </w:pPr>
      <w:r>
        <w:rPr>
          <w:rFonts w:ascii="Arial" w:cs="Arial" w:eastAsia="Arial" w:hAnsi="Arial"/>
          <w:sz w:val="16"/>
          <w:szCs w:val="16"/>
          <w:color w:val="auto"/>
        </w:rPr>
        <w:t>EXCHANGE ACT OF 1934</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 the quarterly period ended June 30, 2023</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32" w:lineRule="exact"/>
        <w:rPr>
          <w:sz w:val="24"/>
          <w:szCs w:val="24"/>
          <w:color w:val="auto"/>
        </w:rPr>
      </w:pPr>
    </w:p>
    <w:p>
      <w:pPr>
        <w:ind w:left="2480" w:hanging="782"/>
        <w:spacing w:after="0"/>
        <w:tabs>
          <w:tab w:leader="none" w:pos="24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w:t>
      </w:r>
    </w:p>
    <w:p>
      <w:pPr>
        <w:spacing w:after="0" w:line="6" w:lineRule="exact"/>
        <w:rPr>
          <w:rFonts w:ascii="MS PGothic" w:cs="MS PGothic" w:eastAsia="MS PGothic" w:hAnsi="MS PGothic"/>
          <w:sz w:val="16"/>
          <w:szCs w:val="16"/>
          <w:color w:val="auto"/>
        </w:rPr>
      </w:pPr>
    </w:p>
    <w:p>
      <w:pPr>
        <w:ind w:left="4520"/>
        <w:spacing w:after="0"/>
        <w:rPr>
          <w:rFonts w:ascii="MS PGothic" w:cs="MS PGothic" w:eastAsia="MS PGothic" w:hAnsi="MS PGothic"/>
          <w:sz w:val="16"/>
          <w:szCs w:val="16"/>
          <w:color w:val="auto"/>
        </w:rPr>
      </w:pPr>
      <w:r>
        <w:rPr>
          <w:rFonts w:ascii="Arial" w:cs="Arial" w:eastAsia="Arial" w:hAnsi="Arial"/>
          <w:sz w:val="16"/>
          <w:szCs w:val="16"/>
          <w:color w:val="auto"/>
        </w:rPr>
        <w:t>EXCHANGE ACT OF 1934</w:t>
      </w:r>
    </w:p>
    <w:p>
      <w:pPr>
        <w:spacing w:after="0" w:line="3" w:lineRule="exact"/>
        <w:rPr>
          <w:sz w:val="24"/>
          <w:szCs w:val="24"/>
          <w:color w:val="auto"/>
        </w:rPr>
      </w:pPr>
    </w:p>
    <w:p>
      <w:pPr>
        <w:ind w:left="3560"/>
        <w:spacing w:after="0"/>
        <w:rPr>
          <w:sz w:val="20"/>
          <w:szCs w:val="20"/>
          <w:color w:val="auto"/>
        </w:rPr>
      </w:pPr>
      <w:r>
        <w:rPr>
          <w:rFonts w:ascii="Arial" w:cs="Arial" w:eastAsia="Arial" w:hAnsi="Arial"/>
          <w:sz w:val="16"/>
          <w:szCs w:val="16"/>
          <w:color w:val="auto"/>
        </w:rPr>
        <w:t>For the transition period from _______ to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2534285</wp:posOffset>
            </wp:positionH>
            <wp:positionV relativeFrom="paragraph">
              <wp:posOffset>-635</wp:posOffset>
            </wp:positionV>
            <wp:extent cx="1623695" cy="381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3695" cy="3810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0" w:type="dxa"/>
            <w:vAlign w:val="bottom"/>
            <w:gridSpan w:val="13"/>
          </w:tcPr>
          <w:p>
            <w:pPr>
              <w:jc w:val="center"/>
              <w:ind w:right="3340"/>
              <w:spacing w:after="0"/>
              <w:rPr>
                <w:sz w:val="20"/>
                <w:szCs w:val="20"/>
                <w:color w:val="auto"/>
              </w:rPr>
            </w:pPr>
            <w:r>
              <w:rPr>
                <w:rFonts w:ascii="Arial" w:cs="Arial" w:eastAsia="Arial" w:hAnsi="Arial"/>
                <w:sz w:val="16"/>
                <w:szCs w:val="16"/>
                <w:color w:val="auto"/>
                <w:w w:val="97"/>
              </w:rPr>
              <w:t>(Exact Name of Company as Specified in its Charter)</w:t>
            </w:r>
          </w:p>
        </w:tc>
      </w:tr>
      <w:tr>
        <w:trPr>
          <w:trHeight w:val="314"/>
        </w:trPr>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97"/>
              </w:rPr>
              <w:t>Maryland</w:t>
            </w:r>
          </w:p>
        </w:tc>
        <w:tc>
          <w:tcPr>
            <w:tcW w:w="1260" w:type="dxa"/>
            <w:vAlign w:val="bottom"/>
            <w:gridSpan w:val="2"/>
          </w:tcPr>
          <w:p>
            <w:pPr>
              <w:spacing w:after="0"/>
              <w:rPr>
                <w:sz w:val="24"/>
                <w:szCs w:val="24"/>
                <w:color w:val="auto"/>
              </w:rPr>
            </w:pPr>
          </w:p>
        </w:tc>
        <w:tc>
          <w:tcPr>
            <w:tcW w:w="1560" w:type="dxa"/>
            <w:vAlign w:val="bottom"/>
            <w:gridSpan w:val="4"/>
          </w:tcPr>
          <w:p>
            <w:pPr>
              <w:spacing w:after="0"/>
              <w:rPr>
                <w:sz w:val="24"/>
                <w:szCs w:val="24"/>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6"/>
                <w:szCs w:val="16"/>
                <w:color w:val="auto"/>
                <w:w w:val="96"/>
              </w:rPr>
              <w:t>001-36695</w:t>
            </w:r>
          </w:p>
        </w:tc>
        <w:tc>
          <w:tcPr>
            <w:tcW w:w="580" w:type="dxa"/>
            <w:vAlign w:val="bottom"/>
          </w:tcPr>
          <w:p>
            <w:pPr>
              <w:spacing w:after="0"/>
              <w:rPr>
                <w:sz w:val="24"/>
                <w:szCs w:val="24"/>
                <w:color w:val="auto"/>
              </w:rPr>
            </w:pPr>
          </w:p>
        </w:tc>
        <w:tc>
          <w:tcPr>
            <w:tcW w:w="3100" w:type="dxa"/>
            <w:vAlign w:val="bottom"/>
            <w:gridSpan w:val="4"/>
          </w:tcPr>
          <w:p>
            <w:pPr>
              <w:jc w:val="right"/>
              <w:ind w:right="300"/>
              <w:spacing w:after="0"/>
              <w:rPr>
                <w:sz w:val="20"/>
                <w:szCs w:val="20"/>
                <w:color w:val="auto"/>
              </w:rPr>
            </w:pPr>
            <w:r>
              <w:rPr>
                <w:rFonts w:ascii="Arial" w:cs="Arial" w:eastAsia="Arial" w:hAnsi="Arial"/>
                <w:sz w:val="16"/>
                <w:szCs w:val="16"/>
                <w:color w:val="auto"/>
              </w:rPr>
              <w:t>38-3941859</w:t>
            </w:r>
          </w:p>
        </w:tc>
        <w:tc>
          <w:tcPr>
            <w:tcW w:w="10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4"/>
        </w:trPr>
        <w:tc>
          <w:tcPr>
            <w:tcW w:w="3360" w:type="dxa"/>
            <w:vAlign w:val="bottom"/>
            <w:gridSpan w:val="5"/>
          </w:tcPr>
          <w:p>
            <w:pPr>
              <w:jc w:val="center"/>
              <w:ind w:left="102"/>
              <w:spacing w:after="0"/>
              <w:rPr>
                <w:sz w:val="20"/>
                <w:szCs w:val="20"/>
                <w:color w:val="auto"/>
              </w:rPr>
            </w:pPr>
            <w:r>
              <w:rPr>
                <w:rFonts w:ascii="Arial" w:cs="Arial" w:eastAsia="Arial" w:hAnsi="Arial"/>
                <w:sz w:val="16"/>
                <w:szCs w:val="16"/>
                <w:color w:val="auto"/>
                <w:w w:val="97"/>
              </w:rPr>
              <w:t>(State of Other Jurisdiction of Incorporation)</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80" w:type="dxa"/>
            <w:vAlign w:val="bottom"/>
            <w:gridSpan w:val="6"/>
          </w:tcPr>
          <w:p>
            <w:pPr>
              <w:jc w:val="center"/>
              <w:ind w:left="242"/>
              <w:spacing w:after="0"/>
              <w:rPr>
                <w:sz w:val="20"/>
                <w:szCs w:val="20"/>
                <w:color w:val="auto"/>
              </w:rPr>
            </w:pPr>
            <w:r>
              <w:rPr>
                <w:rFonts w:ascii="Arial" w:cs="Arial" w:eastAsia="Arial" w:hAnsi="Arial"/>
                <w:sz w:val="16"/>
                <w:szCs w:val="16"/>
                <w:color w:val="auto"/>
                <w:w w:val="97"/>
              </w:rPr>
              <w:t>(Commission File No.)</w:t>
            </w:r>
          </w:p>
        </w:tc>
        <w:tc>
          <w:tcPr>
            <w:tcW w:w="320" w:type="dxa"/>
            <w:vAlign w:val="bottom"/>
          </w:tcPr>
          <w:p>
            <w:pPr>
              <w:spacing w:after="0"/>
              <w:rPr>
                <w:sz w:val="16"/>
                <w:szCs w:val="16"/>
                <w:color w:val="auto"/>
              </w:rPr>
            </w:pPr>
          </w:p>
        </w:tc>
        <w:tc>
          <w:tcPr>
            <w:tcW w:w="3820" w:type="dxa"/>
            <w:vAlign w:val="bottom"/>
            <w:gridSpan w:val="4"/>
          </w:tcPr>
          <w:p>
            <w:pPr>
              <w:jc w:val="center"/>
              <w:ind w:left="242"/>
              <w:spacing w:after="0"/>
              <w:rPr>
                <w:sz w:val="20"/>
                <w:szCs w:val="20"/>
                <w:color w:val="auto"/>
              </w:rPr>
            </w:pPr>
            <w:r>
              <w:rPr>
                <w:rFonts w:ascii="Arial" w:cs="Arial" w:eastAsia="Arial" w:hAnsi="Arial"/>
                <w:sz w:val="16"/>
                <w:szCs w:val="16"/>
                <w:color w:val="auto"/>
                <w:w w:val="96"/>
              </w:rPr>
              <w:t>(I.R.S. Employer Identification No.)</w:t>
            </w:r>
          </w:p>
        </w:tc>
      </w:tr>
      <w:tr>
        <w:trPr>
          <w:trHeight w:val="186"/>
        </w:trPr>
        <w:tc>
          <w:tcPr>
            <w:tcW w:w="1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720" w:type="dxa"/>
            <w:vAlign w:val="bottom"/>
            <w:gridSpan w:val="11"/>
          </w:tcPr>
          <w:p>
            <w:pPr>
              <w:jc w:val="center"/>
              <w:ind w:right="3820"/>
              <w:spacing w:after="0"/>
              <w:rPr>
                <w:sz w:val="20"/>
                <w:szCs w:val="20"/>
                <w:color w:val="auto"/>
              </w:rPr>
            </w:pPr>
            <w:r>
              <w:rPr>
                <w:rFonts w:ascii="Arial" w:cs="Arial" w:eastAsia="Arial" w:hAnsi="Arial"/>
                <w:sz w:val="16"/>
                <w:szCs w:val="16"/>
                <w:color w:val="auto"/>
                <w:w w:val="97"/>
              </w:rPr>
              <w:t>214 West First Street, Oswego, NY 13126</w:t>
            </w:r>
          </w:p>
        </w:tc>
      </w:tr>
      <w:tr>
        <w:trPr>
          <w:trHeight w:val="20"/>
        </w:trPr>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02"/>
        </w:trPr>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0" w:type="dxa"/>
            <w:vAlign w:val="bottom"/>
            <w:gridSpan w:val="13"/>
          </w:tcPr>
          <w:p>
            <w:pPr>
              <w:jc w:val="center"/>
              <w:ind w:right="3340"/>
              <w:spacing w:after="0"/>
              <w:rPr>
                <w:sz w:val="20"/>
                <w:szCs w:val="20"/>
                <w:color w:val="auto"/>
              </w:rPr>
            </w:pPr>
            <w:r>
              <w:rPr>
                <w:rFonts w:ascii="Arial" w:cs="Arial" w:eastAsia="Arial" w:hAnsi="Arial"/>
                <w:sz w:val="16"/>
                <w:szCs w:val="16"/>
                <w:color w:val="auto"/>
                <w:w w:val="96"/>
              </w:rPr>
              <w:t>(Address of Principal Executive Office) (Zip Code)</w:t>
            </w:r>
          </w:p>
        </w:tc>
      </w:tr>
      <w:tr>
        <w:trPr>
          <w:trHeight w:val="278"/>
        </w:trPr>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gridSpan w:val="3"/>
          </w:tcPr>
          <w:p>
            <w:pPr>
              <w:spacing w:after="0"/>
              <w:rPr>
                <w:sz w:val="24"/>
                <w:szCs w:val="24"/>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w w:val="96"/>
              </w:rPr>
              <w:t>(315) 343-0057</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2"/>
        </w:trPr>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0" w:type="dxa"/>
            <w:vAlign w:val="bottom"/>
            <w:gridSpan w:val="13"/>
          </w:tcPr>
          <w:p>
            <w:pPr>
              <w:jc w:val="center"/>
              <w:ind w:right="3340"/>
              <w:spacing w:after="0"/>
              <w:rPr>
                <w:sz w:val="20"/>
                <w:szCs w:val="20"/>
                <w:color w:val="auto"/>
              </w:rPr>
            </w:pPr>
            <w:r>
              <w:rPr>
                <w:rFonts w:ascii="Arial" w:cs="Arial" w:eastAsia="Arial" w:hAnsi="Arial"/>
                <w:sz w:val="16"/>
                <w:szCs w:val="16"/>
                <w:color w:val="auto"/>
                <w:w w:val="97"/>
              </w:rPr>
              <w:t>(Issuer’s Telephone Number including area code)</w:t>
            </w:r>
          </w:p>
        </w:tc>
      </w:tr>
      <w:tr>
        <w:trPr>
          <w:trHeight w:val="312"/>
        </w:trPr>
        <w:tc>
          <w:tcPr>
            <w:tcW w:w="6420" w:type="dxa"/>
            <w:vAlign w:val="bottom"/>
            <w:gridSpan w:val="1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4"/>
        </w:trPr>
        <w:tc>
          <w:tcPr>
            <w:tcW w:w="1140" w:type="dxa"/>
            <w:vAlign w:val="bottom"/>
          </w:tcPr>
          <w:p>
            <w:pPr>
              <w:spacing w:after="0"/>
              <w:rPr>
                <w:sz w:val="24"/>
                <w:szCs w:val="2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8"/>
              </w:rPr>
              <w:t>Title of each class</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w w:val="97"/>
              </w:rPr>
              <w:t>Trading Symbol(s)</w:t>
            </w:r>
          </w:p>
        </w:tc>
        <w:tc>
          <w:tcPr>
            <w:tcW w:w="1320" w:type="dxa"/>
            <w:vAlign w:val="bottom"/>
            <w:gridSpan w:val="3"/>
          </w:tcPr>
          <w:p>
            <w:pPr>
              <w:spacing w:after="0"/>
              <w:rPr>
                <w:sz w:val="24"/>
                <w:szCs w:val="24"/>
                <w:color w:val="auto"/>
              </w:rPr>
            </w:pPr>
          </w:p>
        </w:tc>
        <w:tc>
          <w:tcPr>
            <w:tcW w:w="31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w w:val="97"/>
              </w:rPr>
              <w:t>Name of each exchange on which registered</w:t>
            </w:r>
          </w:p>
        </w:tc>
        <w:tc>
          <w:tcPr>
            <w:tcW w:w="1040" w:type="dxa"/>
            <w:vAlign w:val="bottom"/>
          </w:tcPr>
          <w:p>
            <w:pPr>
              <w:spacing w:after="0"/>
              <w:rPr>
                <w:sz w:val="24"/>
                <w:szCs w:val="24"/>
                <w:color w:val="auto"/>
              </w:rPr>
            </w:pPr>
          </w:p>
        </w:tc>
      </w:tr>
      <w:tr>
        <w:trPr>
          <w:trHeight w:val="218"/>
        </w:trPr>
        <w:tc>
          <w:tcPr>
            <w:tcW w:w="3360" w:type="dxa"/>
            <w:vAlign w:val="bottom"/>
            <w:gridSpan w:val="5"/>
          </w:tcPr>
          <w:p>
            <w:pPr>
              <w:jc w:val="center"/>
              <w:ind w:left="102"/>
              <w:spacing w:after="0"/>
              <w:rPr>
                <w:sz w:val="20"/>
                <w:szCs w:val="20"/>
                <w:color w:val="auto"/>
              </w:rPr>
            </w:pPr>
            <w:r>
              <w:rPr>
                <w:rFonts w:ascii="Arial" w:cs="Arial" w:eastAsia="Arial" w:hAnsi="Arial"/>
                <w:sz w:val="16"/>
                <w:szCs w:val="16"/>
                <w:color w:val="auto"/>
                <w:w w:val="97"/>
              </w:rPr>
              <w:t>Common Stock, $0.01 par value</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6"/>
          </w:tcPr>
          <w:p>
            <w:pPr>
              <w:jc w:val="center"/>
              <w:ind w:right="1340"/>
              <w:spacing w:after="0"/>
              <w:rPr>
                <w:sz w:val="20"/>
                <w:szCs w:val="20"/>
                <w:color w:val="auto"/>
              </w:rPr>
            </w:pPr>
            <w:r>
              <w:rPr>
                <w:rFonts w:ascii="Arial" w:cs="Arial" w:eastAsia="Arial" w:hAnsi="Arial"/>
                <w:sz w:val="16"/>
                <w:szCs w:val="16"/>
                <w:color w:val="auto"/>
                <w:w w:val="98"/>
              </w:rPr>
              <w:t>PBHC</w:t>
            </w:r>
          </w:p>
        </w:tc>
        <w:tc>
          <w:tcPr>
            <w:tcW w:w="320" w:type="dxa"/>
            <w:vAlign w:val="bottom"/>
          </w:tcPr>
          <w:p>
            <w:pPr>
              <w:spacing w:after="0"/>
              <w:rPr>
                <w:sz w:val="18"/>
                <w:szCs w:val="18"/>
                <w:color w:val="auto"/>
              </w:rPr>
            </w:pPr>
          </w:p>
        </w:tc>
        <w:tc>
          <w:tcPr>
            <w:tcW w:w="3820" w:type="dxa"/>
            <w:vAlign w:val="bottom"/>
            <w:gridSpan w:val="4"/>
          </w:tcPr>
          <w:p>
            <w:pPr>
              <w:jc w:val="center"/>
              <w:ind w:right="1360"/>
              <w:spacing w:after="0"/>
              <w:rPr>
                <w:sz w:val="20"/>
                <w:szCs w:val="20"/>
                <w:color w:val="auto"/>
              </w:rPr>
            </w:pPr>
            <w:r>
              <w:rPr>
                <w:rFonts w:ascii="Arial" w:cs="Arial" w:eastAsia="Arial" w:hAnsi="Arial"/>
                <w:sz w:val="16"/>
                <w:szCs w:val="16"/>
                <w:color w:val="auto"/>
                <w:w w:val="97"/>
              </w:rPr>
              <w:t>The NASDAQ Stock Market LLC</w:t>
            </w:r>
          </w:p>
        </w:tc>
      </w:tr>
    </w:tbl>
    <w:p>
      <w:pPr>
        <w:spacing w:after="0" w:line="103" w:lineRule="exact"/>
        <w:rPr>
          <w:sz w:val="24"/>
          <w:szCs w:val="24"/>
          <w:color w:val="auto"/>
        </w:rPr>
      </w:pPr>
    </w:p>
    <w:p>
      <w:pPr>
        <w:jc w:val="both"/>
        <w:ind w:right="180"/>
        <w:spacing w:after="0" w:line="24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8" w:lineRule="exact"/>
        <w:rPr>
          <w:sz w:val="24"/>
          <w:szCs w:val="24"/>
          <w:color w:val="auto"/>
        </w:rPr>
      </w:pPr>
    </w:p>
    <w:p>
      <w:pPr>
        <w:ind w:left="1440"/>
        <w:spacing w:after="0" w:line="184" w:lineRule="exact"/>
        <w:tabs>
          <w:tab w:leader="none" w:pos="226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56" w:lineRule="exact"/>
        <w:rPr>
          <w:sz w:val="24"/>
          <w:szCs w:val="24"/>
          <w:color w:val="auto"/>
        </w:rPr>
      </w:pPr>
    </w:p>
    <w:p>
      <w:pPr>
        <w:ind w:right="340"/>
        <w:spacing w:after="0" w:line="243" w:lineRule="auto"/>
        <w:rPr>
          <w:sz w:val="20"/>
          <w:szCs w:val="20"/>
          <w:color w:val="auto"/>
        </w:rPr>
      </w:pPr>
      <w:r>
        <w:rPr>
          <w:rFonts w:ascii="Arial" w:cs="Arial" w:eastAsia="Arial" w:hAnsi="Arial"/>
          <w:sz w:val="16"/>
          <w:szCs w:val="16"/>
          <w:color w:val="auto"/>
        </w:rPr>
        <w:t>Indicate by check mark whether the registrant has submitted electronically Interactive Data File required to be submitted pursuant to Rule 405 of Regulation S-T (§232.405 of this Chapter) during the preceding 12 months (or for such shorter period that the registrant was required to submit such files).</w:t>
      </w:r>
    </w:p>
    <w:p>
      <w:pPr>
        <w:spacing w:after="0" w:line="98" w:lineRule="exact"/>
        <w:rPr>
          <w:sz w:val="24"/>
          <w:szCs w:val="24"/>
          <w:color w:val="auto"/>
        </w:rPr>
      </w:pPr>
    </w:p>
    <w:p>
      <w:pPr>
        <w:ind w:left="1400"/>
        <w:spacing w:after="0" w:line="184" w:lineRule="exact"/>
        <w:tabs>
          <w:tab w:leader="none" w:pos="22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56" w:lineRule="exact"/>
        <w:rPr>
          <w:sz w:val="24"/>
          <w:szCs w:val="24"/>
          <w:color w:val="auto"/>
        </w:rPr>
      </w:pPr>
    </w:p>
    <w:p>
      <w:pPr>
        <w:jc w:val="both"/>
        <w:ind w:right="100"/>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0" w:lineRule="exact"/>
        <w:rPr>
          <w:sz w:val="24"/>
          <w:szCs w:val="24"/>
          <w:color w:val="auto"/>
        </w:rPr>
      </w:pPr>
    </w:p>
    <w:p>
      <w:pPr>
        <w:ind w:left="20"/>
        <w:spacing w:after="0" w:line="184" w:lineRule="exact"/>
        <w:tabs>
          <w:tab w:leader="none" w:pos="2020" w:val="left"/>
          <w:tab w:leader="none" w:pos="3620" w:val="left"/>
          <w:tab w:leader="none" w:pos="5600" w:val="left"/>
          <w:tab w:leader="none" w:pos="808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80" w:lineRule="exact"/>
        <w:rPr>
          <w:sz w:val="24"/>
          <w:szCs w:val="24"/>
          <w:color w:val="auto"/>
        </w:rPr>
      </w:pPr>
    </w:p>
    <w:p>
      <w:pPr>
        <w:ind w:right="40"/>
        <w:spacing w:after="0" w:line="20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tabs>
          <w:tab w:leader="none" w:pos="7900" w:val="left"/>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44" w:lineRule="exact"/>
        <w:rPr>
          <w:sz w:val="24"/>
          <w:szCs w:val="24"/>
          <w:color w:val="auto"/>
        </w:rPr>
      </w:pPr>
    </w:p>
    <w:p>
      <w:pPr>
        <w:ind w:right="580"/>
        <w:spacing w:after="0" w:line="252" w:lineRule="auto"/>
        <w:rPr>
          <w:sz w:val="20"/>
          <w:szCs w:val="20"/>
          <w:color w:val="auto"/>
        </w:rPr>
      </w:pPr>
      <w:r>
        <w:rPr>
          <w:rFonts w:ascii="Arial" w:cs="Arial" w:eastAsia="Arial" w:hAnsi="Arial"/>
          <w:sz w:val="16"/>
          <w:szCs w:val="16"/>
          <w:color w:val="auto"/>
        </w:rPr>
        <w:t>As of August 4, 2023, there were 4,690,065 shares outstanding of the registrant’s Voting common stock and 1,380,283 shares outstanding of the registrant’s Series A Non-Voting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150495</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76" w:right="680"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PATHFINDER BANCORP,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gridSpan w:val="21"/>
          </w:tcPr>
          <w:p>
            <w:pPr>
              <w:ind w:left="20"/>
              <w:spacing w:after="0"/>
              <w:rPr>
                <w:sz w:val="20"/>
                <w:szCs w:val="20"/>
                <w:color w:val="auto"/>
              </w:rPr>
            </w:pPr>
            <w:r>
              <w:rPr>
                <w:rFonts w:ascii="Arial" w:cs="Arial" w:eastAsia="Arial" w:hAnsi="Arial"/>
                <w:sz w:val="18"/>
                <w:szCs w:val="18"/>
                <w:color w:val="auto"/>
              </w:rPr>
              <w:t>PART I - FINANCIAL INFORMATION</w:t>
            </w:r>
          </w:p>
        </w:tc>
        <w:tc>
          <w:tcPr>
            <w:tcW w:w="1300" w:type="dxa"/>
            <w:vAlign w:val="bottom"/>
          </w:tcPr>
          <w:p>
            <w:pPr>
              <w:jc w:val="right"/>
              <w:spacing w:after="0"/>
              <w:rPr>
                <w:sz w:val="20"/>
                <w:szCs w:val="20"/>
                <w:color w:val="auto"/>
              </w:rPr>
            </w:pPr>
            <w:r>
              <w:rPr>
                <w:rFonts w:ascii="Arial" w:cs="Arial" w:eastAsia="Arial" w:hAnsi="Arial"/>
                <w:sz w:val="18"/>
                <w:szCs w:val="18"/>
                <w:color w:val="auto"/>
              </w:rPr>
              <w:t>PAGE NO.</w:t>
            </w:r>
          </w:p>
        </w:tc>
      </w:tr>
      <w:tr>
        <w:trPr>
          <w:trHeight w:val="69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3760" w:type="dxa"/>
            <w:vAlign w:val="bottom"/>
            <w:tcBorders>
              <w:bottom w:val="single" w:sz="8" w:color="0000FF"/>
            </w:tcBorders>
            <w:gridSpan w:val="13"/>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Consolidated Financial Statements (Unaudited)</w:t>
              </w:r>
            </w:hyperlink>
          </w:p>
        </w:tc>
        <w:tc>
          <w:tcPr>
            <w:tcW w:w="4620" w:type="dxa"/>
            <w:vAlign w:val="bottom"/>
            <w:gridSpan w:val="6"/>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38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Statements of Condition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4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Consolidated Statements of Income</w:t>
              </w:r>
            </w:hyperlink>
          </w:p>
        </w:tc>
        <w:tc>
          <w:tcPr>
            <w:tcW w:w="160" w:type="dxa"/>
            <w:vAlign w:val="bottom"/>
            <w:tcBorders>
              <w:top w:val="single" w:sz="8" w:color="0000FF"/>
            </w:tcBorders>
          </w:tcPr>
          <w:p>
            <w:pPr>
              <w:spacing w:after="0"/>
              <w:rPr>
                <w:sz w:val="19"/>
                <w:szCs w:val="19"/>
                <w:color w:val="auto"/>
              </w:rPr>
            </w:pPr>
          </w:p>
        </w:tc>
        <w:tc>
          <w:tcPr>
            <w:tcW w:w="5380" w:type="dxa"/>
            <w:vAlign w:val="bottom"/>
            <w:gridSpan w:val="9"/>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720" w:type="dxa"/>
            <w:vAlign w:val="bottom"/>
            <w:tcBorders>
              <w:bottom w:val="single" w:sz="8" w:color="0000FF"/>
            </w:tcBorders>
            <w:gridSpan w:val="15"/>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Consolidated Statements of Comprehensive Income (Loss)</w:t>
              </w:r>
            </w:hyperlink>
          </w:p>
        </w:tc>
        <w:tc>
          <w:tcPr>
            <w:tcW w:w="3660" w:type="dxa"/>
            <w:vAlign w:val="bottom"/>
            <w:gridSpan w:val="4"/>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38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Statements of Changes in Shareholders' Equity</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60" w:type="dxa"/>
            <w:vAlign w:val="bottom"/>
            <w:tcBorders>
              <w:top w:val="single" w:sz="8" w:color="0000FF"/>
            </w:tcBorders>
            <w:gridSpan w:val="1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Consolidated Statements of Cash Flows</w:t>
              </w:r>
            </w:hyperlink>
          </w:p>
        </w:tc>
        <w:tc>
          <w:tcPr>
            <w:tcW w:w="3520" w:type="dxa"/>
            <w:vAlign w:val="bottom"/>
            <w:gridSpan w:val="2"/>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380" w:type="dxa"/>
            <w:vAlign w:val="bottom"/>
            <w:gridSpan w:val="19"/>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Consolidated Financial Statements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6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8380" w:type="dxa"/>
            <w:vAlign w:val="bottom"/>
            <w:gridSpan w:val="19"/>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Management's Discussion and Analysis of Financial Condition and Results of Operations (Unaudited)</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6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470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9"/>
              </w:rPr>
            </w:pPr>
            <w:hyperlink w:anchor="page69">
              <w:r>
                <w:rPr>
                  <w:rFonts w:ascii="Arial" w:cs="Arial" w:eastAsia="Arial" w:hAnsi="Arial"/>
                  <w:sz w:val="18"/>
                  <w:szCs w:val="18"/>
                  <w:color w:val="0000FF"/>
                  <w:w w:val="99"/>
                </w:rPr>
                <w:t>Quantitative and Qualitative Disclosures About Market Risk</w:t>
              </w:r>
            </w:hyperlink>
          </w:p>
        </w:tc>
        <w:tc>
          <w:tcPr>
            <w:tcW w:w="3340" w:type="dxa"/>
            <w:vAlign w:val="bottom"/>
            <w:tcBorders>
              <w:top w:val="single" w:sz="8" w:color="0000FF"/>
            </w:tcBorders>
            <w:gridSpan w:val="4"/>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6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980" w:type="dxa"/>
            <w:vAlign w:val="bottom"/>
            <w:tcBorders>
              <w:bottom w:val="single" w:sz="8" w:color="0000FF"/>
            </w:tcBorders>
            <w:gridSpan w:val="7"/>
          </w:tcPr>
          <w:p>
            <w:pPr>
              <w:spacing w:after="0"/>
              <w:rPr>
                <w:rFonts w:ascii="Arial" w:cs="Arial" w:eastAsia="Arial" w:hAnsi="Arial"/>
                <w:sz w:val="18"/>
                <w:szCs w:val="18"/>
                <w:color w:val="0000FF"/>
                <w:w w:val="98"/>
              </w:rPr>
            </w:pPr>
            <w:hyperlink w:anchor="page69">
              <w:r>
                <w:rPr>
                  <w:rFonts w:ascii="Arial" w:cs="Arial" w:eastAsia="Arial" w:hAnsi="Arial"/>
                  <w:sz w:val="18"/>
                  <w:szCs w:val="18"/>
                  <w:color w:val="0000FF"/>
                  <w:w w:val="98"/>
                </w:rPr>
                <w:t>Controls and Procedures</w:t>
              </w:r>
            </w:hyperlink>
          </w:p>
        </w:tc>
        <w:tc>
          <w:tcPr>
            <w:tcW w:w="6400" w:type="dxa"/>
            <w:vAlign w:val="bottom"/>
            <w:gridSpan w:val="12"/>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502"/>
        </w:trPr>
        <w:tc>
          <w:tcPr>
            <w:tcW w:w="9260" w:type="dxa"/>
            <w:vAlign w:val="bottom"/>
            <w:gridSpan w:val="21"/>
          </w:tcPr>
          <w:p>
            <w:pPr>
              <w:ind w:left="20"/>
              <w:spacing w:after="0"/>
              <w:rPr>
                <w:sz w:val="20"/>
                <w:szCs w:val="20"/>
                <w:color w:val="auto"/>
              </w:rPr>
            </w:pPr>
            <w:r>
              <w:rPr>
                <w:rFonts w:ascii="Arial" w:cs="Arial" w:eastAsia="Arial" w:hAnsi="Arial"/>
                <w:sz w:val="18"/>
                <w:szCs w:val="18"/>
                <w:color w:val="auto"/>
              </w:rPr>
              <w:t>PART II - OTHER INFORMATION</w:t>
            </w:r>
          </w:p>
        </w:tc>
        <w:tc>
          <w:tcPr>
            <w:tcW w:w="1300" w:type="dxa"/>
            <w:vAlign w:val="bottom"/>
          </w:tcPr>
          <w:p>
            <w:pPr>
              <w:spacing w:after="0"/>
              <w:rPr>
                <w:sz w:val="24"/>
                <w:szCs w:val="24"/>
                <w:color w:val="auto"/>
              </w:rPr>
            </w:pPr>
          </w:p>
        </w:tc>
      </w:tr>
      <w:tr>
        <w:trPr>
          <w:trHeight w:val="438"/>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FF"/>
            </w:tcBorders>
            <w:gridSpan w:val="5"/>
          </w:tcPr>
          <w:p>
            <w:pPr>
              <w:spacing w:after="0"/>
              <w:rPr>
                <w:rFonts w:ascii="Arial" w:cs="Arial" w:eastAsia="Arial" w:hAnsi="Arial"/>
                <w:sz w:val="18"/>
                <w:szCs w:val="18"/>
                <w:color w:val="0000FF"/>
                <w:w w:val="97"/>
              </w:rPr>
            </w:pPr>
            <w:hyperlink w:anchor="page70">
              <w:r>
                <w:rPr>
                  <w:rFonts w:ascii="Arial" w:cs="Arial" w:eastAsia="Arial" w:hAnsi="Arial"/>
                  <w:sz w:val="18"/>
                  <w:szCs w:val="18"/>
                  <w:color w:val="0000FF"/>
                  <w:w w:val="97"/>
                </w:rPr>
                <w:t>Legal Proceedings</w:t>
              </w:r>
            </w:hyperlink>
          </w:p>
        </w:tc>
        <w:tc>
          <w:tcPr>
            <w:tcW w:w="6900" w:type="dxa"/>
            <w:vAlign w:val="bottom"/>
            <w:gridSpan w:val="14"/>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3"/>
          </w:tcPr>
          <w:p>
            <w:pPr>
              <w:spacing w:after="0"/>
              <w:rPr>
                <w:rFonts w:ascii="Arial" w:cs="Arial" w:eastAsia="Arial" w:hAnsi="Arial"/>
                <w:sz w:val="18"/>
                <w:szCs w:val="18"/>
                <w:color w:val="0000FF"/>
                <w:w w:val="96"/>
              </w:rPr>
            </w:pPr>
            <w:hyperlink w:anchor="page70">
              <w:r>
                <w:rPr>
                  <w:rFonts w:ascii="Arial" w:cs="Arial" w:eastAsia="Arial" w:hAnsi="Arial"/>
                  <w:sz w:val="18"/>
                  <w:szCs w:val="18"/>
                  <w:color w:val="0000FF"/>
                  <w:w w:val="96"/>
                </w:rPr>
                <w:t>Risk Factor</w:t>
              </w:r>
            </w:hyperlink>
          </w:p>
        </w:tc>
        <w:tc>
          <w:tcPr>
            <w:tcW w:w="7480" w:type="dxa"/>
            <w:vAlign w:val="bottom"/>
            <w:gridSpan w:val="16"/>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484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70">
              <w:r>
                <w:rPr>
                  <w:rFonts w:ascii="Arial" w:cs="Arial" w:eastAsia="Arial" w:hAnsi="Arial"/>
                  <w:sz w:val="18"/>
                  <w:szCs w:val="18"/>
                  <w:color w:val="0000FF"/>
                  <w:w w:val="99"/>
                </w:rPr>
                <w:t>Unregistered Sales of Equity Securities and Use of Proceeds</w:t>
              </w:r>
            </w:hyperlink>
          </w:p>
        </w:tc>
        <w:tc>
          <w:tcPr>
            <w:tcW w:w="3540" w:type="dxa"/>
            <w:vAlign w:val="bottom"/>
            <w:gridSpan w:val="3"/>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252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70">
              <w:r>
                <w:rPr>
                  <w:rFonts w:ascii="Arial" w:cs="Arial" w:eastAsia="Arial" w:hAnsi="Arial"/>
                  <w:sz w:val="18"/>
                  <w:szCs w:val="18"/>
                  <w:color w:val="0000FF"/>
                  <w:w w:val="99"/>
                </w:rPr>
                <w:t>Defaults upon Senior Securities</w:t>
              </w:r>
            </w:hyperlink>
          </w:p>
        </w:tc>
        <w:tc>
          <w:tcPr>
            <w:tcW w:w="5860" w:type="dxa"/>
            <w:vAlign w:val="bottom"/>
            <w:gridSpan w:val="11"/>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920" w:type="dxa"/>
            <w:vAlign w:val="bottom"/>
            <w:tcBorders>
              <w:bottom w:val="single" w:sz="8" w:color="0000FF"/>
            </w:tcBorders>
            <w:gridSpan w:val="6"/>
          </w:tcPr>
          <w:p>
            <w:pPr>
              <w:spacing w:after="0"/>
              <w:rPr>
                <w:rFonts w:ascii="Arial" w:cs="Arial" w:eastAsia="Arial" w:hAnsi="Arial"/>
                <w:sz w:val="18"/>
                <w:szCs w:val="18"/>
                <w:color w:val="0000FF"/>
                <w:w w:val="98"/>
              </w:rPr>
            </w:pPr>
            <w:hyperlink w:anchor="page70">
              <w:r>
                <w:rPr>
                  <w:rFonts w:ascii="Arial" w:cs="Arial" w:eastAsia="Arial" w:hAnsi="Arial"/>
                  <w:sz w:val="18"/>
                  <w:szCs w:val="18"/>
                  <w:color w:val="0000FF"/>
                  <w:w w:val="98"/>
                </w:rPr>
                <w:t>Mine Safety Disclosures</w:t>
              </w:r>
            </w:hyperlink>
          </w:p>
        </w:tc>
        <w:tc>
          <w:tcPr>
            <w:tcW w:w="6460" w:type="dxa"/>
            <w:vAlign w:val="bottom"/>
            <w:gridSpan w:val="13"/>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Item 5.</w:t>
            </w:r>
          </w:p>
        </w:tc>
        <w:tc>
          <w:tcPr>
            <w:tcW w:w="1380" w:type="dxa"/>
            <w:vAlign w:val="bottom"/>
            <w:tcBorders>
              <w:bottom w:val="single" w:sz="8" w:color="0000FF"/>
            </w:tcBorders>
            <w:gridSpan w:val="4"/>
          </w:tcPr>
          <w:p>
            <w:pPr>
              <w:spacing w:after="0"/>
              <w:rPr>
                <w:rFonts w:ascii="Arial" w:cs="Arial" w:eastAsia="Arial" w:hAnsi="Arial"/>
                <w:sz w:val="18"/>
                <w:szCs w:val="18"/>
                <w:color w:val="0000FF"/>
                <w:w w:val="97"/>
              </w:rPr>
            </w:pPr>
            <w:hyperlink w:anchor="page70">
              <w:r>
                <w:rPr>
                  <w:rFonts w:ascii="Arial" w:cs="Arial" w:eastAsia="Arial" w:hAnsi="Arial"/>
                  <w:sz w:val="18"/>
                  <w:szCs w:val="18"/>
                  <w:color w:val="0000FF"/>
                  <w:w w:val="97"/>
                </w:rPr>
                <w:t>Other information</w:t>
              </w:r>
            </w:hyperlink>
          </w:p>
        </w:tc>
        <w:tc>
          <w:tcPr>
            <w:tcW w:w="7000" w:type="dxa"/>
            <w:vAlign w:val="bottom"/>
            <w:gridSpan w:val="15"/>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620" w:type="dxa"/>
            <w:vAlign w:val="bottom"/>
            <w:tcBorders>
              <w:bottom w:val="single" w:sz="8" w:color="0000FF"/>
            </w:tcBorders>
            <w:gridSpan w:val="2"/>
          </w:tcPr>
          <w:p>
            <w:pPr>
              <w:spacing w:after="0"/>
              <w:rPr>
                <w:rFonts w:ascii="Arial" w:cs="Arial" w:eastAsia="Arial" w:hAnsi="Arial"/>
                <w:sz w:val="18"/>
                <w:szCs w:val="18"/>
                <w:color w:val="0000FF"/>
                <w:w w:val="95"/>
              </w:rPr>
            </w:pPr>
            <w:hyperlink w:anchor="page70">
              <w:r>
                <w:rPr>
                  <w:rFonts w:ascii="Arial" w:cs="Arial" w:eastAsia="Arial" w:hAnsi="Arial"/>
                  <w:sz w:val="18"/>
                  <w:szCs w:val="18"/>
                  <w:color w:val="0000FF"/>
                  <w:w w:val="95"/>
                </w:rPr>
                <w:t>Exhibits</w:t>
              </w:r>
            </w:hyperlink>
          </w:p>
        </w:tc>
        <w:tc>
          <w:tcPr>
            <w:tcW w:w="7760" w:type="dxa"/>
            <w:vAlign w:val="bottom"/>
            <w:gridSpan w:val="17"/>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60"/>
        </w:trPr>
        <w:tc>
          <w:tcPr>
            <w:tcW w:w="9260" w:type="dxa"/>
            <w:vAlign w:val="bottom"/>
            <w:gridSpan w:val="21"/>
          </w:tcPr>
          <w:p>
            <w:pPr>
              <w:ind w:left="20"/>
              <w:spacing w:after="0"/>
              <w:rPr>
                <w:rFonts w:ascii="Arial" w:cs="Arial" w:eastAsia="Arial" w:hAnsi="Arial"/>
                <w:sz w:val="18"/>
                <w:szCs w:val="18"/>
                <w:color w:val="0000FF"/>
              </w:rPr>
            </w:pPr>
            <w:hyperlink w:anchor="page71">
              <w:r>
                <w:rPr>
                  <w:rFonts w:ascii="Arial" w:cs="Arial" w:eastAsia="Arial" w:hAnsi="Arial"/>
                  <w:sz w:val="18"/>
                  <w:szCs w:val="18"/>
                  <w:color w:val="0000FF"/>
                </w:rPr>
                <w:t>SIGNATURES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544"/>
        </w:trPr>
        <w:tc>
          <w:tcPr>
            <w:tcW w:w="20" w:type="dxa"/>
            <w:vAlign w:val="bottom"/>
            <w:tcBorders>
              <w:bottom w:val="single" w:sz="8" w:color="EEEEEE"/>
            </w:tcBorders>
          </w:tcPr>
          <w:p>
            <w:pPr>
              <w:spacing w:after="0"/>
              <w:rPr>
                <w:sz w:val="24"/>
                <w:szCs w:val="24"/>
                <w:color w:val="auto"/>
              </w:rPr>
            </w:pPr>
          </w:p>
        </w:tc>
        <w:tc>
          <w:tcPr>
            <w:tcW w:w="860" w:type="dxa"/>
            <w:vAlign w:val="bottom"/>
            <w:tcBorders>
              <w:top w:val="single" w:sz="8" w:color="0000FF"/>
              <w:bottom w:val="single" w:sz="8" w:color="EEEEEE"/>
            </w:tcBorders>
          </w:tcPr>
          <w:p>
            <w:pPr>
              <w:spacing w:after="0"/>
              <w:rPr>
                <w:sz w:val="24"/>
                <w:szCs w:val="24"/>
                <w:color w:val="auto"/>
              </w:rPr>
            </w:pPr>
          </w:p>
        </w:tc>
        <w:tc>
          <w:tcPr>
            <w:tcW w:w="300" w:type="dxa"/>
            <w:vAlign w:val="bottom"/>
            <w:tcBorders>
              <w:top w:val="single" w:sz="8" w:color="0000FF"/>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318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3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Consolidated Financial Statements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Pathfinder Bancorp,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6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June 30,</w:t>
            </w:r>
          </w:p>
        </w:tc>
        <w:tc>
          <w:tcPr>
            <w:tcW w:w="240" w:type="dxa"/>
            <w:vAlign w:val="bottom"/>
          </w:tcPr>
          <w:p>
            <w:pPr>
              <w:spacing w:after="0"/>
              <w:rPr>
                <w:sz w:val="15"/>
                <w:szCs w:val="15"/>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5"/>
        </w:trPr>
        <w:tc>
          <w:tcPr>
            <w:tcW w:w="73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9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2023</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59"/>
        </w:trPr>
        <w:tc>
          <w:tcPr>
            <w:tcW w:w="7340" w:type="dxa"/>
            <w:vAlign w:val="bottom"/>
            <w:tcBorders>
              <w:left w:val="single" w:sz="8" w:color="CFF0FC"/>
            </w:tcBorders>
            <w:gridSpan w:val="3"/>
            <w:shd w:val="clear" w:color="auto" w:fill="CFF0FC"/>
          </w:tcPr>
          <w:p>
            <w:pPr>
              <w:ind w:left="20"/>
              <w:spacing w:after="0" w:line="159" w:lineRule="exact"/>
              <w:rPr>
                <w:sz w:val="20"/>
                <w:szCs w:val="20"/>
                <w:color w:val="auto"/>
              </w:rPr>
            </w:pPr>
            <w:r>
              <w:rPr>
                <w:rFonts w:ascii="Arial" w:cs="Arial" w:eastAsia="Arial" w:hAnsi="Arial"/>
                <w:sz w:val="14"/>
                <w:szCs w:val="14"/>
                <w:b w:val="1"/>
                <w:bCs w:val="1"/>
                <w:color w:val="auto"/>
              </w:rPr>
              <w:t>ASSETS:</w:t>
            </w:r>
          </w:p>
        </w:tc>
        <w:tc>
          <w:tcPr>
            <w:tcW w:w="9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40" w:type="dxa"/>
            <w:vAlign w:val="bottom"/>
            <w:tcBorders>
              <w:left w:val="single" w:sz="8" w:color="CFF0FC"/>
            </w:tcBorders>
            <w:shd w:val="clear" w:color="auto" w:fill="000000"/>
          </w:tcPr>
          <w:p>
            <w:pPr>
              <w:spacing w:after="0"/>
              <w:rPr>
                <w:sz w:val="3"/>
                <w:szCs w:val="3"/>
                <w:color w:val="auto"/>
              </w:rPr>
            </w:pPr>
          </w:p>
        </w:tc>
        <w:tc>
          <w:tcPr>
            <w:tcW w:w="2460" w:type="dxa"/>
            <w:vAlign w:val="bottom"/>
            <w:shd w:val="clear" w:color="auto" w:fill="CFF0FC"/>
          </w:tcPr>
          <w:p>
            <w:pPr>
              <w:spacing w:after="0"/>
              <w:rPr>
                <w:sz w:val="3"/>
                <w:szCs w:val="3"/>
                <w:color w:val="auto"/>
              </w:rPr>
            </w:pPr>
          </w:p>
        </w:tc>
        <w:tc>
          <w:tcPr>
            <w:tcW w:w="424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7340" w:type="dxa"/>
            <w:vAlign w:val="bottom"/>
            <w:gridSpan w:val="3"/>
          </w:tcPr>
          <w:p>
            <w:pPr>
              <w:ind w:left="100"/>
              <w:spacing w:after="0"/>
              <w:rPr>
                <w:sz w:val="20"/>
                <w:szCs w:val="20"/>
                <w:color w:val="auto"/>
              </w:rPr>
            </w:pPr>
            <w:r>
              <w:rPr>
                <w:rFonts w:ascii="Arial" w:cs="Arial" w:eastAsia="Arial" w:hAnsi="Arial"/>
                <w:sz w:val="14"/>
                <w:szCs w:val="14"/>
                <w:color w:val="auto"/>
              </w:rPr>
              <w:t>Cash and due from banks</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22,517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13,939</w:t>
            </w:r>
          </w:p>
        </w:tc>
        <w:tc>
          <w:tcPr>
            <w:tcW w:w="0" w:type="dxa"/>
            <w:vAlign w:val="bottom"/>
          </w:tcPr>
          <w:p>
            <w:pPr>
              <w:spacing w:after="0"/>
              <w:rPr>
                <w:sz w:val="1"/>
                <w:szCs w:val="1"/>
                <w:color w:val="auto"/>
              </w:rPr>
            </w:pPr>
          </w:p>
        </w:tc>
      </w:tr>
      <w:tr>
        <w:trPr>
          <w:trHeight w:val="195"/>
        </w:trPr>
        <w:tc>
          <w:tcPr>
            <w:tcW w:w="7340" w:type="dxa"/>
            <w:vAlign w:val="bottom"/>
            <w:tcBorders>
              <w:left w:val="single" w:sz="8" w:color="CFF0FC"/>
            </w:tcBorders>
            <w:gridSpan w:val="3"/>
            <w:shd w:val="clear" w:color="auto" w:fill="CFF0FC"/>
          </w:tcPr>
          <w:p>
            <w:pPr>
              <w:ind w:left="100"/>
              <w:spacing w:after="0"/>
              <w:rPr>
                <w:sz w:val="20"/>
                <w:szCs w:val="20"/>
                <w:color w:val="auto"/>
              </w:rPr>
            </w:pPr>
            <w:r>
              <w:rPr>
                <w:rFonts w:ascii="Arial" w:cs="Arial" w:eastAsia="Arial" w:hAnsi="Arial"/>
                <w:sz w:val="14"/>
                <w:szCs w:val="14"/>
                <w:color w:val="auto"/>
              </w:rPr>
              <w:t>Interest-earning deposits</w:t>
            </w:r>
          </w:p>
        </w:tc>
        <w:tc>
          <w:tcPr>
            <w:tcW w:w="9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14,298</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21,343</w:t>
            </w:r>
          </w:p>
        </w:tc>
        <w:tc>
          <w:tcPr>
            <w:tcW w:w="0" w:type="dxa"/>
            <w:vAlign w:val="bottom"/>
          </w:tcPr>
          <w:p>
            <w:pPr>
              <w:spacing w:after="0"/>
              <w:rPr>
                <w:sz w:val="1"/>
                <w:szCs w:val="1"/>
                <w:color w:val="auto"/>
              </w:rPr>
            </w:pPr>
          </w:p>
        </w:tc>
      </w:tr>
      <w:tr>
        <w:trPr>
          <w:trHeight w:val="189"/>
        </w:trPr>
        <w:tc>
          <w:tcPr>
            <w:tcW w:w="7340" w:type="dxa"/>
            <w:vAlign w:val="bottom"/>
            <w:gridSpan w:val="3"/>
          </w:tcPr>
          <w:p>
            <w:pPr>
              <w:ind w:left="180"/>
              <w:spacing w:after="0"/>
              <w:rPr>
                <w:sz w:val="20"/>
                <w:szCs w:val="20"/>
                <w:color w:val="auto"/>
              </w:rPr>
            </w:pPr>
            <w:r>
              <w:rPr>
                <w:rFonts w:ascii="Arial" w:cs="Arial" w:eastAsia="Arial" w:hAnsi="Arial"/>
                <w:sz w:val="14"/>
                <w:szCs w:val="14"/>
                <w:color w:val="auto"/>
              </w:rPr>
              <w:t>Total cash and cash equivalents</w:t>
            </w:r>
          </w:p>
        </w:tc>
        <w:tc>
          <w:tcPr>
            <w:tcW w:w="9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36,815</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35,282</w:t>
            </w:r>
          </w:p>
        </w:tc>
        <w:tc>
          <w:tcPr>
            <w:tcW w:w="0" w:type="dxa"/>
            <w:vAlign w:val="bottom"/>
          </w:tcPr>
          <w:p>
            <w:pPr>
              <w:spacing w:after="0"/>
              <w:rPr>
                <w:sz w:val="1"/>
                <w:szCs w:val="1"/>
                <w:color w:val="auto"/>
              </w:rPr>
            </w:pPr>
          </w:p>
        </w:tc>
      </w:tr>
      <w:tr>
        <w:trPr>
          <w:trHeight w:val="195"/>
        </w:trPr>
        <w:tc>
          <w:tcPr>
            <w:tcW w:w="7340" w:type="dxa"/>
            <w:vAlign w:val="bottom"/>
            <w:tcBorders>
              <w:left w:val="single" w:sz="8" w:color="CFF0FC"/>
            </w:tcBorders>
            <w:gridSpan w:val="3"/>
            <w:shd w:val="clear" w:color="auto" w:fill="CFF0FC"/>
          </w:tcPr>
          <w:p>
            <w:pPr>
              <w:ind w:left="100"/>
              <w:spacing w:after="0"/>
              <w:rPr>
                <w:sz w:val="20"/>
                <w:szCs w:val="20"/>
                <w:color w:val="auto"/>
              </w:rPr>
            </w:pPr>
            <w:r>
              <w:rPr>
                <w:rFonts w:ascii="Arial" w:cs="Arial" w:eastAsia="Arial" w:hAnsi="Arial"/>
                <w:sz w:val="14"/>
                <w:szCs w:val="14"/>
                <w:color w:val="auto"/>
              </w:rPr>
              <w:t>Available-for-sale securities, at fair value</w:t>
            </w:r>
          </w:p>
        </w:tc>
        <w:tc>
          <w:tcPr>
            <w:tcW w:w="9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185,822</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191,726</w:t>
            </w:r>
          </w:p>
        </w:tc>
        <w:tc>
          <w:tcPr>
            <w:tcW w:w="0" w:type="dxa"/>
            <w:vAlign w:val="bottom"/>
          </w:tcPr>
          <w:p>
            <w:pPr>
              <w:spacing w:after="0"/>
              <w:rPr>
                <w:sz w:val="1"/>
                <w:szCs w:val="1"/>
                <w:color w:val="auto"/>
              </w:rPr>
            </w:pPr>
          </w:p>
        </w:tc>
      </w:tr>
      <w:tr>
        <w:trPr>
          <w:trHeight w:val="189"/>
        </w:trPr>
        <w:tc>
          <w:tcPr>
            <w:tcW w:w="7340" w:type="dxa"/>
            <w:vAlign w:val="bottom"/>
            <w:gridSpan w:val="3"/>
          </w:tcPr>
          <w:p>
            <w:pPr>
              <w:ind w:left="100"/>
              <w:spacing w:after="0"/>
              <w:rPr>
                <w:sz w:val="20"/>
                <w:szCs w:val="20"/>
                <w:color w:val="auto"/>
              </w:rPr>
            </w:pPr>
            <w:r>
              <w:rPr>
                <w:rFonts w:ascii="Arial" w:cs="Arial" w:eastAsia="Arial" w:hAnsi="Arial"/>
                <w:sz w:val="14"/>
                <w:szCs w:val="14"/>
                <w:color w:val="auto"/>
              </w:rPr>
              <w:t>Held-to-maturity securities, at amortized cost (fair value of $181,378 and $181,491, respectively)</w:t>
            </w:r>
          </w:p>
        </w:tc>
        <w:tc>
          <w:tcPr>
            <w:tcW w:w="9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195,503</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194,402</w:t>
            </w:r>
          </w:p>
        </w:tc>
        <w:tc>
          <w:tcPr>
            <w:tcW w:w="0" w:type="dxa"/>
            <w:vAlign w:val="bottom"/>
          </w:tcPr>
          <w:p>
            <w:pPr>
              <w:spacing w:after="0"/>
              <w:rPr>
                <w:sz w:val="1"/>
                <w:szCs w:val="1"/>
                <w:color w:val="auto"/>
              </w:rPr>
            </w:pPr>
          </w:p>
        </w:tc>
      </w:tr>
      <w:tr>
        <w:trPr>
          <w:trHeight w:val="195"/>
        </w:trPr>
        <w:tc>
          <w:tcPr>
            <w:tcW w:w="7340" w:type="dxa"/>
            <w:vAlign w:val="bottom"/>
            <w:tcBorders>
              <w:left w:val="single" w:sz="8" w:color="CFF0FC"/>
            </w:tcBorders>
            <w:gridSpan w:val="3"/>
            <w:shd w:val="clear" w:color="auto" w:fill="CFF0FC"/>
          </w:tcPr>
          <w:p>
            <w:pPr>
              <w:ind w:left="100"/>
              <w:spacing w:after="0"/>
              <w:rPr>
                <w:sz w:val="20"/>
                <w:szCs w:val="20"/>
                <w:color w:val="auto"/>
              </w:rPr>
            </w:pPr>
            <w:r>
              <w:rPr>
                <w:rFonts w:ascii="Arial" w:cs="Arial" w:eastAsia="Arial" w:hAnsi="Arial"/>
                <w:sz w:val="14"/>
                <w:szCs w:val="14"/>
                <w:color w:val="auto"/>
              </w:rPr>
              <w:t>Marketable equity securities, at fair value</w:t>
            </w:r>
          </w:p>
        </w:tc>
        <w:tc>
          <w:tcPr>
            <w:tcW w:w="9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2,353</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1,862</w:t>
            </w:r>
          </w:p>
        </w:tc>
        <w:tc>
          <w:tcPr>
            <w:tcW w:w="0" w:type="dxa"/>
            <w:vAlign w:val="bottom"/>
          </w:tcPr>
          <w:p>
            <w:pPr>
              <w:spacing w:after="0"/>
              <w:rPr>
                <w:sz w:val="1"/>
                <w:szCs w:val="1"/>
                <w:color w:val="auto"/>
              </w:rPr>
            </w:pPr>
          </w:p>
        </w:tc>
      </w:tr>
      <w:tr>
        <w:trPr>
          <w:trHeight w:val="189"/>
        </w:trPr>
        <w:tc>
          <w:tcPr>
            <w:tcW w:w="7340" w:type="dxa"/>
            <w:vAlign w:val="bottom"/>
            <w:gridSpan w:val="3"/>
          </w:tcPr>
          <w:p>
            <w:pPr>
              <w:ind w:left="100"/>
              <w:spacing w:after="0"/>
              <w:rPr>
                <w:sz w:val="20"/>
                <w:szCs w:val="20"/>
                <w:color w:val="auto"/>
              </w:rPr>
            </w:pPr>
            <w:r>
              <w:rPr>
                <w:rFonts w:ascii="Arial" w:cs="Arial" w:eastAsia="Arial" w:hAnsi="Arial"/>
                <w:sz w:val="14"/>
                <w:szCs w:val="14"/>
                <w:color w:val="auto"/>
              </w:rPr>
              <w:t>Federal Home Loan Bank stock, at cost</w:t>
            </w:r>
          </w:p>
        </w:tc>
        <w:tc>
          <w:tcPr>
            <w:tcW w:w="9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6,536</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5,982</w:t>
            </w:r>
          </w:p>
        </w:tc>
        <w:tc>
          <w:tcPr>
            <w:tcW w:w="0" w:type="dxa"/>
            <w:vAlign w:val="bottom"/>
          </w:tcPr>
          <w:p>
            <w:pPr>
              <w:spacing w:after="0"/>
              <w:rPr>
                <w:sz w:val="1"/>
                <w:szCs w:val="1"/>
                <w:color w:val="auto"/>
              </w:rPr>
            </w:pPr>
          </w:p>
        </w:tc>
      </w:tr>
      <w:tr>
        <w:trPr>
          <w:trHeight w:val="195"/>
        </w:trPr>
        <w:tc>
          <w:tcPr>
            <w:tcW w:w="7340" w:type="dxa"/>
            <w:vAlign w:val="bottom"/>
            <w:tcBorders>
              <w:left w:val="single" w:sz="8" w:color="CFF0FC"/>
            </w:tcBorders>
            <w:gridSpan w:val="3"/>
            <w:shd w:val="clear" w:color="auto" w:fill="CFF0FC"/>
          </w:tcPr>
          <w:p>
            <w:pPr>
              <w:ind w:left="100"/>
              <w:spacing w:after="0"/>
              <w:rPr>
                <w:sz w:val="20"/>
                <w:szCs w:val="20"/>
                <w:color w:val="auto"/>
              </w:rPr>
            </w:pPr>
            <w:r>
              <w:rPr>
                <w:rFonts w:ascii="Arial" w:cs="Arial" w:eastAsia="Arial" w:hAnsi="Arial"/>
                <w:sz w:val="14"/>
                <w:szCs w:val="14"/>
                <w:color w:val="auto"/>
              </w:rPr>
              <w:t>Loans</w:t>
            </w:r>
          </w:p>
        </w:tc>
        <w:tc>
          <w:tcPr>
            <w:tcW w:w="9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891,111</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897,735</w:t>
            </w:r>
          </w:p>
        </w:tc>
        <w:tc>
          <w:tcPr>
            <w:tcW w:w="0" w:type="dxa"/>
            <w:vAlign w:val="bottom"/>
          </w:tcPr>
          <w:p>
            <w:pPr>
              <w:spacing w:after="0"/>
              <w:rPr>
                <w:sz w:val="1"/>
                <w:szCs w:val="1"/>
                <w:color w:val="auto"/>
              </w:rPr>
            </w:pPr>
          </w:p>
        </w:tc>
      </w:tr>
      <w:tr>
        <w:trPr>
          <w:trHeight w:val="189"/>
        </w:trPr>
        <w:tc>
          <w:tcPr>
            <w:tcW w:w="7340" w:type="dxa"/>
            <w:vAlign w:val="bottom"/>
            <w:gridSpan w:val="3"/>
          </w:tcPr>
          <w:p>
            <w:pPr>
              <w:ind w:left="100"/>
              <w:spacing w:after="0"/>
              <w:rPr>
                <w:sz w:val="20"/>
                <w:szCs w:val="20"/>
                <w:color w:val="auto"/>
              </w:rPr>
            </w:pPr>
            <w:r>
              <w:rPr>
                <w:rFonts w:ascii="Arial" w:cs="Arial" w:eastAsia="Arial" w:hAnsi="Arial"/>
                <w:sz w:val="14"/>
                <w:szCs w:val="14"/>
                <w:color w:val="auto"/>
              </w:rPr>
              <w:t>Loans held-for-sale</w:t>
            </w:r>
          </w:p>
        </w:tc>
        <w:tc>
          <w:tcPr>
            <w:tcW w:w="9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5"/>
        </w:trPr>
        <w:tc>
          <w:tcPr>
            <w:tcW w:w="7340" w:type="dxa"/>
            <w:vAlign w:val="bottom"/>
            <w:tcBorders>
              <w:left w:val="single" w:sz="8" w:color="CFF0FC"/>
            </w:tcBorders>
            <w:gridSpan w:val="3"/>
            <w:shd w:val="clear" w:color="auto" w:fill="CFF0FC"/>
          </w:tcPr>
          <w:p>
            <w:pPr>
              <w:ind w:left="100"/>
              <w:spacing w:after="0"/>
              <w:rPr>
                <w:sz w:val="20"/>
                <w:szCs w:val="20"/>
                <w:color w:val="auto"/>
              </w:rPr>
            </w:pPr>
            <w:r>
              <w:rPr>
                <w:rFonts w:ascii="Arial" w:cs="Arial" w:eastAsia="Arial" w:hAnsi="Arial"/>
                <w:sz w:val="14"/>
                <w:szCs w:val="14"/>
                <w:color w:val="auto"/>
              </w:rPr>
              <w:t>Less: Allowance for credit losses</w:t>
            </w:r>
          </w:p>
        </w:tc>
        <w:tc>
          <w:tcPr>
            <w:tcW w:w="9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18,796</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15,319</w:t>
            </w:r>
          </w:p>
        </w:tc>
        <w:tc>
          <w:tcPr>
            <w:tcW w:w="0" w:type="dxa"/>
            <w:vAlign w:val="bottom"/>
          </w:tcPr>
          <w:p>
            <w:pPr>
              <w:spacing w:after="0"/>
              <w:rPr>
                <w:sz w:val="1"/>
                <w:szCs w:val="1"/>
                <w:color w:val="auto"/>
              </w:rPr>
            </w:pPr>
          </w:p>
        </w:tc>
      </w:tr>
      <w:tr>
        <w:trPr>
          <w:trHeight w:val="189"/>
        </w:trPr>
        <w:tc>
          <w:tcPr>
            <w:tcW w:w="7340" w:type="dxa"/>
            <w:vAlign w:val="bottom"/>
            <w:gridSpan w:val="3"/>
          </w:tcPr>
          <w:p>
            <w:pPr>
              <w:ind w:left="180"/>
              <w:spacing w:after="0"/>
              <w:rPr>
                <w:sz w:val="20"/>
                <w:szCs w:val="20"/>
                <w:color w:val="auto"/>
              </w:rPr>
            </w:pPr>
            <w:r>
              <w:rPr>
                <w:rFonts w:ascii="Arial" w:cs="Arial" w:eastAsia="Arial" w:hAnsi="Arial"/>
                <w:sz w:val="14"/>
                <w:szCs w:val="14"/>
                <w:color w:val="auto"/>
              </w:rPr>
              <w:t>Loans receivable, net</w:t>
            </w:r>
          </w:p>
        </w:tc>
        <w:tc>
          <w:tcPr>
            <w:tcW w:w="9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872,315</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882,435</w:t>
            </w:r>
          </w:p>
        </w:tc>
        <w:tc>
          <w:tcPr>
            <w:tcW w:w="0" w:type="dxa"/>
            <w:vAlign w:val="bottom"/>
          </w:tcPr>
          <w:p>
            <w:pPr>
              <w:spacing w:after="0"/>
              <w:rPr>
                <w:sz w:val="1"/>
                <w:szCs w:val="1"/>
                <w:color w:val="auto"/>
              </w:rPr>
            </w:pPr>
          </w:p>
        </w:tc>
      </w:tr>
      <w:tr>
        <w:trPr>
          <w:trHeight w:val="195"/>
        </w:trPr>
        <w:tc>
          <w:tcPr>
            <w:tcW w:w="7340" w:type="dxa"/>
            <w:vAlign w:val="bottom"/>
            <w:tcBorders>
              <w:left w:val="single" w:sz="8" w:color="CFF0FC"/>
            </w:tcBorders>
            <w:gridSpan w:val="3"/>
            <w:shd w:val="clear" w:color="auto" w:fill="CFF0FC"/>
          </w:tcPr>
          <w:p>
            <w:pPr>
              <w:ind w:left="100"/>
              <w:spacing w:after="0"/>
              <w:rPr>
                <w:sz w:val="20"/>
                <w:szCs w:val="20"/>
                <w:color w:val="auto"/>
              </w:rPr>
            </w:pPr>
            <w:r>
              <w:rPr>
                <w:rFonts w:ascii="Arial" w:cs="Arial" w:eastAsia="Arial" w:hAnsi="Arial"/>
                <w:sz w:val="14"/>
                <w:szCs w:val="14"/>
                <w:color w:val="auto"/>
              </w:rPr>
              <w:t>Premises and equipment, net</w:t>
            </w:r>
          </w:p>
        </w:tc>
        <w:tc>
          <w:tcPr>
            <w:tcW w:w="9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17,828</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17,872</w:t>
            </w:r>
          </w:p>
        </w:tc>
        <w:tc>
          <w:tcPr>
            <w:tcW w:w="0" w:type="dxa"/>
            <w:vAlign w:val="bottom"/>
          </w:tcPr>
          <w:p>
            <w:pPr>
              <w:spacing w:after="0"/>
              <w:rPr>
                <w:sz w:val="1"/>
                <w:szCs w:val="1"/>
                <w:color w:val="auto"/>
              </w:rPr>
            </w:pPr>
          </w:p>
        </w:tc>
      </w:tr>
      <w:tr>
        <w:trPr>
          <w:trHeight w:val="189"/>
        </w:trPr>
        <w:tc>
          <w:tcPr>
            <w:tcW w:w="7340" w:type="dxa"/>
            <w:vAlign w:val="bottom"/>
            <w:gridSpan w:val="3"/>
          </w:tcPr>
          <w:p>
            <w:pPr>
              <w:ind w:left="100"/>
              <w:spacing w:after="0"/>
              <w:rPr>
                <w:sz w:val="20"/>
                <w:szCs w:val="20"/>
                <w:color w:val="auto"/>
              </w:rPr>
            </w:pPr>
            <w:r>
              <w:rPr>
                <w:rFonts w:ascii="Arial" w:cs="Arial" w:eastAsia="Arial" w:hAnsi="Arial"/>
                <w:sz w:val="14"/>
                <w:szCs w:val="14"/>
                <w:color w:val="auto"/>
              </w:rPr>
              <w:t>Assets held-for-sale</w:t>
            </w:r>
          </w:p>
        </w:tc>
        <w:tc>
          <w:tcPr>
            <w:tcW w:w="9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3,042</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3,042</w:t>
            </w:r>
          </w:p>
        </w:tc>
        <w:tc>
          <w:tcPr>
            <w:tcW w:w="0" w:type="dxa"/>
            <w:vAlign w:val="bottom"/>
          </w:tcPr>
          <w:p>
            <w:pPr>
              <w:spacing w:after="0"/>
              <w:rPr>
                <w:sz w:val="1"/>
                <w:szCs w:val="1"/>
                <w:color w:val="auto"/>
              </w:rPr>
            </w:pPr>
          </w:p>
        </w:tc>
      </w:tr>
      <w:tr>
        <w:trPr>
          <w:trHeight w:val="195"/>
        </w:trPr>
        <w:tc>
          <w:tcPr>
            <w:tcW w:w="7340" w:type="dxa"/>
            <w:vAlign w:val="bottom"/>
            <w:tcBorders>
              <w:left w:val="single" w:sz="8" w:color="CFF0FC"/>
            </w:tcBorders>
            <w:gridSpan w:val="3"/>
            <w:shd w:val="clear" w:color="auto" w:fill="CFF0FC"/>
          </w:tcPr>
          <w:p>
            <w:pPr>
              <w:ind w:left="100"/>
              <w:spacing w:after="0"/>
              <w:rPr>
                <w:sz w:val="20"/>
                <w:szCs w:val="20"/>
                <w:color w:val="auto"/>
              </w:rPr>
            </w:pPr>
            <w:r>
              <w:rPr>
                <w:rFonts w:ascii="Arial" w:cs="Arial" w:eastAsia="Arial" w:hAnsi="Arial"/>
                <w:sz w:val="14"/>
                <w:szCs w:val="14"/>
                <w:color w:val="auto"/>
              </w:rPr>
              <w:t>Operating lease right-of-use assets</w:t>
            </w:r>
          </w:p>
        </w:tc>
        <w:tc>
          <w:tcPr>
            <w:tcW w:w="9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2,025</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2,098</w:t>
            </w:r>
          </w:p>
        </w:tc>
        <w:tc>
          <w:tcPr>
            <w:tcW w:w="0" w:type="dxa"/>
            <w:vAlign w:val="bottom"/>
          </w:tcPr>
          <w:p>
            <w:pPr>
              <w:spacing w:after="0"/>
              <w:rPr>
                <w:sz w:val="1"/>
                <w:szCs w:val="1"/>
                <w:color w:val="auto"/>
              </w:rPr>
            </w:pPr>
          </w:p>
        </w:tc>
      </w:tr>
      <w:tr>
        <w:trPr>
          <w:trHeight w:val="189"/>
        </w:trPr>
        <w:tc>
          <w:tcPr>
            <w:tcW w:w="7340" w:type="dxa"/>
            <w:vAlign w:val="bottom"/>
            <w:gridSpan w:val="3"/>
          </w:tcPr>
          <w:p>
            <w:pPr>
              <w:ind w:left="100"/>
              <w:spacing w:after="0"/>
              <w:rPr>
                <w:sz w:val="20"/>
                <w:szCs w:val="20"/>
                <w:color w:val="auto"/>
              </w:rPr>
            </w:pPr>
            <w:r>
              <w:rPr>
                <w:rFonts w:ascii="Arial" w:cs="Arial" w:eastAsia="Arial" w:hAnsi="Arial"/>
                <w:sz w:val="14"/>
                <w:szCs w:val="14"/>
                <w:color w:val="auto"/>
              </w:rPr>
              <w:t>Finance lease right-of-use assets</w:t>
            </w:r>
          </w:p>
        </w:tc>
        <w:tc>
          <w:tcPr>
            <w:tcW w:w="9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4,143</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4,213</w:t>
            </w:r>
          </w:p>
        </w:tc>
        <w:tc>
          <w:tcPr>
            <w:tcW w:w="0" w:type="dxa"/>
            <w:vAlign w:val="bottom"/>
          </w:tcPr>
          <w:p>
            <w:pPr>
              <w:spacing w:after="0"/>
              <w:rPr>
                <w:sz w:val="1"/>
                <w:szCs w:val="1"/>
                <w:color w:val="auto"/>
              </w:rPr>
            </w:pPr>
          </w:p>
        </w:tc>
      </w:tr>
      <w:tr>
        <w:trPr>
          <w:trHeight w:val="195"/>
        </w:trPr>
        <w:tc>
          <w:tcPr>
            <w:tcW w:w="7340" w:type="dxa"/>
            <w:vAlign w:val="bottom"/>
            <w:tcBorders>
              <w:left w:val="single" w:sz="8" w:color="CFF0FC"/>
            </w:tcBorders>
            <w:gridSpan w:val="3"/>
            <w:shd w:val="clear" w:color="auto" w:fill="CFF0FC"/>
          </w:tcPr>
          <w:p>
            <w:pPr>
              <w:ind w:left="100"/>
              <w:spacing w:after="0"/>
              <w:rPr>
                <w:sz w:val="20"/>
                <w:szCs w:val="20"/>
                <w:color w:val="auto"/>
              </w:rPr>
            </w:pPr>
            <w:r>
              <w:rPr>
                <w:rFonts w:ascii="Arial" w:cs="Arial" w:eastAsia="Arial" w:hAnsi="Arial"/>
                <w:sz w:val="14"/>
                <w:szCs w:val="14"/>
                <w:color w:val="auto"/>
              </w:rPr>
              <w:t>Accrued interest receivable</w:t>
            </w:r>
          </w:p>
        </w:tc>
        <w:tc>
          <w:tcPr>
            <w:tcW w:w="9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6,145</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6,168</w:t>
            </w:r>
          </w:p>
        </w:tc>
        <w:tc>
          <w:tcPr>
            <w:tcW w:w="0" w:type="dxa"/>
            <w:vAlign w:val="bottom"/>
          </w:tcPr>
          <w:p>
            <w:pPr>
              <w:spacing w:after="0"/>
              <w:rPr>
                <w:sz w:val="1"/>
                <w:szCs w:val="1"/>
                <w:color w:val="auto"/>
              </w:rPr>
            </w:pPr>
          </w:p>
        </w:tc>
      </w:tr>
      <w:tr>
        <w:trPr>
          <w:trHeight w:val="189"/>
        </w:trPr>
        <w:tc>
          <w:tcPr>
            <w:tcW w:w="7340" w:type="dxa"/>
            <w:vAlign w:val="bottom"/>
            <w:gridSpan w:val="3"/>
          </w:tcPr>
          <w:p>
            <w:pPr>
              <w:ind w:left="100"/>
              <w:spacing w:after="0"/>
              <w:rPr>
                <w:sz w:val="20"/>
                <w:szCs w:val="20"/>
                <w:color w:val="auto"/>
              </w:rPr>
            </w:pPr>
            <w:r>
              <w:rPr>
                <w:rFonts w:ascii="Arial" w:cs="Arial" w:eastAsia="Arial" w:hAnsi="Arial"/>
                <w:sz w:val="14"/>
                <w:szCs w:val="14"/>
                <w:color w:val="auto"/>
              </w:rPr>
              <w:t>Foreclosed real estate</w:t>
            </w:r>
          </w:p>
        </w:tc>
        <w:tc>
          <w:tcPr>
            <w:tcW w:w="9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277</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07"/>
        </w:trPr>
        <w:tc>
          <w:tcPr>
            <w:tcW w:w="7340" w:type="dxa"/>
            <w:vAlign w:val="bottom"/>
            <w:tcBorders>
              <w:left w:val="single" w:sz="8" w:color="CFF0FC"/>
            </w:tcBorders>
            <w:gridSpan w:val="3"/>
            <w:shd w:val="clear" w:color="auto" w:fill="CFF0FC"/>
          </w:tcPr>
          <w:p>
            <w:pPr>
              <w:ind w:left="100"/>
              <w:spacing w:after="0"/>
              <w:rPr>
                <w:sz w:val="20"/>
                <w:szCs w:val="20"/>
                <w:color w:val="auto"/>
              </w:rPr>
            </w:pPr>
            <w:r>
              <w:rPr>
                <w:rFonts w:ascii="Arial" w:cs="Arial" w:eastAsia="Arial" w:hAnsi="Arial"/>
                <w:sz w:val="14"/>
                <w:szCs w:val="14"/>
                <w:color w:val="auto"/>
              </w:rPr>
              <w:t>Intangible assets, net</w:t>
            </w:r>
          </w:p>
        </w:tc>
        <w:tc>
          <w:tcPr>
            <w:tcW w:w="9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92</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89"/>
        </w:trPr>
        <w:tc>
          <w:tcPr>
            <w:tcW w:w="7340" w:type="dxa"/>
            <w:vAlign w:val="bottom"/>
            <w:gridSpan w:val="3"/>
          </w:tcPr>
          <w:p>
            <w:pPr>
              <w:ind w:left="100"/>
              <w:spacing w:after="0"/>
              <w:rPr>
                <w:sz w:val="20"/>
                <w:szCs w:val="20"/>
                <w:color w:val="auto"/>
              </w:rPr>
            </w:pPr>
            <w:r>
              <w:rPr>
                <w:rFonts w:ascii="Arial" w:cs="Arial" w:eastAsia="Arial" w:hAnsi="Arial"/>
                <w:sz w:val="14"/>
                <w:szCs w:val="14"/>
                <w:color w:val="auto"/>
              </w:rPr>
              <w:t>Goodwill</w:t>
            </w:r>
          </w:p>
        </w:tc>
        <w:tc>
          <w:tcPr>
            <w:tcW w:w="9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4,536</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4,536</w:t>
            </w:r>
          </w:p>
        </w:tc>
        <w:tc>
          <w:tcPr>
            <w:tcW w:w="0" w:type="dxa"/>
            <w:vAlign w:val="bottom"/>
          </w:tcPr>
          <w:p>
            <w:pPr>
              <w:spacing w:after="0"/>
              <w:rPr>
                <w:sz w:val="1"/>
                <w:szCs w:val="1"/>
                <w:color w:val="auto"/>
              </w:rPr>
            </w:pPr>
          </w:p>
        </w:tc>
      </w:tr>
      <w:tr>
        <w:trPr>
          <w:trHeight w:val="195"/>
        </w:trPr>
        <w:tc>
          <w:tcPr>
            <w:tcW w:w="7340" w:type="dxa"/>
            <w:vAlign w:val="bottom"/>
            <w:tcBorders>
              <w:left w:val="single" w:sz="8" w:color="CFF0FC"/>
            </w:tcBorders>
            <w:gridSpan w:val="3"/>
            <w:shd w:val="clear" w:color="auto" w:fill="CFF0FC"/>
          </w:tcPr>
          <w:p>
            <w:pPr>
              <w:ind w:left="100"/>
              <w:spacing w:after="0"/>
              <w:rPr>
                <w:sz w:val="20"/>
                <w:szCs w:val="20"/>
                <w:color w:val="auto"/>
              </w:rPr>
            </w:pPr>
            <w:r>
              <w:rPr>
                <w:rFonts w:ascii="Arial" w:cs="Arial" w:eastAsia="Arial" w:hAnsi="Arial"/>
                <w:sz w:val="14"/>
                <w:szCs w:val="14"/>
                <w:color w:val="auto"/>
              </w:rPr>
              <w:t>Bank owned life insurance</w:t>
            </w:r>
          </w:p>
        </w:tc>
        <w:tc>
          <w:tcPr>
            <w:tcW w:w="9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24,313</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24,012</w:t>
            </w:r>
          </w:p>
        </w:tc>
        <w:tc>
          <w:tcPr>
            <w:tcW w:w="0" w:type="dxa"/>
            <w:vAlign w:val="bottom"/>
          </w:tcPr>
          <w:p>
            <w:pPr>
              <w:spacing w:after="0"/>
              <w:rPr>
                <w:sz w:val="1"/>
                <w:szCs w:val="1"/>
                <w:color w:val="auto"/>
              </w:rPr>
            </w:pPr>
          </w:p>
        </w:tc>
      </w:tr>
      <w:tr>
        <w:trPr>
          <w:trHeight w:val="189"/>
        </w:trPr>
        <w:tc>
          <w:tcPr>
            <w:tcW w:w="7340" w:type="dxa"/>
            <w:vAlign w:val="bottom"/>
            <w:gridSpan w:val="3"/>
          </w:tcPr>
          <w:p>
            <w:pPr>
              <w:ind w:left="100"/>
              <w:spacing w:after="0"/>
              <w:rPr>
                <w:sz w:val="20"/>
                <w:szCs w:val="20"/>
                <w:color w:val="auto"/>
              </w:rPr>
            </w:pPr>
            <w:r>
              <w:rPr>
                <w:rFonts w:ascii="Arial" w:cs="Arial" w:eastAsia="Arial" w:hAnsi="Arial"/>
                <w:sz w:val="14"/>
                <w:szCs w:val="14"/>
                <w:color w:val="auto"/>
              </w:rPr>
              <w:t>Other assets</w:t>
            </w:r>
          </w:p>
        </w:tc>
        <w:tc>
          <w:tcPr>
            <w:tcW w:w="9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30,601</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25,969</w:t>
            </w:r>
          </w:p>
        </w:tc>
        <w:tc>
          <w:tcPr>
            <w:tcW w:w="0" w:type="dxa"/>
            <w:vAlign w:val="bottom"/>
          </w:tcPr>
          <w:p>
            <w:pPr>
              <w:spacing w:after="0"/>
              <w:rPr>
                <w:sz w:val="1"/>
                <w:szCs w:val="1"/>
                <w:color w:val="auto"/>
              </w:rPr>
            </w:pPr>
          </w:p>
        </w:tc>
      </w:tr>
      <w:tr>
        <w:trPr>
          <w:trHeight w:val="232"/>
        </w:trPr>
        <w:tc>
          <w:tcPr>
            <w:tcW w:w="7340" w:type="dxa"/>
            <w:vAlign w:val="bottom"/>
            <w:tcBorders>
              <w:left w:val="single" w:sz="8" w:color="CFF0FC"/>
              <w:bottom w:val="single" w:sz="8" w:color="auto"/>
            </w:tcBorders>
            <w:gridSpan w:val="3"/>
            <w:shd w:val="clear" w:color="auto" w:fill="CFF0FC"/>
          </w:tcPr>
          <w:p>
            <w:pPr>
              <w:ind w:left="260"/>
              <w:spacing w:after="0"/>
              <w:rPr>
                <w:sz w:val="20"/>
                <w:szCs w:val="20"/>
                <w:color w:val="auto"/>
              </w:rPr>
            </w:pPr>
            <w:r>
              <w:rPr>
                <w:rFonts w:ascii="Arial" w:cs="Arial" w:eastAsia="Arial" w:hAnsi="Arial"/>
                <w:sz w:val="14"/>
                <w:szCs w:val="14"/>
                <w:color w:val="auto"/>
              </w:rPr>
              <w:t>Total assets</w:t>
            </w:r>
          </w:p>
        </w:tc>
        <w:tc>
          <w:tcPr>
            <w:tcW w:w="90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1,392,346</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1,399,921</w:t>
            </w: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40" w:type="dxa"/>
            <w:vAlign w:val="bottom"/>
            <w:tcBorders>
              <w:left w:val="single" w:sz="8" w:color="CFF0FC"/>
            </w:tcBorders>
            <w:gridSpan w:val="3"/>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LIABILITIES AND SHAREHOLDERS' EQUITY:</w:t>
            </w:r>
          </w:p>
        </w:tc>
        <w:tc>
          <w:tcPr>
            <w:tcW w:w="9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Deposits:</w:t>
            </w:r>
          </w:p>
        </w:tc>
        <w:tc>
          <w:tcPr>
            <w:tcW w:w="4240" w:type="dxa"/>
            <w:vAlign w:val="bottom"/>
            <w:tcBorders>
              <w:top w:val="single" w:sz="8" w:color="CFF0FC"/>
            </w:tcBorders>
          </w:tcPr>
          <w:p>
            <w:pPr>
              <w:spacing w:after="0"/>
              <w:rPr>
                <w:sz w:val="16"/>
                <w:szCs w:val="16"/>
                <w:color w:val="auto"/>
              </w:rPr>
            </w:pPr>
          </w:p>
        </w:tc>
        <w:tc>
          <w:tcPr>
            <w:tcW w:w="900" w:type="dxa"/>
            <w:vAlign w:val="bottom"/>
            <w:tcBorders>
              <w:top w:val="single" w:sz="8" w:color="CFF0FC"/>
            </w:tcBorders>
          </w:tcPr>
          <w:p>
            <w:pPr>
              <w:spacing w:after="0"/>
              <w:rPr>
                <w:sz w:val="16"/>
                <w:szCs w:val="16"/>
                <w:color w:val="auto"/>
              </w:rPr>
            </w:pPr>
          </w:p>
        </w:tc>
        <w:tc>
          <w:tcPr>
            <w:tcW w:w="1020" w:type="dxa"/>
            <w:vAlign w:val="bottom"/>
            <w:tcBorders>
              <w:top w:val="single" w:sz="8" w:color="CFF0FC"/>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06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340" w:type="dxa"/>
            <w:vAlign w:val="bottom"/>
            <w:tcBorders>
              <w:left w:val="single" w:sz="8" w:color="CFF0FC"/>
            </w:tcBorders>
            <w:gridSpan w:val="3"/>
            <w:shd w:val="clear" w:color="auto" w:fill="CFF0FC"/>
          </w:tcPr>
          <w:p>
            <w:pPr>
              <w:ind w:left="180"/>
              <w:spacing w:after="0"/>
              <w:rPr>
                <w:sz w:val="20"/>
                <w:szCs w:val="20"/>
                <w:color w:val="auto"/>
              </w:rPr>
            </w:pPr>
            <w:r>
              <w:rPr>
                <w:rFonts w:ascii="Arial" w:cs="Arial" w:eastAsia="Arial" w:hAnsi="Arial"/>
                <w:sz w:val="14"/>
                <w:szCs w:val="14"/>
                <w:color w:val="auto"/>
              </w:rPr>
              <w:t>Interest-bearing</w:t>
            </w:r>
          </w:p>
        </w:tc>
        <w:tc>
          <w:tcPr>
            <w:tcW w:w="9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934,218</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941,719</w:t>
            </w:r>
          </w:p>
        </w:tc>
        <w:tc>
          <w:tcPr>
            <w:tcW w:w="0" w:type="dxa"/>
            <w:vAlign w:val="bottom"/>
          </w:tcPr>
          <w:p>
            <w:pPr>
              <w:spacing w:after="0"/>
              <w:rPr>
                <w:sz w:val="1"/>
                <w:szCs w:val="1"/>
                <w:color w:val="auto"/>
              </w:rPr>
            </w:pPr>
          </w:p>
        </w:tc>
      </w:tr>
      <w:tr>
        <w:trPr>
          <w:trHeight w:val="189"/>
        </w:trPr>
        <w:tc>
          <w:tcPr>
            <w:tcW w:w="7340" w:type="dxa"/>
            <w:vAlign w:val="bottom"/>
            <w:gridSpan w:val="3"/>
          </w:tcPr>
          <w:p>
            <w:pPr>
              <w:ind w:left="180"/>
              <w:spacing w:after="0"/>
              <w:rPr>
                <w:sz w:val="20"/>
                <w:szCs w:val="20"/>
                <w:color w:val="auto"/>
              </w:rPr>
            </w:pPr>
            <w:r>
              <w:rPr>
                <w:rFonts w:ascii="Arial" w:cs="Arial" w:eastAsia="Arial" w:hAnsi="Arial"/>
                <w:sz w:val="14"/>
                <w:szCs w:val="14"/>
                <w:color w:val="auto"/>
              </w:rPr>
              <w:t>Noninterest-bearing</w:t>
            </w:r>
          </w:p>
        </w:tc>
        <w:tc>
          <w:tcPr>
            <w:tcW w:w="9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166,882</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183,711</w:t>
            </w:r>
          </w:p>
        </w:tc>
        <w:tc>
          <w:tcPr>
            <w:tcW w:w="0" w:type="dxa"/>
            <w:vAlign w:val="bottom"/>
          </w:tcPr>
          <w:p>
            <w:pPr>
              <w:spacing w:after="0"/>
              <w:rPr>
                <w:sz w:val="1"/>
                <w:szCs w:val="1"/>
                <w:color w:val="auto"/>
              </w:rPr>
            </w:pPr>
          </w:p>
        </w:tc>
      </w:tr>
      <w:tr>
        <w:trPr>
          <w:trHeight w:val="195"/>
        </w:trPr>
        <w:tc>
          <w:tcPr>
            <w:tcW w:w="7340" w:type="dxa"/>
            <w:vAlign w:val="bottom"/>
            <w:tcBorders>
              <w:left w:val="single" w:sz="8" w:color="CFF0FC"/>
            </w:tcBorders>
            <w:gridSpan w:val="3"/>
            <w:shd w:val="clear" w:color="auto" w:fill="CFF0FC"/>
          </w:tcPr>
          <w:p>
            <w:pPr>
              <w:ind w:left="260"/>
              <w:spacing w:after="0"/>
              <w:rPr>
                <w:sz w:val="20"/>
                <w:szCs w:val="20"/>
                <w:color w:val="auto"/>
              </w:rPr>
            </w:pPr>
            <w:r>
              <w:rPr>
                <w:rFonts w:ascii="Arial" w:cs="Arial" w:eastAsia="Arial" w:hAnsi="Arial"/>
                <w:sz w:val="14"/>
                <w:szCs w:val="14"/>
                <w:color w:val="auto"/>
              </w:rPr>
              <w:t>Total deposits</w:t>
            </w:r>
          </w:p>
        </w:tc>
        <w:tc>
          <w:tcPr>
            <w:tcW w:w="9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1,101,100</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1,125,430</w:t>
            </w:r>
          </w:p>
        </w:tc>
        <w:tc>
          <w:tcPr>
            <w:tcW w:w="0" w:type="dxa"/>
            <w:vAlign w:val="bottom"/>
          </w:tcPr>
          <w:p>
            <w:pPr>
              <w:spacing w:after="0"/>
              <w:rPr>
                <w:sz w:val="1"/>
                <w:szCs w:val="1"/>
                <w:color w:val="auto"/>
              </w:rPr>
            </w:pPr>
          </w:p>
        </w:tc>
      </w:tr>
      <w:tr>
        <w:trPr>
          <w:trHeight w:val="189"/>
        </w:trPr>
        <w:tc>
          <w:tcPr>
            <w:tcW w:w="7340" w:type="dxa"/>
            <w:vAlign w:val="bottom"/>
            <w:gridSpan w:val="3"/>
          </w:tcPr>
          <w:p>
            <w:pPr>
              <w:ind w:left="100"/>
              <w:spacing w:after="0"/>
              <w:rPr>
                <w:sz w:val="20"/>
                <w:szCs w:val="20"/>
                <w:color w:val="auto"/>
              </w:rPr>
            </w:pPr>
            <w:r>
              <w:rPr>
                <w:rFonts w:ascii="Arial" w:cs="Arial" w:eastAsia="Arial" w:hAnsi="Arial"/>
                <w:sz w:val="14"/>
                <w:szCs w:val="14"/>
                <w:color w:val="auto"/>
              </w:rPr>
              <w:t>Short-term borrowings</w:t>
            </w:r>
          </w:p>
        </w:tc>
        <w:tc>
          <w:tcPr>
            <w:tcW w:w="9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69,536</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60,333</w:t>
            </w:r>
          </w:p>
        </w:tc>
        <w:tc>
          <w:tcPr>
            <w:tcW w:w="0" w:type="dxa"/>
            <w:vAlign w:val="bottom"/>
          </w:tcPr>
          <w:p>
            <w:pPr>
              <w:spacing w:after="0"/>
              <w:rPr>
                <w:sz w:val="1"/>
                <w:szCs w:val="1"/>
                <w:color w:val="auto"/>
              </w:rPr>
            </w:pPr>
          </w:p>
        </w:tc>
      </w:tr>
      <w:tr>
        <w:trPr>
          <w:trHeight w:val="195"/>
        </w:trPr>
        <w:tc>
          <w:tcPr>
            <w:tcW w:w="7340" w:type="dxa"/>
            <w:vAlign w:val="bottom"/>
            <w:tcBorders>
              <w:left w:val="single" w:sz="8" w:color="CFF0FC"/>
            </w:tcBorders>
            <w:gridSpan w:val="3"/>
            <w:shd w:val="clear" w:color="auto" w:fill="CFF0FC"/>
          </w:tcPr>
          <w:p>
            <w:pPr>
              <w:ind w:left="100"/>
              <w:spacing w:after="0"/>
              <w:rPr>
                <w:sz w:val="20"/>
                <w:szCs w:val="20"/>
                <w:color w:val="auto"/>
              </w:rPr>
            </w:pPr>
            <w:r>
              <w:rPr>
                <w:rFonts w:ascii="Arial" w:cs="Arial" w:eastAsia="Arial" w:hAnsi="Arial"/>
                <w:sz w:val="14"/>
                <w:szCs w:val="14"/>
                <w:color w:val="auto"/>
              </w:rPr>
              <w:t>Long-term borrowings</w:t>
            </w:r>
          </w:p>
        </w:tc>
        <w:tc>
          <w:tcPr>
            <w:tcW w:w="9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59,915</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55,664</w:t>
            </w:r>
          </w:p>
        </w:tc>
        <w:tc>
          <w:tcPr>
            <w:tcW w:w="0" w:type="dxa"/>
            <w:vAlign w:val="bottom"/>
          </w:tcPr>
          <w:p>
            <w:pPr>
              <w:spacing w:after="0"/>
              <w:rPr>
                <w:sz w:val="1"/>
                <w:szCs w:val="1"/>
                <w:color w:val="auto"/>
              </w:rPr>
            </w:pPr>
          </w:p>
        </w:tc>
      </w:tr>
      <w:tr>
        <w:trPr>
          <w:trHeight w:val="189"/>
        </w:trPr>
        <w:tc>
          <w:tcPr>
            <w:tcW w:w="7340" w:type="dxa"/>
            <w:vAlign w:val="bottom"/>
            <w:gridSpan w:val="3"/>
          </w:tcPr>
          <w:p>
            <w:pPr>
              <w:ind w:left="100"/>
              <w:spacing w:after="0"/>
              <w:rPr>
                <w:sz w:val="20"/>
                <w:szCs w:val="20"/>
                <w:color w:val="auto"/>
              </w:rPr>
            </w:pPr>
            <w:r>
              <w:rPr>
                <w:rFonts w:ascii="Arial" w:cs="Arial" w:eastAsia="Arial" w:hAnsi="Arial"/>
                <w:sz w:val="14"/>
                <w:szCs w:val="14"/>
                <w:color w:val="auto"/>
              </w:rPr>
              <w:t>Subordinated debt</w:t>
            </w:r>
          </w:p>
        </w:tc>
        <w:tc>
          <w:tcPr>
            <w:tcW w:w="9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29,821</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29,733</w:t>
            </w:r>
          </w:p>
        </w:tc>
        <w:tc>
          <w:tcPr>
            <w:tcW w:w="0" w:type="dxa"/>
            <w:vAlign w:val="bottom"/>
          </w:tcPr>
          <w:p>
            <w:pPr>
              <w:spacing w:after="0"/>
              <w:rPr>
                <w:sz w:val="1"/>
                <w:szCs w:val="1"/>
                <w:color w:val="auto"/>
              </w:rPr>
            </w:pPr>
          </w:p>
        </w:tc>
      </w:tr>
      <w:tr>
        <w:trPr>
          <w:trHeight w:val="195"/>
        </w:trPr>
        <w:tc>
          <w:tcPr>
            <w:tcW w:w="7340" w:type="dxa"/>
            <w:vAlign w:val="bottom"/>
            <w:tcBorders>
              <w:left w:val="single" w:sz="8" w:color="CFF0FC"/>
            </w:tcBorders>
            <w:gridSpan w:val="3"/>
            <w:shd w:val="clear" w:color="auto" w:fill="CFF0FC"/>
          </w:tcPr>
          <w:p>
            <w:pPr>
              <w:ind w:left="100"/>
              <w:spacing w:after="0"/>
              <w:rPr>
                <w:sz w:val="20"/>
                <w:szCs w:val="20"/>
                <w:color w:val="auto"/>
              </w:rPr>
            </w:pPr>
            <w:r>
              <w:rPr>
                <w:rFonts w:ascii="Arial" w:cs="Arial" w:eastAsia="Arial" w:hAnsi="Arial"/>
                <w:sz w:val="14"/>
                <w:szCs w:val="14"/>
                <w:color w:val="auto"/>
              </w:rPr>
              <w:t>Accrued interest payable</w:t>
            </w:r>
          </w:p>
        </w:tc>
        <w:tc>
          <w:tcPr>
            <w:tcW w:w="9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1,559</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189"/>
        </w:trPr>
        <w:tc>
          <w:tcPr>
            <w:tcW w:w="7340" w:type="dxa"/>
            <w:vAlign w:val="bottom"/>
            <w:gridSpan w:val="3"/>
          </w:tcPr>
          <w:p>
            <w:pPr>
              <w:ind w:left="100"/>
              <w:spacing w:after="0"/>
              <w:rPr>
                <w:sz w:val="20"/>
                <w:szCs w:val="20"/>
                <w:color w:val="auto"/>
              </w:rPr>
            </w:pPr>
            <w:r>
              <w:rPr>
                <w:rFonts w:ascii="Arial" w:cs="Arial" w:eastAsia="Arial" w:hAnsi="Arial"/>
                <w:sz w:val="14"/>
                <w:szCs w:val="14"/>
                <w:color w:val="auto"/>
              </w:rPr>
              <w:t>Operating lease liabilities</w:t>
            </w:r>
          </w:p>
        </w:tc>
        <w:tc>
          <w:tcPr>
            <w:tcW w:w="9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2,353</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2,417</w:t>
            </w:r>
          </w:p>
        </w:tc>
        <w:tc>
          <w:tcPr>
            <w:tcW w:w="0" w:type="dxa"/>
            <w:vAlign w:val="bottom"/>
          </w:tcPr>
          <w:p>
            <w:pPr>
              <w:spacing w:after="0"/>
              <w:rPr>
                <w:sz w:val="1"/>
                <w:szCs w:val="1"/>
                <w:color w:val="auto"/>
              </w:rPr>
            </w:pPr>
          </w:p>
        </w:tc>
      </w:tr>
      <w:tr>
        <w:trPr>
          <w:trHeight w:val="195"/>
        </w:trPr>
        <w:tc>
          <w:tcPr>
            <w:tcW w:w="7340" w:type="dxa"/>
            <w:vAlign w:val="bottom"/>
            <w:tcBorders>
              <w:left w:val="single" w:sz="8" w:color="CFF0FC"/>
            </w:tcBorders>
            <w:gridSpan w:val="3"/>
            <w:shd w:val="clear" w:color="auto" w:fill="CFF0FC"/>
          </w:tcPr>
          <w:p>
            <w:pPr>
              <w:ind w:left="100"/>
              <w:spacing w:after="0"/>
              <w:rPr>
                <w:sz w:val="20"/>
                <w:szCs w:val="20"/>
                <w:color w:val="auto"/>
              </w:rPr>
            </w:pPr>
            <w:r>
              <w:rPr>
                <w:rFonts w:ascii="Arial" w:cs="Arial" w:eastAsia="Arial" w:hAnsi="Arial"/>
                <w:sz w:val="14"/>
                <w:szCs w:val="14"/>
                <w:color w:val="auto"/>
              </w:rPr>
              <w:t>Finance lease liabilities</w:t>
            </w:r>
          </w:p>
        </w:tc>
        <w:tc>
          <w:tcPr>
            <w:tcW w:w="9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4,401</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4,422</w:t>
            </w:r>
          </w:p>
        </w:tc>
        <w:tc>
          <w:tcPr>
            <w:tcW w:w="0" w:type="dxa"/>
            <w:vAlign w:val="bottom"/>
          </w:tcPr>
          <w:p>
            <w:pPr>
              <w:spacing w:after="0"/>
              <w:rPr>
                <w:sz w:val="1"/>
                <w:szCs w:val="1"/>
                <w:color w:val="auto"/>
              </w:rPr>
            </w:pPr>
          </w:p>
        </w:tc>
      </w:tr>
      <w:tr>
        <w:trPr>
          <w:trHeight w:val="189"/>
        </w:trPr>
        <w:tc>
          <w:tcPr>
            <w:tcW w:w="7340" w:type="dxa"/>
            <w:vAlign w:val="bottom"/>
            <w:gridSpan w:val="3"/>
          </w:tcPr>
          <w:p>
            <w:pPr>
              <w:ind w:left="100"/>
              <w:spacing w:after="0"/>
              <w:rPr>
                <w:sz w:val="20"/>
                <w:szCs w:val="20"/>
                <w:color w:val="auto"/>
              </w:rPr>
            </w:pPr>
            <w:r>
              <w:rPr>
                <w:rFonts w:ascii="Arial" w:cs="Arial" w:eastAsia="Arial" w:hAnsi="Arial"/>
                <w:sz w:val="14"/>
                <w:szCs w:val="14"/>
                <w:color w:val="auto"/>
              </w:rPr>
              <w:t>Other liabilities</w:t>
            </w:r>
          </w:p>
        </w:tc>
        <w:tc>
          <w:tcPr>
            <w:tcW w:w="9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9,232</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9,365</w:t>
            </w:r>
          </w:p>
        </w:tc>
        <w:tc>
          <w:tcPr>
            <w:tcW w:w="0" w:type="dxa"/>
            <w:vAlign w:val="bottom"/>
          </w:tcPr>
          <w:p>
            <w:pPr>
              <w:spacing w:after="0"/>
              <w:rPr>
                <w:sz w:val="1"/>
                <w:szCs w:val="1"/>
                <w:color w:val="auto"/>
              </w:rPr>
            </w:pPr>
          </w:p>
        </w:tc>
      </w:tr>
      <w:tr>
        <w:trPr>
          <w:trHeight w:val="195"/>
        </w:trPr>
        <w:tc>
          <w:tcPr>
            <w:tcW w:w="7340" w:type="dxa"/>
            <w:vAlign w:val="bottom"/>
            <w:tcBorders>
              <w:left w:val="single" w:sz="8" w:color="CFF0FC"/>
            </w:tcBorders>
            <w:gridSpan w:val="3"/>
            <w:shd w:val="clear" w:color="auto" w:fill="CFF0FC"/>
          </w:tcPr>
          <w:p>
            <w:pPr>
              <w:ind w:left="260"/>
              <w:spacing w:after="0"/>
              <w:rPr>
                <w:sz w:val="20"/>
                <w:szCs w:val="20"/>
                <w:color w:val="auto"/>
              </w:rPr>
            </w:pPr>
            <w:r>
              <w:rPr>
                <w:rFonts w:ascii="Arial" w:cs="Arial" w:eastAsia="Arial" w:hAnsi="Arial"/>
                <w:sz w:val="14"/>
                <w:szCs w:val="14"/>
                <w:color w:val="auto"/>
              </w:rPr>
              <w:t>Total liabilities</w:t>
            </w:r>
          </w:p>
        </w:tc>
        <w:tc>
          <w:tcPr>
            <w:tcW w:w="9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1,277,917</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1,288,339</w:t>
            </w:r>
          </w:p>
        </w:tc>
        <w:tc>
          <w:tcPr>
            <w:tcW w:w="0" w:type="dxa"/>
            <w:vAlign w:val="bottom"/>
          </w:tcPr>
          <w:p>
            <w:pPr>
              <w:spacing w:after="0"/>
              <w:rPr>
                <w:sz w:val="1"/>
                <w:szCs w:val="1"/>
                <w:color w:val="auto"/>
              </w:rPr>
            </w:pPr>
          </w:p>
        </w:tc>
      </w:tr>
      <w:tr>
        <w:trPr>
          <w:trHeight w:val="189"/>
        </w:trPr>
        <w:tc>
          <w:tcPr>
            <w:tcW w:w="7340" w:type="dxa"/>
            <w:vAlign w:val="bottom"/>
            <w:gridSpan w:val="3"/>
          </w:tcPr>
          <w:p>
            <w:pPr>
              <w:ind w:left="100"/>
              <w:spacing w:after="0"/>
              <w:rPr>
                <w:sz w:val="20"/>
                <w:szCs w:val="20"/>
                <w:color w:val="auto"/>
              </w:rPr>
            </w:pPr>
            <w:r>
              <w:rPr>
                <w:rFonts w:ascii="Arial" w:cs="Arial" w:eastAsia="Arial" w:hAnsi="Arial"/>
                <w:sz w:val="14"/>
                <w:szCs w:val="14"/>
                <w:color w:val="auto"/>
              </w:rPr>
              <w:t>Shareholders' equity:</w:t>
            </w: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40" w:type="dxa"/>
            <w:vAlign w:val="bottom"/>
            <w:tcBorders>
              <w:left w:val="single" w:sz="8" w:color="CFF0FC"/>
            </w:tcBorders>
            <w:gridSpan w:val="3"/>
            <w:shd w:val="clear" w:color="auto" w:fill="CFF0FC"/>
          </w:tcPr>
          <w:p>
            <w:pPr>
              <w:ind w:left="100"/>
              <w:spacing w:after="0"/>
              <w:rPr>
                <w:sz w:val="20"/>
                <w:szCs w:val="20"/>
                <w:color w:val="auto"/>
              </w:rPr>
            </w:pPr>
            <w:r>
              <w:rPr>
                <w:rFonts w:ascii="Arial" w:cs="Arial" w:eastAsia="Arial" w:hAnsi="Arial"/>
                <w:sz w:val="14"/>
                <w:szCs w:val="14"/>
                <w:color w:val="auto"/>
              </w:rPr>
              <w:t>Voting common stock, par value $0.01; 25,000,000 authorized shares; 4,690,065 and 4,651,829 shares</w:t>
            </w:r>
          </w:p>
        </w:tc>
        <w:tc>
          <w:tcPr>
            <w:tcW w:w="90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ind w:right="108"/>
              <w:spacing w:after="0"/>
              <w:rPr>
                <w:sz w:val="20"/>
                <w:szCs w:val="20"/>
                <w:color w:val="auto"/>
              </w:rPr>
            </w:pPr>
            <w:r>
              <w:rPr>
                <w:rFonts w:ascii="Arial" w:cs="Arial" w:eastAsia="Arial" w:hAnsi="Arial"/>
                <w:sz w:val="14"/>
                <w:szCs w:val="14"/>
                <w:color w:val="auto"/>
              </w:rPr>
              <w:t>47</w:t>
            </w:r>
          </w:p>
        </w:tc>
        <w:tc>
          <w:tcPr>
            <w:tcW w:w="24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8"/>
        </w:trPr>
        <w:tc>
          <w:tcPr>
            <w:tcW w:w="7340" w:type="dxa"/>
            <w:vAlign w:val="bottom"/>
            <w:tcBorders>
              <w:left w:val="single" w:sz="8" w:color="CFF0FC"/>
            </w:tcBorders>
            <w:gridSpan w:val="3"/>
            <w:shd w:val="clear" w:color="auto" w:fill="CFF0FC"/>
          </w:tcPr>
          <w:p>
            <w:pPr>
              <w:ind w:left="200"/>
              <w:spacing w:after="0"/>
              <w:rPr>
                <w:sz w:val="20"/>
                <w:szCs w:val="20"/>
                <w:color w:val="auto"/>
              </w:rPr>
            </w:pPr>
            <w:r>
              <w:rPr>
                <w:rFonts w:ascii="Arial" w:cs="Arial" w:eastAsia="Arial" w:hAnsi="Arial"/>
                <w:sz w:val="14"/>
                <w:szCs w:val="14"/>
                <w:color w:val="auto"/>
              </w:rPr>
              <w:t>issued and outstanding, respectively</w:t>
            </w:r>
          </w:p>
        </w:tc>
        <w:tc>
          <w:tcPr>
            <w:tcW w:w="90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340" w:type="dxa"/>
            <w:vAlign w:val="bottom"/>
            <w:gridSpan w:val="3"/>
          </w:tcPr>
          <w:p>
            <w:pPr>
              <w:ind w:left="100"/>
              <w:spacing w:after="0"/>
              <w:rPr>
                <w:sz w:val="20"/>
                <w:szCs w:val="20"/>
                <w:color w:val="auto"/>
              </w:rPr>
            </w:pPr>
            <w:r>
              <w:rPr>
                <w:rFonts w:ascii="Arial" w:cs="Arial" w:eastAsia="Arial" w:hAnsi="Arial"/>
                <w:sz w:val="14"/>
                <w:szCs w:val="14"/>
                <w:color w:val="auto"/>
              </w:rPr>
              <w:t>Non-Voting common stock, par value $0.01; 1,505,283 authorized shares; 1,380,283 shares</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340" w:type="dxa"/>
            <w:vAlign w:val="bottom"/>
            <w:gridSpan w:val="3"/>
          </w:tcPr>
          <w:p>
            <w:pPr>
              <w:ind w:left="200"/>
              <w:spacing w:after="0"/>
              <w:rPr>
                <w:sz w:val="20"/>
                <w:szCs w:val="20"/>
                <w:color w:val="auto"/>
              </w:rPr>
            </w:pPr>
            <w:r>
              <w:rPr>
                <w:rFonts w:ascii="Arial" w:cs="Arial" w:eastAsia="Arial" w:hAnsi="Arial"/>
                <w:sz w:val="14"/>
                <w:szCs w:val="14"/>
                <w:color w:val="auto"/>
              </w:rPr>
              <w:t>issued and outstanding, respectively</w:t>
            </w:r>
          </w:p>
        </w:tc>
        <w:tc>
          <w:tcPr>
            <w:tcW w:w="9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5"/>
        </w:trPr>
        <w:tc>
          <w:tcPr>
            <w:tcW w:w="7340" w:type="dxa"/>
            <w:vAlign w:val="bottom"/>
            <w:tcBorders>
              <w:left w:val="single" w:sz="8" w:color="CFF0FC"/>
            </w:tcBorders>
            <w:gridSpan w:val="3"/>
            <w:shd w:val="clear" w:color="auto" w:fill="CFF0FC"/>
          </w:tcPr>
          <w:p>
            <w:pPr>
              <w:ind w:left="100"/>
              <w:spacing w:after="0"/>
              <w:rPr>
                <w:sz w:val="20"/>
                <w:szCs w:val="20"/>
                <w:color w:val="auto"/>
              </w:rPr>
            </w:pPr>
            <w:r>
              <w:rPr>
                <w:rFonts w:ascii="Arial" w:cs="Arial" w:eastAsia="Arial" w:hAnsi="Arial"/>
                <w:sz w:val="14"/>
                <w:szCs w:val="14"/>
                <w:color w:val="auto"/>
              </w:rPr>
              <w:t>Additional paid in capital</w:t>
            </w:r>
          </w:p>
        </w:tc>
        <w:tc>
          <w:tcPr>
            <w:tcW w:w="9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52,645</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52,101</w:t>
            </w:r>
          </w:p>
        </w:tc>
        <w:tc>
          <w:tcPr>
            <w:tcW w:w="0" w:type="dxa"/>
            <w:vAlign w:val="bottom"/>
          </w:tcPr>
          <w:p>
            <w:pPr>
              <w:spacing w:after="0"/>
              <w:rPr>
                <w:sz w:val="1"/>
                <w:szCs w:val="1"/>
                <w:color w:val="auto"/>
              </w:rPr>
            </w:pPr>
          </w:p>
        </w:tc>
      </w:tr>
      <w:tr>
        <w:trPr>
          <w:trHeight w:val="189"/>
        </w:trPr>
        <w:tc>
          <w:tcPr>
            <w:tcW w:w="7340" w:type="dxa"/>
            <w:vAlign w:val="bottom"/>
            <w:gridSpan w:val="3"/>
          </w:tcPr>
          <w:p>
            <w:pPr>
              <w:ind w:left="100"/>
              <w:spacing w:after="0"/>
              <w:rPr>
                <w:sz w:val="20"/>
                <w:szCs w:val="20"/>
                <w:color w:val="auto"/>
              </w:rPr>
            </w:pPr>
            <w:r>
              <w:rPr>
                <w:rFonts w:ascii="Arial" w:cs="Arial" w:eastAsia="Arial" w:hAnsi="Arial"/>
                <w:sz w:val="14"/>
                <w:szCs w:val="14"/>
                <w:color w:val="auto"/>
              </w:rPr>
              <w:t>Retained earnings</w:t>
            </w:r>
          </w:p>
        </w:tc>
        <w:tc>
          <w:tcPr>
            <w:tcW w:w="9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72,664</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71,322</w:t>
            </w:r>
          </w:p>
        </w:tc>
        <w:tc>
          <w:tcPr>
            <w:tcW w:w="0" w:type="dxa"/>
            <w:vAlign w:val="bottom"/>
          </w:tcPr>
          <w:p>
            <w:pPr>
              <w:spacing w:after="0"/>
              <w:rPr>
                <w:sz w:val="1"/>
                <w:szCs w:val="1"/>
                <w:color w:val="auto"/>
              </w:rPr>
            </w:pPr>
          </w:p>
        </w:tc>
      </w:tr>
      <w:tr>
        <w:trPr>
          <w:trHeight w:val="195"/>
        </w:trPr>
        <w:tc>
          <w:tcPr>
            <w:tcW w:w="7340" w:type="dxa"/>
            <w:vAlign w:val="bottom"/>
            <w:tcBorders>
              <w:left w:val="single" w:sz="8" w:color="CFF0FC"/>
            </w:tcBorders>
            <w:gridSpan w:val="3"/>
            <w:shd w:val="clear" w:color="auto" w:fill="CFF0FC"/>
          </w:tcPr>
          <w:p>
            <w:pPr>
              <w:ind w:left="100"/>
              <w:spacing w:after="0"/>
              <w:rPr>
                <w:sz w:val="20"/>
                <w:szCs w:val="20"/>
                <w:color w:val="auto"/>
              </w:rPr>
            </w:pPr>
            <w:r>
              <w:rPr>
                <w:rFonts w:ascii="Arial" w:cs="Arial" w:eastAsia="Arial" w:hAnsi="Arial"/>
                <w:sz w:val="14"/>
                <w:szCs w:val="14"/>
                <w:color w:val="auto"/>
              </w:rPr>
              <w:t>Accumulated other comprehensive loss</w:t>
            </w:r>
          </w:p>
        </w:tc>
        <w:tc>
          <w:tcPr>
            <w:tcW w:w="9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(11,370 )</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(12,172 )</w:t>
            </w:r>
          </w:p>
        </w:tc>
        <w:tc>
          <w:tcPr>
            <w:tcW w:w="0" w:type="dxa"/>
            <w:vAlign w:val="bottom"/>
          </w:tcPr>
          <w:p>
            <w:pPr>
              <w:spacing w:after="0"/>
              <w:rPr>
                <w:sz w:val="1"/>
                <w:szCs w:val="1"/>
                <w:color w:val="auto"/>
              </w:rPr>
            </w:pPr>
          </w:p>
        </w:tc>
      </w:tr>
      <w:tr>
        <w:trPr>
          <w:trHeight w:val="189"/>
        </w:trPr>
        <w:tc>
          <w:tcPr>
            <w:tcW w:w="7340" w:type="dxa"/>
            <w:vAlign w:val="bottom"/>
            <w:gridSpan w:val="3"/>
          </w:tcPr>
          <w:p>
            <w:pPr>
              <w:ind w:left="100"/>
              <w:spacing w:after="0"/>
              <w:rPr>
                <w:sz w:val="20"/>
                <w:szCs w:val="20"/>
                <w:color w:val="auto"/>
              </w:rPr>
            </w:pPr>
            <w:r>
              <w:rPr>
                <w:rFonts w:ascii="Arial" w:cs="Arial" w:eastAsia="Arial" w:hAnsi="Arial"/>
                <w:sz w:val="14"/>
                <w:szCs w:val="14"/>
                <w:color w:val="auto"/>
              </w:rPr>
              <w:t>Unearned ESOP</w:t>
            </w:r>
          </w:p>
        </w:tc>
        <w:tc>
          <w:tcPr>
            <w:tcW w:w="9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(225 )</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(315 )</w:t>
            </w:r>
          </w:p>
        </w:tc>
        <w:tc>
          <w:tcPr>
            <w:tcW w:w="0" w:type="dxa"/>
            <w:vAlign w:val="bottom"/>
          </w:tcPr>
          <w:p>
            <w:pPr>
              <w:spacing w:after="0"/>
              <w:rPr>
                <w:sz w:val="1"/>
                <w:szCs w:val="1"/>
                <w:color w:val="auto"/>
              </w:rPr>
            </w:pPr>
          </w:p>
        </w:tc>
      </w:tr>
      <w:tr>
        <w:trPr>
          <w:trHeight w:val="195"/>
        </w:trPr>
        <w:tc>
          <w:tcPr>
            <w:tcW w:w="7340" w:type="dxa"/>
            <w:vAlign w:val="bottom"/>
            <w:tcBorders>
              <w:left w:val="single" w:sz="8" w:color="CFF0FC"/>
            </w:tcBorders>
            <w:gridSpan w:val="3"/>
            <w:shd w:val="clear" w:color="auto" w:fill="CFF0FC"/>
          </w:tcPr>
          <w:p>
            <w:pPr>
              <w:ind w:left="260"/>
              <w:spacing w:after="0"/>
              <w:rPr>
                <w:sz w:val="20"/>
                <w:szCs w:val="20"/>
                <w:color w:val="auto"/>
              </w:rPr>
            </w:pPr>
            <w:r>
              <w:rPr>
                <w:rFonts w:ascii="Arial" w:cs="Arial" w:eastAsia="Arial" w:hAnsi="Arial"/>
                <w:sz w:val="14"/>
                <w:szCs w:val="14"/>
                <w:color w:val="auto"/>
              </w:rPr>
              <w:t>Total Pathfinder Bancorp, Inc. shareholders' equity</w:t>
            </w:r>
          </w:p>
        </w:tc>
        <w:tc>
          <w:tcPr>
            <w:tcW w:w="9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113,775</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110,997</w:t>
            </w:r>
          </w:p>
        </w:tc>
        <w:tc>
          <w:tcPr>
            <w:tcW w:w="0" w:type="dxa"/>
            <w:vAlign w:val="bottom"/>
          </w:tcPr>
          <w:p>
            <w:pPr>
              <w:spacing w:after="0"/>
              <w:rPr>
                <w:sz w:val="1"/>
                <w:szCs w:val="1"/>
                <w:color w:val="auto"/>
              </w:rPr>
            </w:pPr>
          </w:p>
        </w:tc>
      </w:tr>
      <w:tr>
        <w:trPr>
          <w:trHeight w:val="189"/>
        </w:trPr>
        <w:tc>
          <w:tcPr>
            <w:tcW w:w="7340" w:type="dxa"/>
            <w:vAlign w:val="bottom"/>
            <w:gridSpan w:val="3"/>
          </w:tcPr>
          <w:p>
            <w:pPr>
              <w:ind w:left="100"/>
              <w:spacing w:after="0"/>
              <w:rPr>
                <w:sz w:val="20"/>
                <w:szCs w:val="20"/>
                <w:color w:val="auto"/>
              </w:rPr>
            </w:pPr>
            <w:r>
              <w:rPr>
                <w:rFonts w:ascii="Arial" w:cs="Arial" w:eastAsia="Arial" w:hAnsi="Arial"/>
                <w:sz w:val="14"/>
                <w:szCs w:val="14"/>
                <w:color w:val="auto"/>
              </w:rPr>
              <w:t>Noncontrolling interest</w:t>
            </w:r>
          </w:p>
        </w:tc>
        <w:tc>
          <w:tcPr>
            <w:tcW w:w="9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654</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243"/>
        </w:trPr>
        <w:tc>
          <w:tcPr>
            <w:tcW w:w="7340" w:type="dxa"/>
            <w:vAlign w:val="bottom"/>
            <w:tcBorders>
              <w:left w:val="single" w:sz="8" w:color="CFF0FC"/>
            </w:tcBorders>
            <w:gridSpan w:val="3"/>
            <w:shd w:val="clear" w:color="auto" w:fill="CFF0FC"/>
          </w:tcPr>
          <w:p>
            <w:pPr>
              <w:ind w:left="260"/>
              <w:spacing w:after="0"/>
              <w:rPr>
                <w:sz w:val="20"/>
                <w:szCs w:val="20"/>
                <w:color w:val="auto"/>
              </w:rPr>
            </w:pPr>
            <w:r>
              <w:rPr>
                <w:rFonts w:ascii="Arial" w:cs="Arial" w:eastAsia="Arial" w:hAnsi="Arial"/>
                <w:sz w:val="14"/>
                <w:szCs w:val="14"/>
                <w:color w:val="auto"/>
              </w:rPr>
              <w:t>Total equity</w:t>
            </w:r>
          </w:p>
        </w:tc>
        <w:tc>
          <w:tcPr>
            <w:tcW w:w="90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114,429</w:t>
            </w: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111,582</w:t>
            </w:r>
          </w:p>
        </w:tc>
        <w:tc>
          <w:tcPr>
            <w:tcW w:w="0" w:type="dxa"/>
            <w:vAlign w:val="bottom"/>
          </w:tcPr>
          <w:p>
            <w:pPr>
              <w:spacing w:after="0"/>
              <w:rPr>
                <w:sz w:val="1"/>
                <w:szCs w:val="1"/>
                <w:color w:val="auto"/>
              </w:rPr>
            </w:pPr>
          </w:p>
        </w:tc>
      </w:tr>
      <w:tr>
        <w:trPr>
          <w:trHeight w:val="189"/>
        </w:trPr>
        <w:tc>
          <w:tcPr>
            <w:tcW w:w="73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color w:val="auto"/>
              </w:rPr>
              <w:t>Total liabilities and shareholders' equity</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1,392,346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1,399,921</w:t>
            </w:r>
          </w:p>
        </w:tc>
        <w:tc>
          <w:tcPr>
            <w:tcW w:w="0" w:type="dxa"/>
            <w:vAlign w:val="bottom"/>
          </w:tcPr>
          <w:p>
            <w:pPr>
              <w:spacing w:after="0"/>
              <w:rPr>
                <w:sz w:val="1"/>
                <w:szCs w:val="1"/>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 consolidated financial statements.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3</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44450</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77" w:right="68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Pathfinder Bancorp,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40" w:type="dxa"/>
            <w:vAlign w:val="bottom"/>
            <w:gridSpan w:val="3"/>
          </w:tcPr>
          <w:p>
            <w:pPr>
              <w:jc w:val="right"/>
              <w:ind w:right="368"/>
              <w:spacing w:after="0"/>
              <w:rPr>
                <w:sz w:val="20"/>
                <w:szCs w:val="20"/>
                <w:color w:val="auto"/>
              </w:rPr>
            </w:pPr>
            <w:r>
              <w:rPr>
                <w:rFonts w:ascii="Arial" w:cs="Arial" w:eastAsia="Arial" w:hAnsi="Arial"/>
                <w:sz w:val="14"/>
                <w:szCs w:val="14"/>
                <w:color w:val="auto"/>
              </w:rPr>
              <w:t>For the three months ended</w:t>
            </w:r>
          </w:p>
        </w:tc>
        <w:tc>
          <w:tcPr>
            <w:tcW w:w="180" w:type="dxa"/>
            <w:vAlign w:val="bottom"/>
          </w:tcPr>
          <w:p>
            <w:pPr>
              <w:spacing w:after="0"/>
              <w:rPr>
                <w:sz w:val="15"/>
                <w:szCs w:val="15"/>
                <w:color w:val="auto"/>
              </w:rPr>
            </w:pPr>
          </w:p>
        </w:tc>
        <w:tc>
          <w:tcPr>
            <w:tcW w:w="2380" w:type="dxa"/>
            <w:vAlign w:val="bottom"/>
            <w:gridSpan w:val="3"/>
          </w:tcPr>
          <w:p>
            <w:pPr>
              <w:jc w:val="right"/>
              <w:ind w:right="428"/>
              <w:spacing w:after="0"/>
              <w:rPr>
                <w:sz w:val="20"/>
                <w:szCs w:val="20"/>
                <w:color w:val="auto"/>
              </w:rPr>
            </w:pPr>
            <w:r>
              <w:rPr>
                <w:rFonts w:ascii="Arial" w:cs="Arial" w:eastAsia="Arial" w:hAnsi="Arial"/>
                <w:sz w:val="14"/>
                <w:szCs w:val="14"/>
                <w:color w:val="auto"/>
              </w:rPr>
              <w:t>For the six months ended</w:t>
            </w:r>
          </w:p>
        </w:tc>
      </w:tr>
      <w:tr>
        <w:trPr>
          <w:trHeight w:val="195"/>
        </w:trPr>
        <w:tc>
          <w:tcPr>
            <w:tcW w:w="50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5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June 30, 2023</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June 30, 2022</w:t>
            </w:r>
          </w:p>
        </w:tc>
        <w:tc>
          <w:tcPr>
            <w:tcW w:w="18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June 30, 2023</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June 30, 2022</w:t>
            </w:r>
          </w:p>
        </w:tc>
      </w:tr>
      <w:tr>
        <w:trPr>
          <w:trHeight w:val="195"/>
        </w:trPr>
        <w:tc>
          <w:tcPr>
            <w:tcW w:w="50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Interest and dividend income:</w:t>
            </w: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r>
      <w:tr>
        <w:trPr>
          <w:trHeight w:val="189"/>
        </w:trPr>
        <w:tc>
          <w:tcPr>
            <w:tcW w:w="5040" w:type="dxa"/>
            <w:vAlign w:val="bottom"/>
          </w:tcPr>
          <w:p>
            <w:pPr>
              <w:ind w:left="20"/>
              <w:spacing w:after="0"/>
              <w:rPr>
                <w:sz w:val="20"/>
                <w:szCs w:val="20"/>
                <w:color w:val="auto"/>
              </w:rPr>
            </w:pPr>
            <w:r>
              <w:rPr>
                <w:rFonts w:ascii="Arial" w:cs="Arial" w:eastAsia="Arial" w:hAnsi="Arial"/>
                <w:sz w:val="14"/>
                <w:szCs w:val="14"/>
                <w:color w:val="auto"/>
              </w:rPr>
              <w:t>Loans, including fees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11,791</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8,974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22,449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17,666</w:t>
            </w:r>
          </w:p>
        </w:tc>
      </w:tr>
      <w:tr>
        <w:trPr>
          <w:trHeight w:val="195"/>
        </w:trPr>
        <w:tc>
          <w:tcPr>
            <w:tcW w:w="5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Debt securities:</w:t>
            </w: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r>
      <w:tr>
        <w:trPr>
          <w:trHeight w:val="189"/>
        </w:trPr>
        <w:tc>
          <w:tcPr>
            <w:tcW w:w="5040" w:type="dxa"/>
            <w:vAlign w:val="bottom"/>
          </w:tcPr>
          <w:p>
            <w:pPr>
              <w:ind w:left="100"/>
              <w:spacing w:after="0"/>
              <w:rPr>
                <w:sz w:val="20"/>
                <w:szCs w:val="20"/>
                <w:color w:val="auto"/>
              </w:rPr>
            </w:pPr>
            <w:r>
              <w:rPr>
                <w:rFonts w:ascii="Arial" w:cs="Arial" w:eastAsia="Arial" w:hAnsi="Arial"/>
                <w:sz w:val="14"/>
                <w:szCs w:val="14"/>
                <w:color w:val="auto"/>
              </w:rPr>
              <w:t>Taxable</w:t>
            </w:r>
          </w:p>
        </w:tc>
        <w:tc>
          <w:tcPr>
            <w:tcW w:w="5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4,173</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2,523</w:t>
            </w:r>
          </w:p>
        </w:tc>
        <w:tc>
          <w:tcPr>
            <w:tcW w:w="18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7,920</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4,643</w:t>
            </w:r>
          </w:p>
        </w:tc>
      </w:tr>
      <w:tr>
        <w:trPr>
          <w:trHeight w:val="195"/>
        </w:trPr>
        <w:tc>
          <w:tcPr>
            <w:tcW w:w="50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Tax-exempt</w:t>
            </w: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479</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143</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934</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261</w:t>
            </w:r>
          </w:p>
        </w:tc>
      </w:tr>
      <w:tr>
        <w:trPr>
          <w:trHeight w:val="189"/>
        </w:trPr>
        <w:tc>
          <w:tcPr>
            <w:tcW w:w="5040" w:type="dxa"/>
            <w:vAlign w:val="bottom"/>
          </w:tcPr>
          <w:p>
            <w:pPr>
              <w:ind w:left="20"/>
              <w:spacing w:after="0"/>
              <w:rPr>
                <w:sz w:val="20"/>
                <w:szCs w:val="20"/>
                <w:color w:val="auto"/>
              </w:rPr>
            </w:pPr>
            <w:r>
              <w:rPr>
                <w:rFonts w:ascii="Arial" w:cs="Arial" w:eastAsia="Arial" w:hAnsi="Arial"/>
                <w:sz w:val="14"/>
                <w:szCs w:val="14"/>
                <w:color w:val="auto"/>
              </w:rPr>
              <w:t>Dividends</w:t>
            </w:r>
          </w:p>
        </w:tc>
        <w:tc>
          <w:tcPr>
            <w:tcW w:w="5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123</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18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201</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99</w:t>
            </w:r>
          </w:p>
        </w:tc>
      </w:tr>
      <w:tr>
        <w:trPr>
          <w:trHeight w:val="195"/>
        </w:trPr>
        <w:tc>
          <w:tcPr>
            <w:tcW w:w="5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Federal funds sold and interest earning deposits</w:t>
            </w: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55</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15</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160</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19</w:t>
            </w:r>
          </w:p>
        </w:tc>
      </w:tr>
      <w:tr>
        <w:trPr>
          <w:trHeight w:val="189"/>
        </w:trPr>
        <w:tc>
          <w:tcPr>
            <w:tcW w:w="5040" w:type="dxa"/>
            <w:vAlign w:val="bottom"/>
          </w:tcPr>
          <w:p>
            <w:pPr>
              <w:ind w:left="100"/>
              <w:spacing w:after="0"/>
              <w:rPr>
                <w:sz w:val="20"/>
                <w:szCs w:val="20"/>
                <w:color w:val="auto"/>
              </w:rPr>
            </w:pPr>
            <w:r>
              <w:rPr>
                <w:rFonts w:ascii="Arial" w:cs="Arial" w:eastAsia="Arial" w:hAnsi="Arial"/>
                <w:sz w:val="14"/>
                <w:szCs w:val="14"/>
                <w:color w:val="auto"/>
              </w:rPr>
              <w:t>Total interest and dividend income</w:t>
            </w:r>
          </w:p>
        </w:tc>
        <w:tc>
          <w:tcPr>
            <w:tcW w:w="5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16,621</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11,706</w:t>
            </w:r>
          </w:p>
        </w:tc>
        <w:tc>
          <w:tcPr>
            <w:tcW w:w="18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31,664</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22,688</w:t>
            </w:r>
          </w:p>
        </w:tc>
      </w:tr>
      <w:tr>
        <w:trPr>
          <w:trHeight w:val="195"/>
        </w:trPr>
        <w:tc>
          <w:tcPr>
            <w:tcW w:w="50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Interest expense:</w:t>
            </w: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r>
      <w:tr>
        <w:trPr>
          <w:trHeight w:val="189"/>
        </w:trPr>
        <w:tc>
          <w:tcPr>
            <w:tcW w:w="5040" w:type="dxa"/>
            <w:vAlign w:val="bottom"/>
          </w:tcPr>
          <w:p>
            <w:pPr>
              <w:ind w:left="20"/>
              <w:spacing w:after="0"/>
              <w:rPr>
                <w:sz w:val="20"/>
                <w:szCs w:val="20"/>
                <w:color w:val="auto"/>
              </w:rPr>
            </w:pPr>
            <w:r>
              <w:rPr>
                <w:rFonts w:ascii="Arial" w:cs="Arial" w:eastAsia="Arial" w:hAnsi="Arial"/>
                <w:sz w:val="14"/>
                <w:szCs w:val="14"/>
                <w:color w:val="auto"/>
              </w:rPr>
              <w:t>Interest on deposits</w:t>
            </w:r>
          </w:p>
        </w:tc>
        <w:tc>
          <w:tcPr>
            <w:tcW w:w="5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5,625</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1,134</w:t>
            </w:r>
          </w:p>
        </w:tc>
        <w:tc>
          <w:tcPr>
            <w:tcW w:w="18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9,662</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2,099</w:t>
            </w:r>
          </w:p>
        </w:tc>
      </w:tr>
      <w:tr>
        <w:trPr>
          <w:trHeight w:val="195"/>
        </w:trPr>
        <w:tc>
          <w:tcPr>
            <w:tcW w:w="5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on short-term borrowings</w:t>
            </w: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578</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24</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950</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29</w:t>
            </w:r>
          </w:p>
        </w:tc>
      </w:tr>
      <w:tr>
        <w:trPr>
          <w:trHeight w:val="189"/>
        </w:trPr>
        <w:tc>
          <w:tcPr>
            <w:tcW w:w="5040" w:type="dxa"/>
            <w:vAlign w:val="bottom"/>
          </w:tcPr>
          <w:p>
            <w:pPr>
              <w:ind w:left="20"/>
              <w:spacing w:after="0"/>
              <w:rPr>
                <w:sz w:val="20"/>
                <w:szCs w:val="20"/>
                <w:color w:val="auto"/>
              </w:rPr>
            </w:pPr>
            <w:r>
              <w:rPr>
                <w:rFonts w:ascii="Arial" w:cs="Arial" w:eastAsia="Arial" w:hAnsi="Arial"/>
                <w:sz w:val="14"/>
                <w:szCs w:val="14"/>
                <w:color w:val="auto"/>
              </w:rPr>
              <w:t>Interest on long-term borrowings</w:t>
            </w:r>
          </w:p>
        </w:tc>
        <w:tc>
          <w:tcPr>
            <w:tcW w:w="5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203</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18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397</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274</w:t>
            </w:r>
          </w:p>
        </w:tc>
      </w:tr>
      <w:tr>
        <w:trPr>
          <w:trHeight w:val="195"/>
        </w:trPr>
        <w:tc>
          <w:tcPr>
            <w:tcW w:w="5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on subordinated debt</w:t>
            </w: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483</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430</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955</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842</w:t>
            </w:r>
          </w:p>
        </w:tc>
      </w:tr>
      <w:tr>
        <w:trPr>
          <w:trHeight w:val="189"/>
        </w:trPr>
        <w:tc>
          <w:tcPr>
            <w:tcW w:w="5040" w:type="dxa"/>
            <w:vAlign w:val="bottom"/>
          </w:tcPr>
          <w:p>
            <w:pPr>
              <w:ind w:left="100"/>
              <w:spacing w:after="0"/>
              <w:rPr>
                <w:sz w:val="20"/>
                <w:szCs w:val="20"/>
                <w:color w:val="auto"/>
              </w:rPr>
            </w:pPr>
            <w:r>
              <w:rPr>
                <w:rFonts w:ascii="Arial" w:cs="Arial" w:eastAsia="Arial" w:hAnsi="Arial"/>
                <w:sz w:val="14"/>
                <w:szCs w:val="14"/>
                <w:color w:val="auto"/>
              </w:rPr>
              <w:t>Total interest expense</w:t>
            </w:r>
          </w:p>
        </w:tc>
        <w:tc>
          <w:tcPr>
            <w:tcW w:w="5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6,889</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1,729</w:t>
            </w:r>
          </w:p>
        </w:tc>
        <w:tc>
          <w:tcPr>
            <w:tcW w:w="18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11,964</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3,244</w:t>
            </w:r>
          </w:p>
        </w:tc>
      </w:tr>
      <w:tr>
        <w:trPr>
          <w:trHeight w:val="195"/>
        </w:trPr>
        <w:tc>
          <w:tcPr>
            <w:tcW w:w="50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Net interest income</w:t>
            </w: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9,732</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9,977</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19,700</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19,444</w:t>
            </w:r>
          </w:p>
        </w:tc>
      </w:tr>
      <w:tr>
        <w:trPr>
          <w:trHeight w:val="192"/>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Provision for credit losses:</w:t>
            </w: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50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Loans</w:t>
            </w: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1,185</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59</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1,877</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161</w:t>
            </w:r>
          </w:p>
        </w:tc>
      </w:tr>
      <w:tr>
        <w:trPr>
          <w:trHeight w:val="189"/>
        </w:trPr>
        <w:tc>
          <w:tcPr>
            <w:tcW w:w="5040" w:type="dxa"/>
            <w:vAlign w:val="bottom"/>
          </w:tcPr>
          <w:p>
            <w:pPr>
              <w:ind w:left="100"/>
              <w:spacing w:after="0"/>
              <w:rPr>
                <w:sz w:val="20"/>
                <w:szCs w:val="20"/>
                <w:color w:val="auto"/>
              </w:rPr>
            </w:pPr>
            <w:r>
              <w:rPr>
                <w:rFonts w:ascii="Arial" w:cs="Arial" w:eastAsia="Arial" w:hAnsi="Arial"/>
                <w:sz w:val="14"/>
                <w:szCs w:val="14"/>
                <w:color w:val="auto"/>
              </w:rPr>
              <w:t>Held-to-maturity securities</w:t>
            </w:r>
          </w:p>
        </w:tc>
        <w:tc>
          <w:tcPr>
            <w:tcW w:w="52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(16 )</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(16 )</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95"/>
        </w:trPr>
        <w:tc>
          <w:tcPr>
            <w:tcW w:w="50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Unfunded commitments</w:t>
            </w: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(29 )</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(29 )</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5040" w:type="dxa"/>
            <w:vAlign w:val="bottom"/>
          </w:tcPr>
          <w:p>
            <w:pPr>
              <w:ind w:left="100"/>
              <w:spacing w:after="0"/>
              <w:rPr>
                <w:sz w:val="20"/>
                <w:szCs w:val="20"/>
                <w:color w:val="auto"/>
              </w:rPr>
            </w:pPr>
            <w:r>
              <w:rPr>
                <w:rFonts w:ascii="Arial" w:cs="Arial" w:eastAsia="Arial" w:hAnsi="Arial"/>
                <w:sz w:val="14"/>
                <w:szCs w:val="14"/>
                <w:color w:val="auto"/>
              </w:rPr>
              <w:t>Total provision for credit losses</w:t>
            </w:r>
          </w:p>
        </w:tc>
        <w:tc>
          <w:tcPr>
            <w:tcW w:w="5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1,140</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18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1,832</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161</w:t>
            </w:r>
          </w:p>
        </w:tc>
      </w:tr>
      <w:tr>
        <w:trPr>
          <w:trHeight w:val="195"/>
        </w:trPr>
        <w:tc>
          <w:tcPr>
            <w:tcW w:w="50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Net interest income after provision for credit losses</w:t>
            </w: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8,592</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9,918</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17,868</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19,283</w:t>
            </w:r>
          </w:p>
        </w:tc>
      </w:tr>
      <w:tr>
        <w:trPr>
          <w:trHeight w:val="192"/>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Noninterest income:</w:t>
            </w: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5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Service charges on deposit accounts</w:t>
            </w: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303</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283</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570</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542</w:t>
            </w:r>
          </w:p>
        </w:tc>
      </w:tr>
      <w:tr>
        <w:trPr>
          <w:trHeight w:val="189"/>
        </w:trPr>
        <w:tc>
          <w:tcPr>
            <w:tcW w:w="5040" w:type="dxa"/>
            <w:vAlign w:val="bottom"/>
          </w:tcPr>
          <w:p>
            <w:pPr>
              <w:ind w:left="20"/>
              <w:spacing w:after="0"/>
              <w:rPr>
                <w:sz w:val="20"/>
                <w:szCs w:val="20"/>
                <w:color w:val="auto"/>
              </w:rPr>
            </w:pPr>
            <w:r>
              <w:rPr>
                <w:rFonts w:ascii="Arial" w:cs="Arial" w:eastAsia="Arial" w:hAnsi="Arial"/>
                <w:sz w:val="14"/>
                <w:szCs w:val="14"/>
                <w:color w:val="auto"/>
              </w:rPr>
              <w:t>Earnings and gain on bank owned life insurance</w:t>
            </w:r>
          </w:p>
        </w:tc>
        <w:tc>
          <w:tcPr>
            <w:tcW w:w="5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143</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18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301</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285</w:t>
            </w:r>
          </w:p>
        </w:tc>
      </w:tr>
      <w:tr>
        <w:trPr>
          <w:trHeight w:val="195"/>
        </w:trPr>
        <w:tc>
          <w:tcPr>
            <w:tcW w:w="5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Loan servicing fees</w:t>
            </w: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67</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69</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139</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186</w:t>
            </w:r>
          </w:p>
        </w:tc>
      </w:tr>
      <w:tr>
        <w:trPr>
          <w:trHeight w:val="189"/>
        </w:trPr>
        <w:tc>
          <w:tcPr>
            <w:tcW w:w="5040" w:type="dxa"/>
            <w:vAlign w:val="bottom"/>
          </w:tcPr>
          <w:p>
            <w:pPr>
              <w:ind w:left="20"/>
              <w:spacing w:after="0"/>
              <w:rPr>
                <w:sz w:val="20"/>
                <w:szCs w:val="20"/>
                <w:color w:val="auto"/>
              </w:rPr>
            </w:pPr>
            <w:r>
              <w:rPr>
                <w:rFonts w:ascii="Arial" w:cs="Arial" w:eastAsia="Arial" w:hAnsi="Arial"/>
                <w:sz w:val="14"/>
                <w:szCs w:val="14"/>
                <w:color w:val="auto"/>
              </w:rPr>
              <w:t>Net gains on sales and redemptions of investment securities</w:t>
            </w:r>
          </w:p>
        </w:tc>
        <w:tc>
          <w:tcPr>
            <w:tcW w:w="5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18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73</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206</w:t>
            </w:r>
          </w:p>
        </w:tc>
      </w:tr>
      <w:tr>
        <w:trPr>
          <w:trHeight w:val="195"/>
        </w:trPr>
        <w:tc>
          <w:tcPr>
            <w:tcW w:w="5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(Losses) gains on marketable equity securities</w:t>
            </w: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(169 )</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(29 )</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(169 )</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39</w:t>
            </w:r>
          </w:p>
        </w:tc>
      </w:tr>
      <w:tr>
        <w:trPr>
          <w:trHeight w:val="189"/>
        </w:trPr>
        <w:tc>
          <w:tcPr>
            <w:tcW w:w="5040" w:type="dxa"/>
            <w:vAlign w:val="bottom"/>
          </w:tcPr>
          <w:p>
            <w:pPr>
              <w:ind w:left="20"/>
              <w:spacing w:after="0"/>
              <w:rPr>
                <w:sz w:val="20"/>
                <w:szCs w:val="20"/>
                <w:color w:val="auto"/>
              </w:rPr>
            </w:pPr>
            <w:r>
              <w:rPr>
                <w:rFonts w:ascii="Arial" w:cs="Arial" w:eastAsia="Arial" w:hAnsi="Arial"/>
                <w:sz w:val="14"/>
                <w:szCs w:val="14"/>
                <w:color w:val="auto"/>
              </w:rPr>
              <w:t>Net gains on sales of loans and foreclosed real estate</w:t>
            </w:r>
          </w:p>
        </w:tc>
        <w:tc>
          <w:tcPr>
            <w:tcW w:w="5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117</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142</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75</w:t>
            </w:r>
          </w:p>
        </w:tc>
      </w:tr>
      <w:tr>
        <w:trPr>
          <w:trHeight w:val="195"/>
        </w:trPr>
        <w:tc>
          <w:tcPr>
            <w:tcW w:w="5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Debit card interchange fees</w:t>
            </w: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112</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231</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433</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459</w:t>
            </w:r>
          </w:p>
        </w:tc>
      </w:tr>
      <w:tr>
        <w:trPr>
          <w:trHeight w:val="189"/>
        </w:trPr>
        <w:tc>
          <w:tcPr>
            <w:tcW w:w="5040" w:type="dxa"/>
            <w:vAlign w:val="bottom"/>
          </w:tcPr>
          <w:p>
            <w:pPr>
              <w:ind w:left="20"/>
              <w:spacing w:after="0"/>
              <w:rPr>
                <w:sz w:val="20"/>
                <w:szCs w:val="20"/>
                <w:color w:val="auto"/>
              </w:rPr>
            </w:pPr>
            <w:r>
              <w:rPr>
                <w:rFonts w:ascii="Arial" w:cs="Arial" w:eastAsia="Arial" w:hAnsi="Arial"/>
                <w:sz w:val="14"/>
                <w:szCs w:val="14"/>
                <w:color w:val="auto"/>
              </w:rPr>
              <w:t>Insurance agency revenue</w:t>
            </w:r>
          </w:p>
        </w:tc>
        <w:tc>
          <w:tcPr>
            <w:tcW w:w="5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271</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292</w:t>
            </w:r>
          </w:p>
        </w:tc>
        <w:tc>
          <w:tcPr>
            <w:tcW w:w="18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691</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591</w:t>
            </w:r>
          </w:p>
        </w:tc>
      </w:tr>
      <w:tr>
        <w:trPr>
          <w:trHeight w:val="195"/>
        </w:trPr>
        <w:tc>
          <w:tcPr>
            <w:tcW w:w="5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charges, commissions &amp; fees</w:t>
            </w: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243</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279</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499</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516</w:t>
            </w:r>
          </w:p>
        </w:tc>
      </w:tr>
      <w:tr>
        <w:trPr>
          <w:trHeight w:val="189"/>
        </w:trPr>
        <w:tc>
          <w:tcPr>
            <w:tcW w:w="5040" w:type="dxa"/>
            <w:vAlign w:val="bottom"/>
          </w:tcPr>
          <w:p>
            <w:pPr>
              <w:ind w:left="340"/>
              <w:spacing w:after="0"/>
              <w:rPr>
                <w:sz w:val="20"/>
                <w:szCs w:val="20"/>
                <w:color w:val="auto"/>
              </w:rPr>
            </w:pPr>
            <w:r>
              <w:rPr>
                <w:rFonts w:ascii="Arial" w:cs="Arial" w:eastAsia="Arial" w:hAnsi="Arial"/>
                <w:sz w:val="14"/>
                <w:szCs w:val="14"/>
                <w:color w:val="auto"/>
              </w:rPr>
              <w:t>Total noninterest income</w:t>
            </w:r>
          </w:p>
        </w:tc>
        <w:tc>
          <w:tcPr>
            <w:tcW w:w="5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1,087</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1,296</w:t>
            </w:r>
          </w:p>
        </w:tc>
        <w:tc>
          <w:tcPr>
            <w:tcW w:w="18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2,679</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2,899</w:t>
            </w:r>
          </w:p>
        </w:tc>
      </w:tr>
      <w:tr>
        <w:trPr>
          <w:trHeight w:val="195"/>
        </w:trPr>
        <w:tc>
          <w:tcPr>
            <w:tcW w:w="50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Noninterest expense:</w:t>
            </w: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r>
      <w:tr>
        <w:trPr>
          <w:trHeight w:val="189"/>
        </w:trPr>
        <w:tc>
          <w:tcPr>
            <w:tcW w:w="5040" w:type="dxa"/>
            <w:vAlign w:val="bottom"/>
          </w:tcPr>
          <w:p>
            <w:pPr>
              <w:ind w:left="20"/>
              <w:spacing w:after="0"/>
              <w:rPr>
                <w:sz w:val="20"/>
                <w:szCs w:val="20"/>
                <w:color w:val="auto"/>
              </w:rPr>
            </w:pPr>
            <w:r>
              <w:rPr>
                <w:rFonts w:ascii="Arial" w:cs="Arial" w:eastAsia="Arial" w:hAnsi="Arial"/>
                <w:sz w:val="14"/>
                <w:szCs w:val="14"/>
                <w:color w:val="auto"/>
              </w:rPr>
              <w:t>Salaries and employee benefits</w:t>
            </w:r>
          </w:p>
        </w:tc>
        <w:tc>
          <w:tcPr>
            <w:tcW w:w="5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3,906</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3,785</w:t>
            </w:r>
          </w:p>
        </w:tc>
        <w:tc>
          <w:tcPr>
            <w:tcW w:w="18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8,089</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7,834</w:t>
            </w:r>
          </w:p>
        </w:tc>
      </w:tr>
      <w:tr>
        <w:trPr>
          <w:trHeight w:val="231"/>
        </w:trPr>
        <w:tc>
          <w:tcPr>
            <w:tcW w:w="5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Building and occupancy</w:t>
            </w:r>
          </w:p>
        </w:tc>
        <w:tc>
          <w:tcPr>
            <w:tcW w:w="5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979</w:t>
            </w: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830</w:t>
            </w: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1,831</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1,656</w:t>
            </w:r>
          </w:p>
        </w:tc>
      </w:tr>
      <w:tr>
        <w:trPr>
          <w:trHeight w:val="189"/>
        </w:trPr>
        <w:tc>
          <w:tcPr>
            <w:tcW w:w="5040" w:type="dxa"/>
            <w:vAlign w:val="bottom"/>
          </w:tcPr>
          <w:p>
            <w:pPr>
              <w:ind w:left="20"/>
              <w:spacing w:after="0"/>
              <w:rPr>
                <w:sz w:val="20"/>
                <w:szCs w:val="20"/>
                <w:color w:val="auto"/>
              </w:rPr>
            </w:pPr>
            <w:r>
              <w:rPr>
                <w:rFonts w:ascii="Arial" w:cs="Arial" w:eastAsia="Arial" w:hAnsi="Arial"/>
                <w:sz w:val="14"/>
                <w:szCs w:val="14"/>
                <w:color w:val="auto"/>
              </w:rPr>
              <w:t>Data processing</w:t>
            </w:r>
          </w:p>
        </w:tc>
        <w:tc>
          <w:tcPr>
            <w:tcW w:w="5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483</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517</w:t>
            </w:r>
          </w:p>
        </w:tc>
        <w:tc>
          <w:tcPr>
            <w:tcW w:w="18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1,036</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1,067</w:t>
            </w:r>
          </w:p>
        </w:tc>
      </w:tr>
      <w:tr>
        <w:trPr>
          <w:trHeight w:val="195"/>
        </w:trPr>
        <w:tc>
          <w:tcPr>
            <w:tcW w:w="5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Professional and other services</w:t>
            </w: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503</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452</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1,039</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845</w:t>
            </w:r>
          </w:p>
        </w:tc>
      </w:tr>
      <w:tr>
        <w:trPr>
          <w:trHeight w:val="189"/>
        </w:trPr>
        <w:tc>
          <w:tcPr>
            <w:tcW w:w="5040" w:type="dxa"/>
            <w:vAlign w:val="bottom"/>
          </w:tcPr>
          <w:p>
            <w:pPr>
              <w:ind w:left="20"/>
              <w:spacing w:after="0"/>
              <w:rPr>
                <w:sz w:val="20"/>
                <w:szCs w:val="20"/>
                <w:color w:val="auto"/>
              </w:rPr>
            </w:pPr>
            <w:r>
              <w:rPr>
                <w:rFonts w:ascii="Arial" w:cs="Arial" w:eastAsia="Arial" w:hAnsi="Arial"/>
                <w:sz w:val="14"/>
                <w:szCs w:val="14"/>
                <w:color w:val="auto"/>
              </w:rPr>
              <w:t>Advertising</w:t>
            </w:r>
          </w:p>
        </w:tc>
        <w:tc>
          <w:tcPr>
            <w:tcW w:w="5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166</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235</w:t>
            </w:r>
          </w:p>
        </w:tc>
        <w:tc>
          <w:tcPr>
            <w:tcW w:w="18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372</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422</w:t>
            </w:r>
          </w:p>
        </w:tc>
      </w:tr>
      <w:tr>
        <w:trPr>
          <w:trHeight w:val="195"/>
        </w:trPr>
        <w:tc>
          <w:tcPr>
            <w:tcW w:w="5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FDIC assessments</w:t>
            </w: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222</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222</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441</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444</w:t>
            </w:r>
          </w:p>
        </w:tc>
      </w:tr>
      <w:tr>
        <w:trPr>
          <w:trHeight w:val="189"/>
        </w:trPr>
        <w:tc>
          <w:tcPr>
            <w:tcW w:w="5040" w:type="dxa"/>
            <w:vAlign w:val="bottom"/>
          </w:tcPr>
          <w:p>
            <w:pPr>
              <w:ind w:left="20"/>
              <w:spacing w:after="0"/>
              <w:rPr>
                <w:sz w:val="20"/>
                <w:szCs w:val="20"/>
                <w:color w:val="auto"/>
              </w:rPr>
            </w:pPr>
            <w:r>
              <w:rPr>
                <w:rFonts w:ascii="Arial" w:cs="Arial" w:eastAsia="Arial" w:hAnsi="Arial"/>
                <w:sz w:val="14"/>
                <w:szCs w:val="14"/>
                <w:color w:val="auto"/>
              </w:rPr>
              <w:t>Audits and exams</w:t>
            </w:r>
          </w:p>
        </w:tc>
        <w:tc>
          <w:tcPr>
            <w:tcW w:w="5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158</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142</w:t>
            </w:r>
          </w:p>
        </w:tc>
        <w:tc>
          <w:tcPr>
            <w:tcW w:w="18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317</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283</w:t>
            </w:r>
          </w:p>
        </w:tc>
      </w:tr>
      <w:tr>
        <w:trPr>
          <w:trHeight w:val="195"/>
        </w:trPr>
        <w:tc>
          <w:tcPr>
            <w:tcW w:w="5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Insurance agency expense</w:t>
            </w: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283</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254</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544</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458</w:t>
            </w:r>
          </w:p>
        </w:tc>
      </w:tr>
      <w:tr>
        <w:trPr>
          <w:trHeight w:val="189"/>
        </w:trPr>
        <w:tc>
          <w:tcPr>
            <w:tcW w:w="5040" w:type="dxa"/>
            <w:vAlign w:val="bottom"/>
          </w:tcPr>
          <w:p>
            <w:pPr>
              <w:ind w:left="20"/>
              <w:spacing w:after="0"/>
              <w:rPr>
                <w:sz w:val="20"/>
                <w:szCs w:val="20"/>
                <w:color w:val="auto"/>
              </w:rPr>
            </w:pPr>
            <w:r>
              <w:rPr>
                <w:rFonts w:ascii="Arial" w:cs="Arial" w:eastAsia="Arial" w:hAnsi="Arial"/>
                <w:sz w:val="14"/>
                <w:szCs w:val="14"/>
                <w:color w:val="auto"/>
              </w:rPr>
              <w:t>Community service activities</w:t>
            </w:r>
          </w:p>
        </w:tc>
        <w:tc>
          <w:tcPr>
            <w:tcW w:w="5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66</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18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96</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135</w:t>
            </w:r>
          </w:p>
        </w:tc>
      </w:tr>
      <w:tr>
        <w:trPr>
          <w:trHeight w:val="195"/>
        </w:trPr>
        <w:tc>
          <w:tcPr>
            <w:tcW w:w="5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Foreclosed real estate expenses</w:t>
            </w: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18</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27</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32</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40</w:t>
            </w:r>
          </w:p>
        </w:tc>
      </w:tr>
      <w:tr>
        <w:trPr>
          <w:trHeight w:val="189"/>
        </w:trPr>
        <w:tc>
          <w:tcPr>
            <w:tcW w:w="5040" w:type="dxa"/>
            <w:vAlign w:val="bottom"/>
          </w:tcPr>
          <w:p>
            <w:pPr>
              <w:ind w:left="20"/>
              <w:spacing w:after="0"/>
              <w:rPr>
                <w:sz w:val="20"/>
                <w:szCs w:val="20"/>
                <w:color w:val="auto"/>
              </w:rPr>
            </w:pPr>
            <w:r>
              <w:rPr>
                <w:rFonts w:ascii="Arial" w:cs="Arial" w:eastAsia="Arial" w:hAnsi="Arial"/>
                <w:sz w:val="14"/>
                <w:szCs w:val="14"/>
                <w:color w:val="auto"/>
              </w:rPr>
              <w:t>Other expenses</w:t>
            </w:r>
          </w:p>
        </w:tc>
        <w:tc>
          <w:tcPr>
            <w:tcW w:w="5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390</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609</w:t>
            </w:r>
          </w:p>
        </w:tc>
        <w:tc>
          <w:tcPr>
            <w:tcW w:w="18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901</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1,214</w:t>
            </w:r>
          </w:p>
        </w:tc>
      </w:tr>
      <w:tr>
        <w:trPr>
          <w:trHeight w:val="195"/>
        </w:trPr>
        <w:tc>
          <w:tcPr>
            <w:tcW w:w="5040" w:type="dxa"/>
            <w:vAlign w:val="bottom"/>
            <w:shd w:val="clear" w:color="auto" w:fill="CFF0FC"/>
          </w:tcPr>
          <w:p>
            <w:pPr>
              <w:ind w:left="340"/>
              <w:spacing w:after="0"/>
              <w:rPr>
                <w:sz w:val="20"/>
                <w:szCs w:val="20"/>
                <w:color w:val="auto"/>
              </w:rPr>
            </w:pPr>
            <w:r>
              <w:rPr>
                <w:rFonts w:ascii="Arial" w:cs="Arial" w:eastAsia="Arial" w:hAnsi="Arial"/>
                <w:sz w:val="14"/>
                <w:szCs w:val="14"/>
                <w:color w:val="auto"/>
              </w:rPr>
              <w:t>Total noninterest expense</w:t>
            </w: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7,174</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7,146</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14,698</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14,398</w:t>
            </w:r>
          </w:p>
        </w:tc>
      </w:tr>
      <w:tr>
        <w:trPr>
          <w:trHeight w:val="189"/>
        </w:trPr>
        <w:tc>
          <w:tcPr>
            <w:tcW w:w="504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5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2,505</w:t>
            </w:r>
          </w:p>
        </w:tc>
        <w:tc>
          <w:tcPr>
            <w:tcW w:w="24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4,068</w:t>
            </w:r>
          </w:p>
        </w:tc>
        <w:tc>
          <w:tcPr>
            <w:tcW w:w="18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5,849</w:t>
            </w:r>
          </w:p>
        </w:tc>
        <w:tc>
          <w:tcPr>
            <w:tcW w:w="2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7,784</w:t>
            </w:r>
          </w:p>
        </w:tc>
      </w:tr>
      <w:tr>
        <w:trPr>
          <w:trHeight w:val="195"/>
        </w:trPr>
        <w:tc>
          <w:tcPr>
            <w:tcW w:w="5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Provision for income taxes</w:t>
            </w: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530</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780</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1,199</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1,501</w:t>
            </w:r>
          </w:p>
        </w:tc>
      </w:tr>
      <w:tr>
        <w:trPr>
          <w:trHeight w:val="164"/>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noncontrolling interest and</w:t>
            </w: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6"/>
        </w:trPr>
        <w:tc>
          <w:tcPr>
            <w:tcW w:w="5040" w:type="dxa"/>
            <w:vAlign w:val="bottom"/>
          </w:tcPr>
          <w:p>
            <w:pPr>
              <w:ind w:left="140"/>
              <w:spacing w:after="0"/>
              <w:rPr>
                <w:sz w:val="20"/>
                <w:szCs w:val="20"/>
                <w:color w:val="auto"/>
              </w:rPr>
            </w:pPr>
            <w:r>
              <w:rPr>
                <w:rFonts w:ascii="Arial" w:cs="Arial" w:eastAsia="Arial" w:hAnsi="Arial"/>
                <w:sz w:val="14"/>
                <w:szCs w:val="14"/>
                <w:b w:val="1"/>
                <w:bCs w:val="1"/>
                <w:color w:val="auto"/>
              </w:rPr>
              <w:t>Pathfinder Bancorp, Inc.</w:t>
            </w:r>
          </w:p>
        </w:tc>
        <w:tc>
          <w:tcPr>
            <w:tcW w:w="52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1,975</w:t>
            </w:r>
          </w:p>
        </w:tc>
        <w:tc>
          <w:tcPr>
            <w:tcW w:w="24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3,288</w:t>
            </w:r>
          </w:p>
        </w:tc>
        <w:tc>
          <w:tcPr>
            <w:tcW w:w="18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4,650</w:t>
            </w:r>
          </w:p>
        </w:tc>
        <w:tc>
          <w:tcPr>
            <w:tcW w:w="20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6,283</w:t>
            </w:r>
          </w:p>
        </w:tc>
      </w:tr>
      <w:tr>
        <w:trPr>
          <w:trHeight w:val="192"/>
        </w:trPr>
        <w:tc>
          <w:tcPr>
            <w:tcW w:w="5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 income attributable to noncontrolling interest</w:t>
            </w:r>
          </w:p>
        </w:tc>
        <w:tc>
          <w:tcPr>
            <w:tcW w:w="5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(7 )</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16</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69</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61</w:t>
            </w:r>
          </w:p>
        </w:tc>
      </w:tr>
      <w:tr>
        <w:trPr>
          <w:trHeight w:val="192"/>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income attributable to Pathfinder Bancorp Inc.</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1,982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3,272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4,581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6,222</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8"/>
        </w:trPr>
        <w:tc>
          <w:tcPr>
            <w:tcW w:w="50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r>
      <w:tr>
        <w:trPr>
          <w:trHeight w:val="192"/>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Voting Earnings per common share - basic and diluted</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0.32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0.75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8"/>
        </w:trPr>
        <w:tc>
          <w:tcPr>
            <w:tcW w:w="50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Series A Non-Voting Earnings per common share- basic and diluted</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0.32</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0.54</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0.75</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1.03</w:t>
            </w:r>
          </w:p>
        </w:tc>
      </w:tr>
      <w:tr>
        <w:trPr>
          <w:trHeight w:val="168"/>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Dividends per common share (Voting and Series A Non-Voting)</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0.09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0.18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0.18</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4</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77" w:right="68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Pathfinder Bancorp,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540" w:type="dxa"/>
            <w:vAlign w:val="bottom"/>
            <w:gridSpan w:val="3"/>
          </w:tcPr>
          <w:p>
            <w:pPr>
              <w:jc w:val="right"/>
              <w:ind w:right="488"/>
              <w:spacing w:after="0"/>
              <w:rPr>
                <w:sz w:val="20"/>
                <w:szCs w:val="20"/>
                <w:color w:val="auto"/>
              </w:rPr>
            </w:pPr>
            <w:r>
              <w:rPr>
                <w:rFonts w:ascii="Arial" w:cs="Arial" w:eastAsia="Arial" w:hAnsi="Arial"/>
                <w:sz w:val="14"/>
                <w:szCs w:val="14"/>
                <w:color w:val="auto"/>
              </w:rPr>
              <w:t>For the three months ended</w:t>
            </w:r>
          </w:p>
        </w:tc>
        <w:tc>
          <w:tcPr>
            <w:tcW w:w="260" w:type="dxa"/>
            <w:vAlign w:val="bottom"/>
          </w:tcPr>
          <w:p>
            <w:pPr>
              <w:spacing w:after="0"/>
              <w:rPr>
                <w:sz w:val="15"/>
                <w:szCs w:val="15"/>
                <w:color w:val="auto"/>
              </w:rPr>
            </w:pPr>
          </w:p>
        </w:tc>
        <w:tc>
          <w:tcPr>
            <w:tcW w:w="2620" w:type="dxa"/>
            <w:vAlign w:val="bottom"/>
            <w:gridSpan w:val="3"/>
          </w:tcPr>
          <w:p>
            <w:pPr>
              <w:jc w:val="right"/>
              <w:ind w:right="528"/>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95"/>
        </w:trPr>
        <w:tc>
          <w:tcPr>
            <w:tcW w:w="4720" w:type="dxa"/>
            <w:vAlign w:val="bottom"/>
            <w:gridSpan w:val="7"/>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June 30, 2023</w:t>
            </w:r>
          </w:p>
        </w:tc>
        <w:tc>
          <w:tcPr>
            <w:tcW w:w="240" w:type="dxa"/>
            <w:vAlign w:val="bottom"/>
          </w:tcPr>
          <w:p>
            <w:pPr>
              <w:spacing w:after="0"/>
              <w:rPr>
                <w:sz w:val="16"/>
                <w:szCs w:val="16"/>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June 30, 2022</w:t>
            </w:r>
          </w:p>
        </w:tc>
        <w:tc>
          <w:tcPr>
            <w:tcW w:w="26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June 30, 2023</w:t>
            </w:r>
          </w:p>
        </w:tc>
        <w:tc>
          <w:tcPr>
            <w:tcW w:w="34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June 30, 2022</w:t>
            </w:r>
          </w:p>
        </w:tc>
        <w:tc>
          <w:tcPr>
            <w:tcW w:w="0" w:type="dxa"/>
            <w:vAlign w:val="bottom"/>
          </w:tcPr>
          <w:p>
            <w:pPr>
              <w:spacing w:after="0"/>
              <w:rPr>
                <w:sz w:val="1"/>
                <w:szCs w:val="1"/>
                <w:color w:val="auto"/>
              </w:rPr>
            </w:pPr>
          </w:p>
        </w:tc>
      </w:tr>
      <w:tr>
        <w:trPr>
          <w:trHeight w:val="195"/>
        </w:trPr>
        <w:tc>
          <w:tcPr>
            <w:tcW w:w="4720" w:type="dxa"/>
            <w:vAlign w:val="bottom"/>
            <w:gridSpan w:val="7"/>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1,975</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3,288</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4,650</w:t>
            </w:r>
          </w:p>
        </w:tc>
        <w:tc>
          <w:tcPr>
            <w:tcW w:w="3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6,283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720" w:type="dxa"/>
            <w:vAlign w:val="bottom"/>
            <w:gridSpan w:val="7"/>
            <w:shd w:val="clear" w:color="auto" w:fill="CFF0FC"/>
          </w:tcPr>
          <w:p>
            <w:pPr>
              <w:ind w:left="20"/>
              <w:spacing w:after="0"/>
              <w:rPr>
                <w:sz w:val="20"/>
                <w:szCs w:val="20"/>
                <w:color w:val="auto"/>
              </w:rPr>
            </w:pPr>
            <w:r>
              <w:rPr>
                <w:rFonts w:ascii="Arial" w:cs="Arial" w:eastAsia="Arial" w:hAnsi="Arial"/>
                <w:sz w:val="14"/>
                <w:szCs w:val="14"/>
                <w:b w:val="1"/>
                <w:bCs w:val="1"/>
                <w:i w:val="1"/>
                <w:iCs w:val="1"/>
                <w:color w:val="auto"/>
              </w:rPr>
              <w:t>Other Comprehensive Income (Loss)</w:t>
            </w:r>
          </w:p>
        </w:tc>
        <w:tc>
          <w:tcPr>
            <w:tcW w:w="4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720" w:type="dxa"/>
            <w:vAlign w:val="bottom"/>
            <w:gridSpan w:val="7"/>
          </w:tcPr>
          <w:p>
            <w:pPr>
              <w:ind w:left="20"/>
              <w:spacing w:after="0" w:line="156" w:lineRule="exact"/>
              <w:rPr>
                <w:sz w:val="20"/>
                <w:szCs w:val="20"/>
                <w:color w:val="auto"/>
              </w:rPr>
            </w:pPr>
            <w:r>
              <w:rPr>
                <w:rFonts w:ascii="Arial" w:cs="Arial" w:eastAsia="Arial" w:hAnsi="Arial"/>
                <w:sz w:val="14"/>
                <w:szCs w:val="14"/>
                <w:color w:val="auto"/>
              </w:rPr>
              <w:t>Retirement Plans:</w:t>
            </w: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shd w:val="clear" w:color="auto" w:fill="CFF0FC"/>
          </w:tcPr>
          <w:p>
            <w:pPr>
              <w:spacing w:after="0"/>
              <w:rPr>
                <w:sz w:val="17"/>
                <w:szCs w:val="17"/>
                <w:color w:val="auto"/>
              </w:rPr>
            </w:pPr>
          </w:p>
        </w:tc>
        <w:tc>
          <w:tcPr>
            <w:tcW w:w="4700" w:type="dxa"/>
            <w:vAlign w:val="bottom"/>
            <w:gridSpan w:val="6"/>
            <w:shd w:val="clear" w:color="auto" w:fill="CFF0FC"/>
          </w:tcPr>
          <w:p>
            <w:pPr>
              <w:ind w:left="80"/>
              <w:spacing w:after="0"/>
              <w:rPr>
                <w:sz w:val="20"/>
                <w:szCs w:val="20"/>
                <w:color w:val="auto"/>
              </w:rPr>
            </w:pPr>
            <w:r>
              <w:rPr>
                <w:rFonts w:ascii="Arial" w:cs="Arial" w:eastAsia="Arial" w:hAnsi="Arial"/>
                <w:sz w:val="14"/>
                <w:szCs w:val="14"/>
                <w:color w:val="auto"/>
              </w:rPr>
              <w:t>Retirement plan net gains recognized in plan expenses</w:t>
            </w: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56</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1</w:t>
            </w: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111</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4720" w:type="dxa"/>
            <w:vAlign w:val="bottom"/>
            <w:gridSpan w:val="7"/>
          </w:tcPr>
          <w:p>
            <w:pPr>
              <w:ind w:left="20"/>
              <w:spacing w:after="0"/>
              <w:rPr>
                <w:sz w:val="20"/>
                <w:szCs w:val="20"/>
                <w:color w:val="auto"/>
              </w:rPr>
            </w:pPr>
            <w:r>
              <w:rPr>
                <w:rFonts w:ascii="Arial" w:cs="Arial" w:eastAsia="Arial" w:hAnsi="Arial"/>
                <w:sz w:val="14"/>
                <w:szCs w:val="14"/>
                <w:color w:val="auto"/>
              </w:rPr>
              <w:t>Net unrealized gain on retirement plans</w:t>
            </w:r>
          </w:p>
        </w:tc>
        <w:tc>
          <w:tcPr>
            <w:tcW w:w="4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56</w:t>
            </w:r>
          </w:p>
        </w:tc>
        <w:tc>
          <w:tcPr>
            <w:tcW w:w="240" w:type="dxa"/>
            <w:vAlign w:val="bottom"/>
          </w:tcPr>
          <w:p>
            <w:pPr>
              <w:spacing w:after="0"/>
              <w:rPr>
                <w:sz w:val="16"/>
                <w:szCs w:val="16"/>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111</w:t>
            </w:r>
          </w:p>
        </w:tc>
        <w:tc>
          <w:tcPr>
            <w:tcW w:w="34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5"/>
        </w:trPr>
        <w:tc>
          <w:tcPr>
            <w:tcW w:w="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9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720" w:type="dxa"/>
            <w:vAlign w:val="bottom"/>
            <w:gridSpan w:val="7"/>
          </w:tcPr>
          <w:p>
            <w:pPr>
              <w:ind w:left="20"/>
              <w:spacing w:after="0" w:line="156" w:lineRule="exact"/>
              <w:rPr>
                <w:sz w:val="20"/>
                <w:szCs w:val="20"/>
                <w:color w:val="auto"/>
              </w:rPr>
            </w:pPr>
            <w:r>
              <w:rPr>
                <w:rFonts w:ascii="Arial" w:cs="Arial" w:eastAsia="Arial" w:hAnsi="Arial"/>
                <w:sz w:val="14"/>
                <w:szCs w:val="14"/>
                <w:color w:val="auto"/>
              </w:rPr>
              <w:t>Unrealized holding gains (losses) on available-for-sale securities:</w:t>
            </w: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shd w:val="clear" w:color="auto" w:fill="CFF0FC"/>
          </w:tcPr>
          <w:p>
            <w:pPr>
              <w:spacing w:after="0"/>
              <w:rPr>
                <w:sz w:val="13"/>
                <w:szCs w:val="13"/>
                <w:color w:val="auto"/>
              </w:rPr>
            </w:pPr>
          </w:p>
        </w:tc>
        <w:tc>
          <w:tcPr>
            <w:tcW w:w="4140" w:type="dxa"/>
            <w:vAlign w:val="bottom"/>
            <w:tcBorders>
              <w:top w:val="single" w:sz="8" w:color="auto"/>
            </w:tcBorders>
            <w:gridSpan w:val="4"/>
            <w:vMerge w:val="restart"/>
            <w:shd w:val="clear" w:color="auto" w:fill="CFF0FC"/>
          </w:tcPr>
          <w:p>
            <w:pPr>
              <w:ind w:left="80"/>
              <w:spacing w:after="0"/>
              <w:rPr>
                <w:sz w:val="20"/>
                <w:szCs w:val="20"/>
                <w:color w:val="auto"/>
              </w:rPr>
            </w:pPr>
            <w:r>
              <w:rPr>
                <w:rFonts w:ascii="Arial" w:cs="Arial" w:eastAsia="Arial" w:hAnsi="Arial"/>
                <w:sz w:val="14"/>
                <w:szCs w:val="14"/>
                <w:color w:val="auto"/>
              </w:rPr>
              <w:t>Unrealized holding losses arising during the period</w:t>
            </w:r>
          </w:p>
        </w:tc>
        <w:tc>
          <w:tcPr>
            <w:tcW w:w="560" w:type="dxa"/>
            <w:vAlign w:val="bottom"/>
            <w:gridSpan w:val="2"/>
            <w:vMerge w:val="restart"/>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14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(569 )</w:t>
            </w:r>
          </w:p>
        </w:tc>
        <w:tc>
          <w:tcPr>
            <w:tcW w:w="240" w:type="dxa"/>
            <w:vAlign w:val="bottom"/>
            <w:shd w:val="clear" w:color="auto" w:fill="CFF0FC"/>
          </w:tcPr>
          <w:p>
            <w:pPr>
              <w:spacing w:after="0"/>
              <w:rPr>
                <w:sz w:val="13"/>
                <w:szCs w:val="13"/>
                <w:color w:val="auto"/>
              </w:rPr>
            </w:pPr>
          </w:p>
        </w:tc>
        <w:tc>
          <w:tcPr>
            <w:tcW w:w="116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(6,172 )</w:t>
            </w:r>
          </w:p>
        </w:tc>
        <w:tc>
          <w:tcPr>
            <w:tcW w:w="26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(1,077 )</w:t>
            </w:r>
          </w:p>
        </w:tc>
        <w:tc>
          <w:tcPr>
            <w:tcW w:w="34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28"/>
              <w:spacing w:after="0" w:line="152" w:lineRule="exact"/>
              <w:rPr>
                <w:sz w:val="20"/>
                <w:szCs w:val="20"/>
                <w:color w:val="auto"/>
              </w:rPr>
            </w:pPr>
            <w:r>
              <w:rPr>
                <w:rFonts w:ascii="Arial" w:cs="Arial" w:eastAsia="Arial" w:hAnsi="Arial"/>
                <w:sz w:val="14"/>
                <w:szCs w:val="14"/>
                <w:color w:val="auto"/>
              </w:rPr>
              <w:t>(11,953</w:t>
            </w:r>
          </w:p>
        </w:tc>
        <w:tc>
          <w:tcPr>
            <w:tcW w:w="0" w:type="dxa"/>
            <w:vAlign w:val="bottom"/>
          </w:tcPr>
          <w:p>
            <w:pPr>
              <w:spacing w:after="0"/>
              <w:rPr>
                <w:sz w:val="1"/>
                <w:szCs w:val="1"/>
                <w:color w:val="auto"/>
              </w:rPr>
            </w:pPr>
          </w:p>
        </w:tc>
      </w:tr>
      <w:tr>
        <w:trPr>
          <w:trHeight w:val="180"/>
        </w:trPr>
        <w:tc>
          <w:tcPr>
            <w:tcW w:w="20" w:type="dxa"/>
            <w:vAlign w:val="bottom"/>
            <w:shd w:val="clear" w:color="auto" w:fill="CFF0FC"/>
          </w:tcPr>
          <w:p>
            <w:pPr>
              <w:spacing w:after="0"/>
              <w:rPr>
                <w:sz w:val="15"/>
                <w:szCs w:val="15"/>
                <w:color w:val="auto"/>
              </w:rPr>
            </w:pPr>
          </w:p>
        </w:tc>
        <w:tc>
          <w:tcPr>
            <w:tcW w:w="4140" w:type="dxa"/>
            <w:vAlign w:val="bottom"/>
            <w:gridSpan w:val="4"/>
            <w:vMerge w:val="continue"/>
            <w:shd w:val="clear" w:color="auto" w:fill="CFF0FC"/>
          </w:tcPr>
          <w:p>
            <w:pPr>
              <w:spacing w:after="0"/>
              <w:rPr>
                <w:sz w:val="15"/>
                <w:szCs w:val="15"/>
                <w:color w:val="auto"/>
              </w:rPr>
            </w:pPr>
          </w:p>
        </w:tc>
        <w:tc>
          <w:tcPr>
            <w:tcW w:w="560" w:type="dxa"/>
            <w:vAlign w:val="bottom"/>
            <w:gridSpan w:val="2"/>
            <w:vMerge w:val="continue"/>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4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vMerge w:val="continue"/>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00" w:type="dxa"/>
            <w:vAlign w:val="bottom"/>
            <w:gridSpan w:val="6"/>
          </w:tcPr>
          <w:p>
            <w:pPr>
              <w:ind w:left="80"/>
              <w:spacing w:after="0"/>
              <w:rPr>
                <w:sz w:val="20"/>
                <w:szCs w:val="20"/>
                <w:color w:val="auto"/>
              </w:rPr>
            </w:pPr>
            <w:r>
              <w:rPr>
                <w:rFonts w:ascii="Arial" w:cs="Arial" w:eastAsia="Arial" w:hAnsi="Arial"/>
                <w:sz w:val="14"/>
                <w:szCs w:val="14"/>
                <w:color w:val="auto"/>
              </w:rPr>
              <w:t>Reclassification adjustment for net (gains) losses included in net</w:t>
            </w: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700" w:type="dxa"/>
            <w:vAlign w:val="bottom"/>
            <w:gridSpan w:val="6"/>
          </w:tcPr>
          <w:p>
            <w:pPr>
              <w:ind w:left="180"/>
              <w:spacing w:after="0"/>
              <w:rPr>
                <w:sz w:val="20"/>
                <w:szCs w:val="20"/>
                <w:color w:val="auto"/>
              </w:rPr>
            </w:pPr>
            <w:r>
              <w:rPr>
                <w:rFonts w:ascii="Arial" w:cs="Arial" w:eastAsia="Arial" w:hAnsi="Arial"/>
                <w:sz w:val="14"/>
                <w:szCs w:val="14"/>
                <w:color w:val="auto"/>
              </w:rPr>
              <w:t>income</w:t>
            </w:r>
          </w:p>
        </w:tc>
        <w:tc>
          <w:tcPr>
            <w:tcW w:w="4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(26 )</w:t>
            </w:r>
          </w:p>
        </w:tc>
        <w:tc>
          <w:tcPr>
            <w:tcW w:w="26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1,933</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95"/>
        </w:trPr>
        <w:tc>
          <w:tcPr>
            <w:tcW w:w="4720" w:type="dxa"/>
            <w:vAlign w:val="bottom"/>
            <w:gridSpan w:val="7"/>
            <w:shd w:val="clear" w:color="auto" w:fill="CFF0FC"/>
          </w:tcPr>
          <w:p>
            <w:pPr>
              <w:ind w:left="20"/>
              <w:spacing w:after="0"/>
              <w:rPr>
                <w:sz w:val="20"/>
                <w:szCs w:val="20"/>
                <w:color w:val="auto"/>
              </w:rPr>
            </w:pPr>
            <w:r>
              <w:rPr>
                <w:rFonts w:ascii="Arial" w:cs="Arial" w:eastAsia="Arial" w:hAnsi="Arial"/>
                <w:sz w:val="14"/>
                <w:szCs w:val="14"/>
                <w:color w:val="auto"/>
              </w:rPr>
              <w:t>Net unrealized (losses) gains on available-for-sale securities</w:t>
            </w:r>
          </w:p>
        </w:tc>
        <w:tc>
          <w:tcPr>
            <w:tcW w:w="4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(569 )</w:t>
            </w: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(6,198 )</w:t>
            </w: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856</w:t>
            </w: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(11,978 )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720" w:type="dxa"/>
            <w:vAlign w:val="bottom"/>
            <w:gridSpan w:val="7"/>
            <w:shd w:val="clear" w:color="auto" w:fill="CFF0FC"/>
          </w:tcPr>
          <w:p>
            <w:pPr>
              <w:ind w:left="20"/>
              <w:spacing w:after="0" w:line="156" w:lineRule="exact"/>
              <w:rPr>
                <w:sz w:val="20"/>
                <w:szCs w:val="20"/>
                <w:color w:val="auto"/>
              </w:rPr>
            </w:pPr>
            <w:r>
              <w:rPr>
                <w:rFonts w:ascii="Arial" w:cs="Arial" w:eastAsia="Arial" w:hAnsi="Arial"/>
                <w:sz w:val="14"/>
                <w:szCs w:val="14"/>
                <w:color w:val="auto"/>
              </w:rPr>
              <w:t>Derivatives and hedging activities:</w:t>
            </w:r>
          </w:p>
        </w:tc>
        <w:tc>
          <w:tcPr>
            <w:tcW w:w="4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 w:type="dxa"/>
            <w:vAlign w:val="bottom"/>
            <w:shd w:val="clear" w:color="auto" w:fill="CFF0FC"/>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1960" w:type="dxa"/>
            <w:vAlign w:val="bottom"/>
            <w:shd w:val="clear" w:color="auto" w:fill="CFF0FC"/>
          </w:tcPr>
          <w:p>
            <w:pPr>
              <w:spacing w:after="0"/>
              <w:rPr>
                <w:sz w:val="3"/>
                <w:szCs w:val="3"/>
                <w:color w:val="auto"/>
              </w:rPr>
            </w:pPr>
          </w:p>
        </w:tc>
        <w:tc>
          <w:tcPr>
            <w:tcW w:w="60" w:type="dxa"/>
            <w:vAlign w:val="bottom"/>
            <w:shd w:val="clear" w:color="auto" w:fill="CFF0FC"/>
          </w:tcPr>
          <w:p>
            <w:pPr>
              <w:spacing w:after="0"/>
              <w:rPr>
                <w:sz w:val="3"/>
                <w:szCs w:val="3"/>
                <w:color w:val="auto"/>
              </w:rPr>
            </w:pPr>
          </w:p>
        </w:tc>
        <w:tc>
          <w:tcPr>
            <w:tcW w:w="500" w:type="dxa"/>
            <w:vAlign w:val="bottom"/>
            <w:shd w:val="clear" w:color="auto" w:fill="CFF0FC"/>
          </w:tcPr>
          <w:p>
            <w:pPr>
              <w:spacing w:after="0"/>
              <w:rPr>
                <w:sz w:val="3"/>
                <w:szCs w:val="3"/>
                <w:color w:val="auto"/>
              </w:rPr>
            </w:pPr>
          </w:p>
        </w:tc>
        <w:tc>
          <w:tcPr>
            <w:tcW w:w="42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16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c>
          <w:tcPr>
            <w:tcW w:w="340" w:type="dxa"/>
            <w:vAlign w:val="bottom"/>
            <w:shd w:val="clear" w:color="auto" w:fill="CFF0FC"/>
          </w:tcPr>
          <w:p>
            <w:pPr>
              <w:spacing w:after="0"/>
              <w:rPr>
                <w:sz w:val="3"/>
                <w:szCs w:val="3"/>
                <w:color w:val="auto"/>
              </w:rPr>
            </w:pPr>
          </w:p>
        </w:tc>
        <w:tc>
          <w:tcPr>
            <w:tcW w:w="116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gridSpan w:val="6"/>
          </w:tcPr>
          <w:p>
            <w:pPr>
              <w:ind w:left="80"/>
              <w:spacing w:after="0"/>
              <w:rPr>
                <w:sz w:val="20"/>
                <w:szCs w:val="20"/>
                <w:color w:val="auto"/>
              </w:rPr>
            </w:pPr>
            <w:r>
              <w:rPr>
                <w:rFonts w:ascii="Arial" w:cs="Arial" w:eastAsia="Arial" w:hAnsi="Arial"/>
                <w:sz w:val="14"/>
                <w:szCs w:val="14"/>
                <w:color w:val="auto"/>
              </w:rPr>
              <w:t>Unrealized holding gains arising during the period</w:t>
            </w:r>
          </w:p>
        </w:tc>
        <w:tc>
          <w:tcPr>
            <w:tcW w:w="4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735</w:t>
            </w:r>
          </w:p>
        </w:tc>
        <w:tc>
          <w:tcPr>
            <w:tcW w:w="240" w:type="dxa"/>
            <w:vAlign w:val="bottom"/>
          </w:tcPr>
          <w:p>
            <w:pPr>
              <w:spacing w:after="0"/>
              <w:rPr>
                <w:sz w:val="16"/>
                <w:szCs w:val="16"/>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321</w:t>
            </w:r>
          </w:p>
        </w:tc>
        <w:tc>
          <w:tcPr>
            <w:tcW w:w="26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119</w:t>
            </w:r>
          </w:p>
        </w:tc>
        <w:tc>
          <w:tcPr>
            <w:tcW w:w="34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195"/>
        </w:trPr>
        <w:tc>
          <w:tcPr>
            <w:tcW w:w="4720" w:type="dxa"/>
            <w:vAlign w:val="bottom"/>
            <w:gridSpan w:val="7"/>
            <w:shd w:val="clear" w:color="auto" w:fill="CFF0FC"/>
          </w:tcPr>
          <w:p>
            <w:pPr>
              <w:ind w:left="20"/>
              <w:spacing w:after="0"/>
              <w:rPr>
                <w:sz w:val="20"/>
                <w:szCs w:val="20"/>
                <w:color w:val="auto"/>
              </w:rPr>
            </w:pPr>
            <w:r>
              <w:rPr>
                <w:rFonts w:ascii="Arial" w:cs="Arial" w:eastAsia="Arial" w:hAnsi="Arial"/>
                <w:sz w:val="14"/>
                <w:szCs w:val="14"/>
                <w:color w:val="auto"/>
              </w:rPr>
              <w:t>Net unrealized gains on derivatives and hedging activities</w:t>
            </w:r>
          </w:p>
        </w:tc>
        <w:tc>
          <w:tcPr>
            <w:tcW w:w="4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735</w:t>
            </w: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321</w:t>
            </w: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119</w:t>
            </w: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720" w:type="dxa"/>
            <w:vAlign w:val="bottom"/>
            <w:gridSpan w:val="7"/>
            <w:shd w:val="clear" w:color="auto" w:fill="CFF0FC"/>
          </w:tcPr>
          <w:p>
            <w:pPr>
              <w:ind w:left="20"/>
              <w:spacing w:after="0"/>
              <w:rPr>
                <w:sz w:val="20"/>
                <w:szCs w:val="20"/>
                <w:color w:val="auto"/>
              </w:rPr>
            </w:pPr>
            <w:r>
              <w:rPr>
                <w:rFonts w:ascii="Arial" w:cs="Arial" w:eastAsia="Arial" w:hAnsi="Arial"/>
                <w:sz w:val="14"/>
                <w:szCs w:val="14"/>
                <w:color w:val="auto"/>
              </w:rPr>
              <w:t>Other comprehensive income (loss), before tax</w:t>
            </w:r>
          </w:p>
        </w:tc>
        <w:tc>
          <w:tcPr>
            <w:tcW w:w="4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222</w:t>
            </w: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(5,876 )</w:t>
            </w: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1,086</w:t>
            </w: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(11,006 )</w:t>
            </w:r>
          </w:p>
        </w:tc>
        <w:tc>
          <w:tcPr>
            <w:tcW w:w="0" w:type="dxa"/>
            <w:vAlign w:val="bottom"/>
          </w:tcPr>
          <w:p>
            <w:pPr>
              <w:spacing w:after="0"/>
              <w:rPr>
                <w:sz w:val="1"/>
                <w:szCs w:val="1"/>
                <w:color w:val="auto"/>
              </w:rPr>
            </w:pPr>
          </w:p>
        </w:tc>
      </w:tr>
      <w:tr>
        <w:trPr>
          <w:trHeight w:val="189"/>
        </w:trPr>
        <w:tc>
          <w:tcPr>
            <w:tcW w:w="4720" w:type="dxa"/>
            <w:vAlign w:val="bottom"/>
            <w:gridSpan w:val="7"/>
          </w:tcPr>
          <w:p>
            <w:pPr>
              <w:ind w:left="20"/>
              <w:spacing w:after="0"/>
              <w:rPr>
                <w:sz w:val="20"/>
                <w:szCs w:val="20"/>
                <w:color w:val="auto"/>
              </w:rPr>
            </w:pPr>
            <w:r>
              <w:rPr>
                <w:rFonts w:ascii="Arial" w:cs="Arial" w:eastAsia="Arial" w:hAnsi="Arial"/>
                <w:sz w:val="14"/>
                <w:szCs w:val="14"/>
                <w:color w:val="auto"/>
              </w:rPr>
              <w:t>Tax effect</w:t>
            </w:r>
          </w:p>
        </w:tc>
        <w:tc>
          <w:tcPr>
            <w:tcW w:w="42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(58 )</w:t>
            </w:r>
          </w:p>
        </w:tc>
        <w:tc>
          <w:tcPr>
            <w:tcW w:w="240" w:type="dxa"/>
            <w:vAlign w:val="bottom"/>
          </w:tcPr>
          <w:p>
            <w:pPr>
              <w:spacing w:after="0"/>
              <w:rPr>
                <w:sz w:val="16"/>
                <w:szCs w:val="16"/>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1,535</w:t>
            </w:r>
          </w:p>
        </w:tc>
        <w:tc>
          <w:tcPr>
            <w:tcW w:w="2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(284 )</w:t>
            </w:r>
          </w:p>
        </w:tc>
        <w:tc>
          <w:tcPr>
            <w:tcW w:w="34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2,875</w:t>
            </w:r>
          </w:p>
        </w:tc>
        <w:tc>
          <w:tcPr>
            <w:tcW w:w="0" w:type="dxa"/>
            <w:vAlign w:val="bottom"/>
          </w:tcPr>
          <w:p>
            <w:pPr>
              <w:spacing w:after="0"/>
              <w:rPr>
                <w:sz w:val="1"/>
                <w:szCs w:val="1"/>
                <w:color w:val="auto"/>
              </w:rPr>
            </w:pPr>
          </w:p>
        </w:tc>
      </w:tr>
      <w:tr>
        <w:trPr>
          <w:trHeight w:val="195"/>
        </w:trPr>
        <w:tc>
          <w:tcPr>
            <w:tcW w:w="4720" w:type="dxa"/>
            <w:vAlign w:val="bottom"/>
            <w:gridSpan w:val="7"/>
            <w:shd w:val="clear" w:color="auto" w:fill="CFF0FC"/>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4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164</w:t>
            </w: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(4,341 )</w:t>
            </w: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802</w:t>
            </w: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(8,131 )</w:t>
            </w:r>
          </w:p>
        </w:tc>
        <w:tc>
          <w:tcPr>
            <w:tcW w:w="0" w:type="dxa"/>
            <w:vAlign w:val="bottom"/>
          </w:tcPr>
          <w:p>
            <w:pPr>
              <w:spacing w:after="0"/>
              <w:rPr>
                <w:sz w:val="1"/>
                <w:szCs w:val="1"/>
                <w:color w:val="auto"/>
              </w:rPr>
            </w:pPr>
          </w:p>
        </w:tc>
      </w:tr>
      <w:tr>
        <w:trPr>
          <w:trHeight w:val="189"/>
        </w:trPr>
        <w:tc>
          <w:tcPr>
            <w:tcW w:w="4720" w:type="dxa"/>
            <w:vAlign w:val="bottom"/>
            <w:gridSpan w:val="7"/>
          </w:tcPr>
          <w:p>
            <w:pPr>
              <w:ind w:left="20"/>
              <w:spacing w:after="0"/>
              <w:rPr>
                <w:sz w:val="20"/>
                <w:szCs w:val="20"/>
                <w:color w:val="auto"/>
              </w:rPr>
            </w:pPr>
            <w:r>
              <w:rPr>
                <w:rFonts w:ascii="Arial" w:cs="Arial" w:eastAsia="Arial" w:hAnsi="Arial"/>
                <w:sz w:val="14"/>
                <w:szCs w:val="14"/>
                <w:color w:val="auto"/>
              </w:rPr>
              <w:t>Comprehensive income (loss)</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2,139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(1,053 )</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5,452</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(1,848 )</w:t>
            </w:r>
          </w:p>
        </w:tc>
        <w:tc>
          <w:tcPr>
            <w:tcW w:w="0" w:type="dxa"/>
            <w:vAlign w:val="bottom"/>
          </w:tcPr>
          <w:p>
            <w:pPr>
              <w:spacing w:after="0"/>
              <w:rPr>
                <w:sz w:val="1"/>
                <w:szCs w:val="1"/>
                <w:color w:val="auto"/>
              </w:rPr>
            </w:pPr>
          </w:p>
        </w:tc>
      </w:tr>
      <w:tr>
        <w:trPr>
          <w:trHeight w:val="189"/>
        </w:trPr>
        <w:tc>
          <w:tcPr>
            <w:tcW w:w="4720" w:type="dxa"/>
            <w:vAlign w:val="bottom"/>
            <w:gridSpan w:val="7"/>
            <w:shd w:val="clear" w:color="auto" w:fill="CFF0FC"/>
          </w:tcPr>
          <w:p>
            <w:pPr>
              <w:ind w:left="20"/>
              <w:spacing w:after="0"/>
              <w:rPr>
                <w:sz w:val="20"/>
                <w:szCs w:val="20"/>
                <w:color w:val="auto"/>
              </w:rPr>
            </w:pPr>
            <w:r>
              <w:rPr>
                <w:rFonts w:ascii="Arial" w:cs="Arial" w:eastAsia="Arial" w:hAnsi="Arial"/>
                <w:sz w:val="14"/>
                <w:szCs w:val="14"/>
                <w:color w:val="auto"/>
              </w:rPr>
              <w:t>Comprehensive (loss) income, attributable to noncontrolling interest</w:t>
            </w: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(7 )</w:t>
            </w: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FF0FC"/>
          </w:tcPr>
          <w:p>
            <w:pPr>
              <w:jc w:val="right"/>
              <w:ind w:right="128"/>
              <w:spacing w:after="0"/>
              <w:rPr>
                <w:sz w:val="20"/>
                <w:szCs w:val="20"/>
                <w:color w:val="auto"/>
              </w:rPr>
            </w:pPr>
            <w:r>
              <w:rPr>
                <w:rFonts w:ascii="Arial" w:cs="Arial" w:eastAsia="Arial" w:hAnsi="Arial"/>
                <w:sz w:val="14"/>
                <w:szCs w:val="14"/>
                <w:color w:val="auto"/>
              </w:rPr>
              <w:t>16</w:t>
            </w: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rPr>
              <w:t>69</w:t>
            </w:r>
          </w:p>
        </w:tc>
        <w:tc>
          <w:tcPr>
            <w:tcW w:w="34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38"/>
        </w:trPr>
        <w:tc>
          <w:tcPr>
            <w:tcW w:w="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9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420" w:type="dxa"/>
            <w:vAlign w:val="bottom"/>
            <w:vMerge w:val="continue"/>
            <w:shd w:val="clear" w:color="auto" w:fill="CFF0FC"/>
          </w:tcPr>
          <w:p>
            <w:pPr>
              <w:spacing w:after="0"/>
              <w:rPr>
                <w:sz w:val="12"/>
                <w:szCs w:val="12"/>
                <w:color w:val="auto"/>
              </w:rPr>
            </w:pPr>
          </w:p>
        </w:tc>
        <w:tc>
          <w:tcPr>
            <w:tcW w:w="1140" w:type="dxa"/>
            <w:vAlign w:val="bottom"/>
            <w:vMerge w:val="continue"/>
            <w:shd w:val="clear" w:color="auto" w:fill="CFF0FC"/>
          </w:tcPr>
          <w:p>
            <w:pPr>
              <w:spacing w:after="0"/>
              <w:rPr>
                <w:sz w:val="12"/>
                <w:szCs w:val="12"/>
                <w:color w:val="auto"/>
              </w:rPr>
            </w:pPr>
          </w:p>
        </w:tc>
        <w:tc>
          <w:tcPr>
            <w:tcW w:w="240" w:type="dxa"/>
            <w:vAlign w:val="bottom"/>
            <w:vMerge w:val="continue"/>
            <w:shd w:val="clear" w:color="auto" w:fill="CFF0FC"/>
          </w:tcPr>
          <w:p>
            <w:pPr>
              <w:spacing w:after="0"/>
              <w:rPr>
                <w:sz w:val="12"/>
                <w:szCs w:val="12"/>
                <w:color w:val="auto"/>
              </w:rPr>
            </w:pPr>
          </w:p>
        </w:tc>
        <w:tc>
          <w:tcPr>
            <w:tcW w:w="1160" w:type="dxa"/>
            <w:vAlign w:val="bottom"/>
            <w:vMerge w:val="continue"/>
            <w:shd w:val="clear" w:color="auto" w:fill="CFF0FC"/>
          </w:tcPr>
          <w:p>
            <w:pPr>
              <w:spacing w:after="0"/>
              <w:rPr>
                <w:sz w:val="12"/>
                <w:szCs w:val="12"/>
                <w:color w:val="auto"/>
              </w:rPr>
            </w:pPr>
          </w:p>
        </w:tc>
        <w:tc>
          <w:tcPr>
            <w:tcW w:w="260" w:type="dxa"/>
            <w:vAlign w:val="bottom"/>
            <w:vMerge w:val="continue"/>
            <w:shd w:val="clear" w:color="auto" w:fill="CFF0FC"/>
          </w:tcPr>
          <w:p>
            <w:pPr>
              <w:spacing w:after="0"/>
              <w:rPr>
                <w:sz w:val="12"/>
                <w:szCs w:val="12"/>
                <w:color w:val="auto"/>
              </w:rPr>
            </w:pPr>
          </w:p>
        </w:tc>
        <w:tc>
          <w:tcPr>
            <w:tcW w:w="1120" w:type="dxa"/>
            <w:vAlign w:val="bottom"/>
            <w:vMerge w:val="continue"/>
            <w:shd w:val="clear" w:color="auto" w:fill="CFF0FC"/>
          </w:tcPr>
          <w:p>
            <w:pPr>
              <w:spacing w:after="0"/>
              <w:rPr>
                <w:sz w:val="12"/>
                <w:szCs w:val="12"/>
                <w:color w:val="auto"/>
              </w:rPr>
            </w:pPr>
          </w:p>
        </w:tc>
        <w:tc>
          <w:tcPr>
            <w:tcW w:w="340" w:type="dxa"/>
            <w:vAlign w:val="bottom"/>
            <w:vMerge w:val="continue"/>
            <w:shd w:val="clear" w:color="auto" w:fill="CFF0FC"/>
          </w:tcPr>
          <w:p>
            <w:pPr>
              <w:spacing w:after="0"/>
              <w:rPr>
                <w:sz w:val="12"/>
                <w:szCs w:val="12"/>
                <w:color w:val="auto"/>
              </w:rPr>
            </w:pPr>
          </w:p>
        </w:tc>
        <w:tc>
          <w:tcPr>
            <w:tcW w:w="1160" w:type="dxa"/>
            <w:vAlign w:val="bottom"/>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color w:val="auto"/>
              </w:rPr>
              <w:t>Comprehensive income (loss) attributable to Pathfinder Bancorp, Inc.</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(1,069 )</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5,383</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(1,909 )</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9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20" w:type="dxa"/>
            <w:vAlign w:val="bottom"/>
            <w:gridSpan w:val="7"/>
          </w:tcPr>
          <w:p>
            <w:pPr>
              <w:ind w:left="20"/>
              <w:spacing w:after="0" w:line="156" w:lineRule="exact"/>
              <w:rPr>
                <w:sz w:val="20"/>
                <w:szCs w:val="20"/>
                <w:color w:val="auto"/>
              </w:rPr>
            </w:pPr>
            <w:r>
              <w:rPr>
                <w:rFonts w:ascii="Arial" w:cs="Arial" w:eastAsia="Arial" w:hAnsi="Arial"/>
                <w:sz w:val="14"/>
                <w:szCs w:val="14"/>
                <w:color w:val="auto"/>
              </w:rPr>
              <w:t>Tax Effect Allocated to Each Component of Other Comprehensive</w:t>
            </w: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Borders>
              <w:top w:val="single" w:sz="8" w:color="auto"/>
            </w:tcBorders>
            <w:gridSpan w:val="5"/>
          </w:tcPr>
          <w:p>
            <w:pPr>
              <w:ind w:left="40"/>
              <w:spacing w:after="0" w:line="148" w:lineRule="exact"/>
              <w:rPr>
                <w:sz w:val="20"/>
                <w:szCs w:val="20"/>
                <w:color w:val="auto"/>
              </w:rPr>
            </w:pPr>
            <w:r>
              <w:rPr>
                <w:rFonts w:ascii="Arial" w:cs="Arial" w:eastAsia="Arial" w:hAnsi="Arial"/>
                <w:sz w:val="14"/>
                <w:szCs w:val="14"/>
                <w:color w:val="auto"/>
              </w:rPr>
              <w:t>(Loss) Income</w:t>
            </w: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4720" w:type="dxa"/>
            <w:vAlign w:val="bottom"/>
            <w:gridSpan w:val="7"/>
            <w:shd w:val="clear" w:color="auto" w:fill="CFF0FC"/>
          </w:tcPr>
          <w:p>
            <w:pPr>
              <w:ind w:left="20"/>
              <w:spacing w:after="0"/>
              <w:rPr>
                <w:sz w:val="20"/>
                <w:szCs w:val="20"/>
                <w:color w:val="auto"/>
              </w:rPr>
            </w:pPr>
            <w:r>
              <w:rPr>
                <w:rFonts w:ascii="Arial" w:cs="Arial" w:eastAsia="Arial" w:hAnsi="Arial"/>
                <w:sz w:val="14"/>
                <w:szCs w:val="14"/>
                <w:color w:val="auto"/>
              </w:rPr>
              <w:t>Retirement plan net losses recognized in plan expenses</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(15 )</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(29 )</w:t>
            </w:r>
          </w:p>
        </w:tc>
        <w:tc>
          <w:tcPr>
            <w:tcW w:w="3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4720" w:type="dxa"/>
            <w:vAlign w:val="bottom"/>
            <w:gridSpan w:val="7"/>
          </w:tcPr>
          <w:p>
            <w:pPr>
              <w:ind w:left="20"/>
              <w:spacing w:after="0"/>
              <w:rPr>
                <w:sz w:val="20"/>
                <w:szCs w:val="20"/>
                <w:color w:val="auto"/>
              </w:rPr>
            </w:pPr>
            <w:r>
              <w:rPr>
                <w:rFonts w:ascii="Arial" w:cs="Arial" w:eastAsia="Arial" w:hAnsi="Arial"/>
                <w:sz w:val="14"/>
                <w:szCs w:val="14"/>
                <w:color w:val="auto"/>
              </w:rPr>
              <w:t>Unrealized holding gains on available-for-sale securities</w:t>
            </w: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700" w:type="dxa"/>
            <w:vAlign w:val="bottom"/>
            <w:gridSpan w:val="6"/>
          </w:tcPr>
          <w:p>
            <w:pPr>
              <w:ind w:left="120"/>
              <w:spacing w:after="0"/>
              <w:rPr>
                <w:sz w:val="20"/>
                <w:szCs w:val="20"/>
                <w:color w:val="auto"/>
              </w:rPr>
            </w:pPr>
            <w:r>
              <w:rPr>
                <w:rFonts w:ascii="Arial" w:cs="Arial" w:eastAsia="Arial" w:hAnsi="Arial"/>
                <w:sz w:val="14"/>
                <w:szCs w:val="14"/>
                <w:color w:val="auto"/>
              </w:rPr>
              <w:t>arising during the period</w:t>
            </w:r>
          </w:p>
        </w:tc>
        <w:tc>
          <w:tcPr>
            <w:tcW w:w="4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149</w:t>
            </w:r>
          </w:p>
        </w:tc>
        <w:tc>
          <w:tcPr>
            <w:tcW w:w="240" w:type="dxa"/>
            <w:vAlign w:val="bottom"/>
          </w:tcPr>
          <w:p>
            <w:pPr>
              <w:spacing w:after="0"/>
              <w:rPr>
                <w:sz w:val="16"/>
                <w:szCs w:val="16"/>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1,613</w:t>
            </w:r>
          </w:p>
        </w:tc>
        <w:tc>
          <w:tcPr>
            <w:tcW w:w="26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281</w:t>
            </w:r>
          </w:p>
        </w:tc>
        <w:tc>
          <w:tcPr>
            <w:tcW w:w="34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3,123</w:t>
            </w:r>
          </w:p>
        </w:tc>
        <w:tc>
          <w:tcPr>
            <w:tcW w:w="0" w:type="dxa"/>
            <w:vAlign w:val="bottom"/>
          </w:tcPr>
          <w:p>
            <w:pPr>
              <w:spacing w:after="0"/>
              <w:rPr>
                <w:sz w:val="1"/>
                <w:szCs w:val="1"/>
                <w:color w:val="auto"/>
              </w:rPr>
            </w:pPr>
          </w:p>
        </w:tc>
      </w:tr>
      <w:tr>
        <w:trPr>
          <w:trHeight w:val="175"/>
        </w:trPr>
        <w:tc>
          <w:tcPr>
            <w:tcW w:w="4720" w:type="dxa"/>
            <w:vAlign w:val="bottom"/>
            <w:gridSpan w:val="7"/>
            <w:shd w:val="clear" w:color="auto" w:fill="CFF0FC"/>
          </w:tcPr>
          <w:p>
            <w:pPr>
              <w:ind w:left="20"/>
              <w:spacing w:after="0"/>
              <w:rPr>
                <w:sz w:val="20"/>
                <w:szCs w:val="20"/>
                <w:color w:val="auto"/>
              </w:rPr>
            </w:pPr>
            <w:r>
              <w:rPr>
                <w:rFonts w:ascii="Arial" w:cs="Arial" w:eastAsia="Arial" w:hAnsi="Arial"/>
                <w:sz w:val="14"/>
                <w:szCs w:val="14"/>
                <w:color w:val="auto"/>
              </w:rPr>
              <w:t>Reclassification adjustment for net losses (gains) included in net</w:t>
            </w:r>
          </w:p>
        </w:tc>
        <w:tc>
          <w:tcPr>
            <w:tcW w:w="4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FF0FC"/>
          </w:tcPr>
          <w:p>
            <w:pPr>
              <w:spacing w:after="0"/>
              <w:rPr>
                <w:sz w:val="16"/>
                <w:szCs w:val="16"/>
                <w:color w:val="auto"/>
              </w:rPr>
            </w:pPr>
          </w:p>
        </w:tc>
        <w:tc>
          <w:tcPr>
            <w:tcW w:w="4700" w:type="dxa"/>
            <w:vAlign w:val="bottom"/>
            <w:gridSpan w:val="6"/>
            <w:shd w:val="clear" w:color="auto" w:fill="CFF0FC"/>
          </w:tcPr>
          <w:p>
            <w:pPr>
              <w:ind w:left="120"/>
              <w:spacing w:after="0"/>
              <w:rPr>
                <w:sz w:val="20"/>
                <w:szCs w:val="20"/>
                <w:color w:val="auto"/>
              </w:rPr>
            </w:pPr>
            <w:r>
              <w:rPr>
                <w:rFonts w:ascii="Arial" w:cs="Arial" w:eastAsia="Arial" w:hAnsi="Arial"/>
                <w:sz w:val="14"/>
                <w:szCs w:val="14"/>
                <w:color w:val="auto"/>
              </w:rPr>
              <w:t>income</w:t>
            </w:r>
          </w:p>
        </w:tc>
        <w:tc>
          <w:tcPr>
            <w:tcW w:w="4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6</w:t>
            </w: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(505 )</w:t>
            </w: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2"/>
        </w:trPr>
        <w:tc>
          <w:tcPr>
            <w:tcW w:w="4720" w:type="dxa"/>
            <w:vAlign w:val="bottom"/>
            <w:gridSpan w:val="7"/>
          </w:tcPr>
          <w:p>
            <w:pPr>
              <w:ind w:left="20"/>
              <w:spacing w:after="0"/>
              <w:rPr>
                <w:sz w:val="20"/>
                <w:szCs w:val="20"/>
                <w:color w:val="auto"/>
              </w:rPr>
            </w:pPr>
            <w:r>
              <w:rPr>
                <w:rFonts w:ascii="Arial" w:cs="Arial" w:eastAsia="Arial" w:hAnsi="Arial"/>
                <w:sz w:val="14"/>
                <w:szCs w:val="14"/>
                <w:color w:val="auto"/>
              </w:rPr>
              <w:t>Unrealized (gains) on derivatives and hedging arising during</w:t>
            </w: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700" w:type="dxa"/>
            <w:vAlign w:val="bottom"/>
            <w:gridSpan w:val="6"/>
          </w:tcPr>
          <w:p>
            <w:pPr>
              <w:ind w:left="120"/>
              <w:spacing w:after="0"/>
              <w:rPr>
                <w:sz w:val="20"/>
                <w:szCs w:val="20"/>
                <w:color w:val="auto"/>
              </w:rPr>
            </w:pPr>
            <w:r>
              <w:rPr>
                <w:rFonts w:ascii="Arial" w:cs="Arial" w:eastAsia="Arial" w:hAnsi="Arial"/>
                <w:sz w:val="14"/>
                <w:szCs w:val="14"/>
                <w:color w:val="auto"/>
              </w:rPr>
              <w:t>the period</w:t>
            </w:r>
          </w:p>
        </w:tc>
        <w:tc>
          <w:tcPr>
            <w:tcW w:w="42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(192 )</w:t>
            </w:r>
          </w:p>
        </w:tc>
        <w:tc>
          <w:tcPr>
            <w:tcW w:w="24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(84 )</w:t>
            </w:r>
          </w:p>
        </w:tc>
        <w:tc>
          <w:tcPr>
            <w:tcW w:w="2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(31 )</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(254 )</w:t>
            </w:r>
          </w:p>
        </w:tc>
        <w:tc>
          <w:tcPr>
            <w:tcW w:w="0" w:type="dxa"/>
            <w:vAlign w:val="bottom"/>
          </w:tcPr>
          <w:p>
            <w:pPr>
              <w:spacing w:after="0"/>
              <w:rPr>
                <w:sz w:val="1"/>
                <w:szCs w:val="1"/>
                <w:color w:val="auto"/>
              </w:rPr>
            </w:pPr>
          </w:p>
        </w:tc>
      </w:tr>
      <w:tr>
        <w:trPr>
          <w:trHeight w:val="232"/>
        </w:trPr>
        <w:tc>
          <w:tcPr>
            <w:tcW w:w="4720" w:type="dxa"/>
            <w:vAlign w:val="bottom"/>
            <w:tcBorders>
              <w:bottom w:val="single" w:sz="8" w:color="auto"/>
            </w:tcBorders>
            <w:gridSpan w:val="7"/>
            <w:shd w:val="clear" w:color="auto" w:fill="CFF0FC"/>
          </w:tcPr>
          <w:p>
            <w:pPr>
              <w:ind w:left="20"/>
              <w:spacing w:after="0"/>
              <w:rPr>
                <w:sz w:val="20"/>
                <w:szCs w:val="20"/>
                <w:color w:val="auto"/>
              </w:rPr>
            </w:pPr>
            <w:r>
              <w:rPr>
                <w:rFonts w:ascii="Arial" w:cs="Arial" w:eastAsia="Arial" w:hAnsi="Arial"/>
                <w:sz w:val="14"/>
                <w:szCs w:val="14"/>
                <w:color w:val="auto"/>
              </w:rPr>
              <w:t>Income tax effect related to other comprehensive (loss) income</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(58 )</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1,535</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(284 )</w:t>
            </w:r>
          </w:p>
        </w:tc>
        <w:tc>
          <w:tcPr>
            <w:tcW w:w="3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2,875</w:t>
            </w: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6"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5</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77" w:right="680" w:bottom="1440" w:gutter="0" w:footer="0" w:header="0"/>
        </w:sectPr>
      </w:pPr>
    </w:p>
    <w:bookmarkStart w:id="5" w:name="page6"/>
    <w:bookmarkEnd w:id="5"/>
    <w:p>
      <w:pPr>
        <w:jc w:val="center"/>
        <w:ind w:right="80"/>
        <w:spacing w:after="0"/>
        <w:rPr>
          <w:sz w:val="20"/>
          <w:szCs w:val="20"/>
          <w:color w:val="auto"/>
        </w:rPr>
      </w:pPr>
      <w:r>
        <w:rPr>
          <w:rFonts w:ascii="Arial" w:cs="Arial" w:eastAsia="Arial" w:hAnsi="Arial"/>
          <w:sz w:val="18"/>
          <w:szCs w:val="18"/>
          <w:b w:val="1"/>
          <w:bCs w:val="1"/>
          <w:color w:val="auto"/>
        </w:rPr>
        <w:t>Pathfinder Bancorp, Inc.</w:t>
      </w:r>
    </w:p>
    <w:p>
      <w:pPr>
        <w:spacing w:after="0" w:line="4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3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Three months ended June 30, 2023 and June 30, 2022</w:t>
      </w:r>
    </w:p>
    <w:p>
      <w:pPr>
        <w:spacing w:after="0" w:line="3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gridSpan w:val="2"/>
          </w:tcPr>
          <w:p>
            <w:pPr>
              <w:jc w:val="center"/>
              <w:ind w:right="8"/>
              <w:spacing w:after="0"/>
              <w:rPr>
                <w:sz w:val="20"/>
                <w:szCs w:val="20"/>
                <w:color w:val="auto"/>
              </w:rPr>
            </w:pPr>
            <w:r>
              <w:rPr>
                <w:rFonts w:ascii="Arial" w:cs="Arial" w:eastAsia="Arial" w:hAnsi="Arial"/>
                <w:sz w:val="14"/>
                <w:szCs w:val="14"/>
                <w:color w:val="auto"/>
              </w:rPr>
              <w:t>Accumul</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restart"/>
          </w:tcPr>
          <w:p>
            <w:pPr>
              <w:jc w:val="center"/>
              <w:ind w:right="148"/>
              <w:spacing w:after="0"/>
              <w:rPr>
                <w:sz w:val="20"/>
                <w:szCs w:val="20"/>
                <w:color w:val="auto"/>
              </w:rPr>
            </w:pPr>
            <w:r>
              <w:rPr>
                <w:rFonts w:ascii="Arial" w:cs="Arial" w:eastAsia="Arial" w:hAnsi="Arial"/>
                <w:sz w:val="14"/>
                <w:szCs w:val="14"/>
                <w:color w:val="auto"/>
              </w:rPr>
              <w:t>Non-</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center"/>
              <w:ind w:right="168"/>
              <w:spacing w:after="0"/>
              <w:rPr>
                <w:sz w:val="20"/>
                <w:szCs w:val="20"/>
                <w:color w:val="auto"/>
              </w:rPr>
            </w:pPr>
            <w:r>
              <w:rPr>
                <w:rFonts w:ascii="Arial" w:cs="Arial" w:eastAsia="Arial" w:hAnsi="Arial"/>
                <w:sz w:val="14"/>
                <w:szCs w:val="14"/>
                <w:color w:val="auto"/>
              </w:rPr>
              <w:t>ated</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3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vMerge w:val="restart"/>
          </w:tcPr>
          <w:p>
            <w:pPr>
              <w:jc w:val="center"/>
              <w:ind w:right="168"/>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vMerge w:val="restart"/>
          </w:tcPr>
          <w:p>
            <w:pPr>
              <w:jc w:val="center"/>
              <w:ind w:right="148"/>
              <w:spacing w:after="0"/>
              <w:rPr>
                <w:sz w:val="20"/>
                <w:szCs w:val="20"/>
                <w:color w:val="auto"/>
              </w:rPr>
            </w:pPr>
            <w:r>
              <w:rPr>
                <w:rFonts w:ascii="Arial" w:cs="Arial" w:eastAsia="Arial" w:hAnsi="Arial"/>
                <w:sz w:val="14"/>
                <w:szCs w:val="14"/>
                <w:color w:val="auto"/>
              </w:rPr>
              <w:t>Voting</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3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color w:val="auto"/>
              </w:rPr>
              <w:t>Additional</w:t>
            </w: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gridSpan w:val="2"/>
            <w:vMerge w:val="restart"/>
          </w:tcPr>
          <w:p>
            <w:pPr>
              <w:jc w:val="center"/>
              <w:ind w:right="8"/>
              <w:spacing w:after="0"/>
              <w:rPr>
                <w:sz w:val="20"/>
                <w:szCs w:val="20"/>
                <w:color w:val="auto"/>
              </w:rPr>
            </w:pPr>
            <w:r>
              <w:rPr>
                <w:rFonts w:ascii="Arial" w:cs="Arial" w:eastAsia="Arial" w:hAnsi="Arial"/>
                <w:sz w:val="14"/>
                <w:szCs w:val="14"/>
                <w:color w:val="auto"/>
              </w:rPr>
              <w:t>Compreh</w:t>
            </w: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vMerge w:val="restart"/>
          </w:tcPr>
          <w:p>
            <w:pPr>
              <w:jc w:val="right"/>
              <w:ind w:right="228"/>
              <w:spacing w:after="0"/>
              <w:rPr>
                <w:sz w:val="20"/>
                <w:szCs w:val="20"/>
                <w:color w:val="auto"/>
              </w:rPr>
            </w:pPr>
            <w:r>
              <w:rPr>
                <w:rFonts w:ascii="Arial" w:cs="Arial" w:eastAsia="Arial" w:hAnsi="Arial"/>
                <w:sz w:val="14"/>
                <w:szCs w:val="14"/>
                <w:color w:val="auto"/>
              </w:rPr>
              <w:t>Non-</w:t>
            </w: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color w:val="auto"/>
              </w:rPr>
              <w:t>Common</w:t>
            </w:r>
          </w:p>
        </w:tc>
        <w:tc>
          <w:tcPr>
            <w:tcW w:w="9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3560" w:type="dxa"/>
            <w:vAlign w:val="bottom"/>
          </w:tcPr>
          <w:p>
            <w:pPr>
              <w:spacing w:after="0"/>
              <w:rPr>
                <w:sz w:val="4"/>
                <w:szCs w:val="4"/>
                <w:color w:val="auto"/>
              </w:rPr>
            </w:pPr>
          </w:p>
        </w:tc>
        <w:tc>
          <w:tcPr>
            <w:tcW w:w="900" w:type="dxa"/>
            <w:vAlign w:val="bottom"/>
            <w:gridSpan w:val="2"/>
            <w:vMerge w:val="restart"/>
          </w:tcPr>
          <w:p>
            <w:pPr>
              <w:jc w:val="right"/>
              <w:ind w:right="88"/>
              <w:spacing w:after="0"/>
              <w:rPr>
                <w:sz w:val="20"/>
                <w:szCs w:val="20"/>
                <w:color w:val="auto"/>
              </w:rPr>
            </w:pPr>
            <w:r>
              <w:rPr>
                <w:rFonts w:ascii="Arial" w:cs="Arial" w:eastAsia="Arial" w:hAnsi="Arial"/>
                <w:sz w:val="14"/>
                <w:szCs w:val="14"/>
                <w:color w:val="auto"/>
              </w:rPr>
              <w:t>Common</w:t>
            </w:r>
          </w:p>
        </w:tc>
        <w:tc>
          <w:tcPr>
            <w:tcW w:w="9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color w:val="auto"/>
              </w:rPr>
              <w:t>Paid in</w:t>
            </w:r>
          </w:p>
        </w:tc>
        <w:tc>
          <w:tcPr>
            <w:tcW w:w="94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auto"/>
              </w:rPr>
              <w:t>Retained</w:t>
            </w:r>
          </w:p>
        </w:tc>
        <w:tc>
          <w:tcPr>
            <w:tcW w:w="180" w:type="dxa"/>
            <w:vAlign w:val="bottom"/>
          </w:tcPr>
          <w:p>
            <w:pPr>
              <w:spacing w:after="0"/>
              <w:rPr>
                <w:sz w:val="4"/>
                <w:szCs w:val="4"/>
                <w:color w:val="auto"/>
              </w:rPr>
            </w:pPr>
          </w:p>
        </w:tc>
        <w:tc>
          <w:tcPr>
            <w:tcW w:w="680" w:type="dxa"/>
            <w:vAlign w:val="bottom"/>
            <w:vMerge w:val="restart"/>
          </w:tcPr>
          <w:p>
            <w:pPr>
              <w:jc w:val="center"/>
              <w:ind w:right="188"/>
              <w:spacing w:after="0"/>
              <w:rPr>
                <w:sz w:val="20"/>
                <w:szCs w:val="20"/>
                <w:color w:val="auto"/>
              </w:rPr>
            </w:pPr>
            <w:r>
              <w:rPr>
                <w:rFonts w:ascii="Arial" w:cs="Arial" w:eastAsia="Arial" w:hAnsi="Arial"/>
                <w:sz w:val="14"/>
                <w:szCs w:val="14"/>
                <w:color w:val="auto"/>
              </w:rPr>
              <w:t>ensive</w:t>
            </w:r>
          </w:p>
        </w:tc>
        <w:tc>
          <w:tcPr>
            <w:tcW w:w="84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Unearne</w:t>
            </w:r>
          </w:p>
        </w:tc>
        <w:tc>
          <w:tcPr>
            <w:tcW w:w="86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controllin</w:t>
            </w: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35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9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vMerge w:val="restart"/>
          </w:tcPr>
          <w:p>
            <w:pPr>
              <w:jc w:val="center"/>
              <w:ind w:right="148"/>
              <w:spacing w:after="0"/>
              <w:rPr>
                <w:sz w:val="20"/>
                <w:szCs w:val="20"/>
                <w:color w:val="auto"/>
              </w:rPr>
            </w:pPr>
            <w:r>
              <w:rPr>
                <w:rFonts w:ascii="Arial" w:cs="Arial" w:eastAsia="Arial" w:hAnsi="Arial"/>
                <w:sz w:val="14"/>
                <w:szCs w:val="14"/>
                <w:color w:val="auto"/>
              </w:rPr>
              <w:t>Stock</w:t>
            </w:r>
          </w:p>
        </w:tc>
        <w:tc>
          <w:tcPr>
            <w:tcW w:w="2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35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vMerge w:val="restart"/>
          </w:tcPr>
          <w:p>
            <w:pPr>
              <w:jc w:val="right"/>
              <w:ind w:right="188"/>
              <w:spacing w:after="0"/>
              <w:rPr>
                <w:sz w:val="20"/>
                <w:szCs w:val="20"/>
                <w:color w:val="auto"/>
              </w:rPr>
            </w:pPr>
            <w:r>
              <w:rPr>
                <w:rFonts w:ascii="Arial" w:cs="Arial" w:eastAsia="Arial" w:hAnsi="Arial"/>
                <w:sz w:val="14"/>
                <w:szCs w:val="14"/>
                <w:color w:val="auto"/>
              </w:rPr>
              <w:t>Stock</w:t>
            </w:r>
          </w:p>
        </w:tc>
        <w:tc>
          <w:tcPr>
            <w:tcW w:w="2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color w:val="auto"/>
              </w:rPr>
              <w:t>Capital</w:t>
            </w:r>
          </w:p>
        </w:tc>
        <w:tc>
          <w:tcPr>
            <w:tcW w:w="94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auto"/>
              </w:rPr>
              <w:t>Earnings</w:t>
            </w:r>
          </w:p>
        </w:tc>
        <w:tc>
          <w:tcPr>
            <w:tcW w:w="180" w:type="dxa"/>
            <w:vAlign w:val="bottom"/>
          </w:tcPr>
          <w:p>
            <w:pPr>
              <w:spacing w:after="0"/>
              <w:rPr>
                <w:sz w:val="5"/>
                <w:szCs w:val="5"/>
                <w:color w:val="auto"/>
              </w:rPr>
            </w:pPr>
          </w:p>
        </w:tc>
        <w:tc>
          <w:tcPr>
            <w:tcW w:w="680" w:type="dxa"/>
            <w:vAlign w:val="bottom"/>
            <w:vMerge w:val="restart"/>
          </w:tcPr>
          <w:p>
            <w:pPr>
              <w:jc w:val="center"/>
              <w:ind w:right="188"/>
              <w:spacing w:after="0"/>
              <w:rPr>
                <w:sz w:val="20"/>
                <w:szCs w:val="20"/>
                <w:color w:val="auto"/>
              </w:rPr>
            </w:pPr>
            <w:r>
              <w:rPr>
                <w:rFonts w:ascii="Arial" w:cs="Arial" w:eastAsia="Arial" w:hAnsi="Arial"/>
                <w:sz w:val="14"/>
                <w:szCs w:val="14"/>
                <w:color w:val="auto"/>
              </w:rPr>
              <w:t>Loss</w:t>
            </w:r>
          </w:p>
        </w:tc>
        <w:tc>
          <w:tcPr>
            <w:tcW w:w="84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auto"/>
              </w:rPr>
              <w:t>d ESOP</w:t>
            </w: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color w:val="auto"/>
              </w:rPr>
              <w:t>g Interest</w:t>
            </w:r>
          </w:p>
        </w:tc>
        <w:tc>
          <w:tcPr>
            <w:tcW w:w="800" w:type="dxa"/>
            <w:vAlign w:val="bottom"/>
            <w:vMerge w:val="restart"/>
          </w:tcPr>
          <w:p>
            <w:pPr>
              <w:jc w:val="right"/>
              <w:ind w:right="1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23"/>
        </w:trPr>
        <w:tc>
          <w:tcPr>
            <w:tcW w:w="35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March 31, 2023</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47</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FF0FC"/>
          </w:tcPr>
          <w:p>
            <w:pPr>
              <w:ind w:left="14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52,207</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71,236</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(11,534 )</w:t>
            </w:r>
          </w:p>
        </w:tc>
        <w:tc>
          <w:tcPr>
            <w:tcW w:w="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(270 )</w:t>
            </w:r>
          </w:p>
        </w:tc>
        <w:tc>
          <w:tcPr>
            <w:tcW w:w="200" w:type="dxa"/>
            <w:vAlign w:val="bottom"/>
            <w:shd w:val="clear" w:color="auto" w:fill="CFF0FC"/>
          </w:tcPr>
          <w:p>
            <w:pPr>
              <w:ind w:lef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661</w:t>
            </w: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$ 112,361</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1,982</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(7 )</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1,975</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Other comprehensive income, net of tax</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164</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ESOP shares earned (6,111 shares)</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2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45</w:t>
            </w:r>
          </w:p>
        </w:tc>
        <w:tc>
          <w:tcPr>
            <w:tcW w:w="20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Stock based compensation</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Stock options exercised</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368</w:t>
            </w:r>
          </w:p>
        </w:tc>
        <w:tc>
          <w:tcPr>
            <w:tcW w:w="2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Common stock dividends declared ($0.09 per share)</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(419 )</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(419 )</w:t>
            </w:r>
          </w:p>
        </w:tc>
        <w:tc>
          <w:tcPr>
            <w:tcW w:w="0" w:type="dxa"/>
            <w:vAlign w:val="bottom"/>
          </w:tcPr>
          <w:p>
            <w:pPr>
              <w:spacing w:after="0"/>
              <w:rPr>
                <w:sz w:val="1"/>
                <w:szCs w:val="1"/>
                <w:color w:val="auto"/>
              </w:rPr>
            </w:pPr>
          </w:p>
        </w:tc>
      </w:tr>
      <w:tr>
        <w:trPr>
          <w:trHeight w:val="172"/>
        </w:trPr>
        <w:tc>
          <w:tcPr>
            <w:tcW w:w="3560" w:type="dxa"/>
            <w:vAlign w:val="bottom"/>
          </w:tcPr>
          <w:p>
            <w:pPr>
              <w:ind w:left="100"/>
              <w:spacing w:after="0"/>
              <w:rPr>
                <w:sz w:val="20"/>
                <w:szCs w:val="20"/>
                <w:color w:val="auto"/>
              </w:rPr>
            </w:pPr>
            <w:r>
              <w:rPr>
                <w:rFonts w:ascii="Arial" w:cs="Arial" w:eastAsia="Arial" w:hAnsi="Arial"/>
                <w:sz w:val="14"/>
                <w:szCs w:val="14"/>
                <w:color w:val="auto"/>
              </w:rPr>
              <w:t>Non-Voting common stock dividends declared</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100"/>
              <w:spacing w:after="0"/>
              <w:rPr>
                <w:sz w:val="20"/>
                <w:szCs w:val="20"/>
                <w:color w:val="auto"/>
              </w:rPr>
            </w:pPr>
            <w:r>
              <w:rPr>
                <w:rFonts w:ascii="Arial" w:cs="Arial" w:eastAsia="Arial" w:hAnsi="Arial"/>
                <w:sz w:val="14"/>
                <w:szCs w:val="14"/>
                <w:color w:val="auto"/>
              </w:rPr>
              <w:t>($0.09 per share)</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(124 )</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(124 )</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Warrant dividends declared ($0.09 per share)</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(11 )</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June 30, 2023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52,645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72,664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(11,370 )</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(225 )</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654</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$ 114,429</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March 31, 2022</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46</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FF0FC"/>
          </w:tcPr>
          <w:p>
            <w:pPr>
              <w:ind w:left="14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51,151</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63,352</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(5,058 )</w:t>
            </w:r>
          </w:p>
        </w:tc>
        <w:tc>
          <w:tcPr>
            <w:tcW w:w="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(450 )</w:t>
            </w:r>
          </w:p>
        </w:tc>
        <w:tc>
          <w:tcPr>
            <w:tcW w:w="200" w:type="dxa"/>
            <w:vAlign w:val="bottom"/>
            <w:shd w:val="clear" w:color="auto" w:fill="CFF0FC"/>
          </w:tcPr>
          <w:p>
            <w:pPr>
              <w:ind w:lef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391</w:t>
            </w: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$ 109,446</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3,272</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3,288</w:t>
            </w:r>
          </w:p>
        </w:tc>
        <w:tc>
          <w:tcPr>
            <w:tcW w:w="0" w:type="dxa"/>
            <w:vAlign w:val="bottom"/>
          </w:tcPr>
          <w:p>
            <w:pPr>
              <w:spacing w:after="0"/>
              <w:rPr>
                <w:sz w:val="1"/>
                <w:szCs w:val="1"/>
                <w:color w:val="auto"/>
              </w:rPr>
            </w:pPr>
          </w:p>
        </w:tc>
      </w:tr>
      <w:tr>
        <w:trPr>
          <w:trHeight w:val="231"/>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Other comprehensive loss, net of tax</w:t>
            </w: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8"/>
              <w:spacing w:after="0" w:line="231" w:lineRule="exact"/>
              <w:rPr>
                <w:sz w:val="20"/>
                <w:szCs w:val="20"/>
                <w:color w:val="auto"/>
              </w:rPr>
            </w:pPr>
            <w:r>
              <w:rPr>
                <w:rFonts w:ascii="Arial" w:cs="Arial" w:eastAsia="Arial" w:hAnsi="Arial"/>
                <w:sz w:val="14"/>
                <w:szCs w:val="14"/>
                <w:color w:val="auto"/>
              </w:rPr>
              <w:t xml:space="preserve">(4,341 </w:t>
            </w:r>
            <w:r>
              <w:rPr>
                <w:rFonts w:ascii="Arial" w:cs="Arial" w:eastAsia="Arial" w:hAnsi="Arial"/>
                <w:sz w:val="26"/>
                <w:szCs w:val="26"/>
                <w:color w:val="auto"/>
                <w:vertAlign w:val="superscript"/>
              </w:rPr>
              <w:t>)</w:t>
            </w: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line="231" w:lineRule="exact"/>
              <w:rPr>
                <w:sz w:val="20"/>
                <w:szCs w:val="20"/>
                <w:color w:val="auto"/>
              </w:rPr>
            </w:pPr>
            <w:r>
              <w:rPr>
                <w:rFonts w:ascii="Arial" w:cs="Arial" w:eastAsia="Arial" w:hAnsi="Arial"/>
                <w:sz w:val="14"/>
                <w:szCs w:val="14"/>
                <w:color w:val="auto"/>
              </w:rPr>
              <w:t xml:space="preserve">(4,341 </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ESOP shares earned (6,111 shares)</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2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45</w:t>
            </w:r>
          </w:p>
        </w:tc>
        <w:tc>
          <w:tcPr>
            <w:tcW w:w="20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Stock based compensation</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46</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Stock options exercised</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114</w:t>
            </w:r>
          </w:p>
        </w:tc>
        <w:tc>
          <w:tcPr>
            <w:tcW w:w="2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Common stock dividends declared ($0.09 per share)</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(411 )</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(411 )</w:t>
            </w:r>
          </w:p>
        </w:tc>
        <w:tc>
          <w:tcPr>
            <w:tcW w:w="0" w:type="dxa"/>
            <w:vAlign w:val="bottom"/>
          </w:tcPr>
          <w:p>
            <w:pPr>
              <w:spacing w:after="0"/>
              <w:rPr>
                <w:sz w:val="1"/>
                <w:szCs w:val="1"/>
                <w:color w:val="auto"/>
              </w:rPr>
            </w:pPr>
          </w:p>
        </w:tc>
      </w:tr>
      <w:tr>
        <w:trPr>
          <w:trHeight w:val="172"/>
        </w:trPr>
        <w:tc>
          <w:tcPr>
            <w:tcW w:w="3560" w:type="dxa"/>
            <w:vAlign w:val="bottom"/>
          </w:tcPr>
          <w:p>
            <w:pPr>
              <w:ind w:left="100"/>
              <w:spacing w:after="0"/>
              <w:rPr>
                <w:sz w:val="20"/>
                <w:szCs w:val="20"/>
                <w:color w:val="auto"/>
              </w:rPr>
            </w:pPr>
            <w:r>
              <w:rPr>
                <w:rFonts w:ascii="Arial" w:cs="Arial" w:eastAsia="Arial" w:hAnsi="Arial"/>
                <w:sz w:val="14"/>
                <w:szCs w:val="14"/>
                <w:color w:val="auto"/>
              </w:rPr>
              <w:t>Non-Voting common stock dividends declared</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100"/>
              <w:spacing w:after="0"/>
              <w:rPr>
                <w:sz w:val="20"/>
                <w:szCs w:val="20"/>
                <w:color w:val="auto"/>
              </w:rPr>
            </w:pPr>
            <w:r>
              <w:rPr>
                <w:rFonts w:ascii="Arial" w:cs="Arial" w:eastAsia="Arial" w:hAnsi="Arial"/>
                <w:sz w:val="14"/>
                <w:szCs w:val="14"/>
                <w:color w:val="auto"/>
              </w:rPr>
              <w:t>($0.09 per share)</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(124 )</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(124 )</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Warrant dividends declared ($0.09 per share)</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(12 )</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51,388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66,077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(9,399 )</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(405 )</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407</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$ 108,128</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6</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13" w:right="680" w:bottom="1440" w:gutter="0" w:footer="0" w:header="0"/>
        </w:sectPr>
      </w:pPr>
    </w:p>
    <w:bookmarkStart w:id="6" w:name="page7"/>
    <w:bookmarkEnd w:id="6"/>
    <w:p>
      <w:pPr>
        <w:jc w:val="center"/>
        <w:ind w:right="80"/>
        <w:spacing w:after="0"/>
        <w:rPr>
          <w:sz w:val="20"/>
          <w:szCs w:val="20"/>
          <w:color w:val="auto"/>
        </w:rPr>
      </w:pPr>
      <w:r>
        <w:rPr>
          <w:rFonts w:ascii="Arial" w:cs="Arial" w:eastAsia="Arial" w:hAnsi="Arial"/>
          <w:sz w:val="18"/>
          <w:szCs w:val="18"/>
          <w:b w:val="1"/>
          <w:bCs w:val="1"/>
          <w:color w:val="auto"/>
        </w:rPr>
        <w:t>Pathfinder Bancorp, Inc.</w:t>
      </w:r>
    </w:p>
    <w:p>
      <w:pPr>
        <w:spacing w:after="0" w:line="4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3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Six months ended June 30, 2023 and June 30, 2022</w:t>
      </w:r>
    </w:p>
    <w:p>
      <w:pPr>
        <w:spacing w:after="0" w:line="3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gridSpan w:val="2"/>
          </w:tcPr>
          <w:p>
            <w:pPr>
              <w:jc w:val="center"/>
              <w:ind w:right="8"/>
              <w:spacing w:after="0"/>
              <w:rPr>
                <w:sz w:val="20"/>
                <w:szCs w:val="20"/>
                <w:color w:val="auto"/>
              </w:rPr>
            </w:pPr>
            <w:r>
              <w:rPr>
                <w:rFonts w:ascii="Arial" w:cs="Arial" w:eastAsia="Arial" w:hAnsi="Arial"/>
                <w:sz w:val="14"/>
                <w:szCs w:val="14"/>
                <w:color w:val="auto"/>
              </w:rPr>
              <w:t>Accumul</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center"/>
              <w:ind w:right="168"/>
              <w:spacing w:after="0"/>
              <w:rPr>
                <w:sz w:val="20"/>
                <w:szCs w:val="20"/>
                <w:color w:val="auto"/>
              </w:rPr>
            </w:pPr>
            <w:r>
              <w:rPr>
                <w:rFonts w:ascii="Arial" w:cs="Arial" w:eastAsia="Arial" w:hAnsi="Arial"/>
                <w:sz w:val="14"/>
                <w:szCs w:val="14"/>
                <w:color w:val="auto"/>
              </w:rPr>
              <w:t>ated</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center"/>
              <w:ind w:right="148"/>
              <w:spacing w:after="0"/>
              <w:rPr>
                <w:sz w:val="20"/>
                <w:szCs w:val="20"/>
                <w:color w:val="auto"/>
              </w:rPr>
            </w:pPr>
            <w:r>
              <w:rPr>
                <w:rFonts w:ascii="Arial" w:cs="Arial" w:eastAsia="Arial" w:hAnsi="Arial"/>
                <w:sz w:val="14"/>
                <w:szCs w:val="14"/>
                <w:color w:val="auto"/>
              </w:rPr>
              <w:t>Non-</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center"/>
              <w:ind w:right="168"/>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center"/>
              <w:ind w:right="148"/>
              <w:spacing w:after="0"/>
              <w:rPr>
                <w:sz w:val="20"/>
                <w:szCs w:val="20"/>
                <w:color w:val="auto"/>
              </w:rPr>
            </w:pPr>
            <w:r>
              <w:rPr>
                <w:rFonts w:ascii="Arial" w:cs="Arial" w:eastAsia="Arial" w:hAnsi="Arial"/>
                <w:sz w:val="14"/>
                <w:szCs w:val="14"/>
                <w:color w:val="auto"/>
              </w:rPr>
              <w:t>Voting</w:t>
            </w:r>
          </w:p>
        </w:tc>
        <w:tc>
          <w:tcPr>
            <w:tcW w:w="900" w:type="dxa"/>
            <w:vAlign w:val="bottom"/>
            <w:gridSpan w:val="2"/>
          </w:tcPr>
          <w:p>
            <w:pPr>
              <w:ind w:left="140"/>
              <w:spacing w:after="0"/>
              <w:rPr>
                <w:sz w:val="20"/>
                <w:szCs w:val="20"/>
                <w:color w:val="auto"/>
              </w:rPr>
            </w:pPr>
            <w:r>
              <w:rPr>
                <w:rFonts w:ascii="Arial" w:cs="Arial" w:eastAsia="Arial" w:hAnsi="Arial"/>
                <w:sz w:val="14"/>
                <w:szCs w:val="14"/>
                <w:color w:val="auto"/>
              </w:rPr>
              <w:t>Additional</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gridSpan w:val="2"/>
          </w:tcPr>
          <w:p>
            <w:pPr>
              <w:jc w:val="center"/>
              <w:ind w:right="8"/>
              <w:spacing w:after="0"/>
              <w:rPr>
                <w:sz w:val="20"/>
                <w:szCs w:val="20"/>
                <w:color w:val="auto"/>
              </w:rPr>
            </w:pPr>
            <w:r>
              <w:rPr>
                <w:rFonts w:ascii="Arial" w:cs="Arial" w:eastAsia="Arial" w:hAnsi="Arial"/>
                <w:sz w:val="14"/>
                <w:szCs w:val="14"/>
                <w:color w:val="auto"/>
              </w:rPr>
              <w:t>Compreh</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Non-</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Common</w:t>
            </w: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rPr>
              <w:t>Common</w:t>
            </w:r>
          </w:p>
        </w:tc>
        <w:tc>
          <w:tcPr>
            <w:tcW w:w="2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4"/>
                <w:szCs w:val="14"/>
                <w:color w:val="auto"/>
              </w:rPr>
              <w:t>Paid in</w:t>
            </w:r>
          </w:p>
        </w:tc>
        <w:tc>
          <w:tcPr>
            <w:tcW w:w="940" w:type="dxa"/>
            <w:vAlign w:val="bottom"/>
            <w:gridSpan w:val="2"/>
          </w:tcPr>
          <w:p>
            <w:pPr>
              <w:jc w:val="right"/>
              <w:ind w:right="128"/>
              <w:spacing w:after="0"/>
              <w:rPr>
                <w:sz w:val="20"/>
                <w:szCs w:val="20"/>
                <w:color w:val="auto"/>
              </w:rPr>
            </w:pPr>
            <w:r>
              <w:rPr>
                <w:rFonts w:ascii="Arial" w:cs="Arial" w:eastAsia="Arial" w:hAnsi="Arial"/>
                <w:sz w:val="14"/>
                <w:szCs w:val="14"/>
                <w:color w:val="auto"/>
              </w:rPr>
              <w:t>Retained</w:t>
            </w:r>
          </w:p>
        </w:tc>
        <w:tc>
          <w:tcPr>
            <w:tcW w:w="180" w:type="dxa"/>
            <w:vAlign w:val="bottom"/>
          </w:tcPr>
          <w:p>
            <w:pPr>
              <w:spacing w:after="0"/>
              <w:rPr>
                <w:sz w:val="14"/>
                <w:szCs w:val="14"/>
                <w:color w:val="auto"/>
              </w:rPr>
            </w:pPr>
          </w:p>
        </w:tc>
        <w:tc>
          <w:tcPr>
            <w:tcW w:w="680" w:type="dxa"/>
            <w:vAlign w:val="bottom"/>
          </w:tcPr>
          <w:p>
            <w:pPr>
              <w:jc w:val="center"/>
              <w:ind w:right="188"/>
              <w:spacing w:after="0"/>
              <w:rPr>
                <w:sz w:val="20"/>
                <w:szCs w:val="20"/>
                <w:color w:val="auto"/>
              </w:rPr>
            </w:pPr>
            <w:r>
              <w:rPr>
                <w:rFonts w:ascii="Arial" w:cs="Arial" w:eastAsia="Arial" w:hAnsi="Arial"/>
                <w:sz w:val="14"/>
                <w:szCs w:val="14"/>
                <w:color w:val="auto"/>
              </w:rPr>
              <w:t>ensive</w:t>
            </w:r>
          </w:p>
        </w:tc>
        <w:tc>
          <w:tcPr>
            <w:tcW w:w="840" w:type="dxa"/>
            <w:vAlign w:val="bottom"/>
            <w:gridSpan w:val="2"/>
          </w:tcPr>
          <w:p>
            <w:pPr>
              <w:jc w:val="right"/>
              <w:ind w:right="108"/>
              <w:spacing w:after="0"/>
              <w:rPr>
                <w:sz w:val="20"/>
                <w:szCs w:val="20"/>
                <w:color w:val="auto"/>
              </w:rPr>
            </w:pPr>
            <w:r>
              <w:rPr>
                <w:rFonts w:ascii="Arial" w:cs="Arial" w:eastAsia="Arial" w:hAnsi="Arial"/>
                <w:sz w:val="14"/>
                <w:szCs w:val="14"/>
                <w:color w:val="auto"/>
              </w:rPr>
              <w:t>Unearne</w:t>
            </w:r>
          </w:p>
        </w:tc>
        <w:tc>
          <w:tcPr>
            <w:tcW w:w="820" w:type="dxa"/>
            <w:vAlign w:val="bottom"/>
            <w:gridSpan w:val="2"/>
          </w:tcPr>
          <w:p>
            <w:pPr>
              <w:jc w:val="right"/>
              <w:ind w:right="68"/>
              <w:spacing w:after="0"/>
              <w:rPr>
                <w:sz w:val="20"/>
                <w:szCs w:val="20"/>
                <w:color w:val="auto"/>
              </w:rPr>
            </w:pPr>
            <w:r>
              <w:rPr>
                <w:rFonts w:ascii="Arial" w:cs="Arial" w:eastAsia="Arial" w:hAnsi="Arial"/>
                <w:sz w:val="14"/>
                <w:szCs w:val="14"/>
                <w:color w:val="auto"/>
              </w:rPr>
              <w:t>controllin</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ind w:right="188"/>
              <w:spacing w:after="0"/>
              <w:rPr>
                <w:sz w:val="20"/>
                <w:szCs w:val="20"/>
                <w:color w:val="auto"/>
              </w:rPr>
            </w:pPr>
            <w:r>
              <w:rPr>
                <w:rFonts w:ascii="Arial" w:cs="Arial" w:eastAsia="Arial" w:hAnsi="Arial"/>
                <w:sz w:val="14"/>
                <w:szCs w:val="14"/>
                <w:color w:val="auto"/>
              </w:rPr>
              <w:t>Stock</w:t>
            </w:r>
          </w:p>
        </w:tc>
        <w:tc>
          <w:tcPr>
            <w:tcW w:w="240" w:type="dxa"/>
            <w:vAlign w:val="bottom"/>
          </w:tcPr>
          <w:p>
            <w:pPr>
              <w:spacing w:after="0"/>
              <w:rPr>
                <w:sz w:val="16"/>
                <w:szCs w:val="16"/>
                <w:color w:val="auto"/>
              </w:rPr>
            </w:pPr>
          </w:p>
        </w:tc>
        <w:tc>
          <w:tcPr>
            <w:tcW w:w="660" w:type="dxa"/>
            <w:vAlign w:val="bottom"/>
          </w:tcPr>
          <w:p>
            <w:pPr>
              <w:jc w:val="center"/>
              <w:ind w:right="148"/>
              <w:spacing w:after="0"/>
              <w:rPr>
                <w:sz w:val="20"/>
                <w:szCs w:val="20"/>
                <w:color w:val="auto"/>
              </w:rPr>
            </w:pPr>
            <w:r>
              <w:rPr>
                <w:rFonts w:ascii="Arial" w:cs="Arial" w:eastAsia="Arial" w:hAnsi="Arial"/>
                <w:sz w:val="14"/>
                <w:szCs w:val="14"/>
                <w:color w:val="auto"/>
              </w:rPr>
              <w:t>Stock</w:t>
            </w:r>
          </w:p>
        </w:tc>
        <w:tc>
          <w:tcPr>
            <w:tcW w:w="220" w:type="dxa"/>
            <w:vAlign w:val="bottom"/>
          </w:tcPr>
          <w:p>
            <w:pPr>
              <w:spacing w:after="0"/>
              <w:rPr>
                <w:sz w:val="16"/>
                <w:szCs w:val="16"/>
                <w:color w:val="auto"/>
              </w:rPr>
            </w:pPr>
          </w:p>
        </w:tc>
        <w:tc>
          <w:tcPr>
            <w:tcW w:w="680" w:type="dxa"/>
            <w:vAlign w:val="bottom"/>
          </w:tcPr>
          <w:p>
            <w:pPr>
              <w:ind w:left="20"/>
              <w:spacing w:after="0"/>
              <w:rPr>
                <w:sz w:val="20"/>
                <w:szCs w:val="20"/>
                <w:color w:val="auto"/>
              </w:rPr>
            </w:pPr>
            <w:r>
              <w:rPr>
                <w:rFonts w:ascii="Arial" w:cs="Arial" w:eastAsia="Arial" w:hAnsi="Arial"/>
                <w:sz w:val="14"/>
                <w:szCs w:val="14"/>
                <w:color w:val="auto"/>
              </w:rPr>
              <w:t>Capital</w:t>
            </w:r>
          </w:p>
        </w:tc>
        <w:tc>
          <w:tcPr>
            <w:tcW w:w="940" w:type="dxa"/>
            <w:vAlign w:val="bottom"/>
            <w:gridSpan w:val="2"/>
          </w:tcPr>
          <w:p>
            <w:pPr>
              <w:jc w:val="right"/>
              <w:ind w:right="128"/>
              <w:spacing w:after="0"/>
              <w:rPr>
                <w:sz w:val="20"/>
                <w:szCs w:val="20"/>
                <w:color w:val="auto"/>
              </w:rPr>
            </w:pPr>
            <w:r>
              <w:rPr>
                <w:rFonts w:ascii="Arial" w:cs="Arial" w:eastAsia="Arial" w:hAnsi="Arial"/>
                <w:sz w:val="14"/>
                <w:szCs w:val="14"/>
                <w:color w:val="auto"/>
              </w:rPr>
              <w:t>Earnings</w:t>
            </w:r>
          </w:p>
        </w:tc>
        <w:tc>
          <w:tcPr>
            <w:tcW w:w="180" w:type="dxa"/>
            <w:vAlign w:val="bottom"/>
          </w:tcPr>
          <w:p>
            <w:pPr>
              <w:spacing w:after="0"/>
              <w:rPr>
                <w:sz w:val="16"/>
                <w:szCs w:val="16"/>
                <w:color w:val="auto"/>
              </w:rPr>
            </w:pPr>
          </w:p>
        </w:tc>
        <w:tc>
          <w:tcPr>
            <w:tcW w:w="680" w:type="dxa"/>
            <w:vAlign w:val="bottom"/>
          </w:tcPr>
          <w:p>
            <w:pPr>
              <w:jc w:val="center"/>
              <w:ind w:right="188"/>
              <w:spacing w:after="0"/>
              <w:rPr>
                <w:sz w:val="20"/>
                <w:szCs w:val="20"/>
                <w:color w:val="auto"/>
              </w:rPr>
            </w:pPr>
            <w:r>
              <w:rPr>
                <w:rFonts w:ascii="Arial" w:cs="Arial" w:eastAsia="Arial" w:hAnsi="Arial"/>
                <w:sz w:val="14"/>
                <w:szCs w:val="14"/>
                <w:color w:val="auto"/>
              </w:rPr>
              <w:t>Loss</w:t>
            </w:r>
          </w:p>
        </w:tc>
        <w:tc>
          <w:tcPr>
            <w:tcW w:w="840" w:type="dxa"/>
            <w:vAlign w:val="bottom"/>
            <w:gridSpan w:val="2"/>
          </w:tcPr>
          <w:p>
            <w:pPr>
              <w:jc w:val="right"/>
              <w:ind w:right="128"/>
              <w:spacing w:after="0"/>
              <w:rPr>
                <w:sz w:val="20"/>
                <w:szCs w:val="20"/>
                <w:color w:val="auto"/>
              </w:rPr>
            </w:pPr>
            <w:r>
              <w:rPr>
                <w:rFonts w:ascii="Arial" w:cs="Arial" w:eastAsia="Arial" w:hAnsi="Arial"/>
                <w:sz w:val="14"/>
                <w:szCs w:val="14"/>
                <w:color w:val="auto"/>
              </w:rPr>
              <w:t>d ESOP</w:t>
            </w:r>
          </w:p>
        </w:tc>
        <w:tc>
          <w:tcPr>
            <w:tcW w:w="820" w:type="dxa"/>
            <w:vAlign w:val="bottom"/>
            <w:gridSpan w:val="2"/>
          </w:tcPr>
          <w:p>
            <w:pPr>
              <w:ind w:left="100"/>
              <w:spacing w:after="0"/>
              <w:rPr>
                <w:sz w:val="20"/>
                <w:szCs w:val="20"/>
                <w:color w:val="auto"/>
              </w:rPr>
            </w:pPr>
            <w:r>
              <w:rPr>
                <w:rFonts w:ascii="Arial" w:cs="Arial" w:eastAsia="Arial" w:hAnsi="Arial"/>
                <w:sz w:val="14"/>
                <w:szCs w:val="14"/>
                <w:color w:val="auto"/>
              </w:rPr>
              <w:t>g Interest</w:t>
            </w: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January 1, 2023</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47</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FF0FC"/>
          </w:tcPr>
          <w:p>
            <w:pPr>
              <w:ind w:left="14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52,101</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71,322</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(12,172 )</w:t>
            </w:r>
          </w:p>
        </w:tc>
        <w:tc>
          <w:tcPr>
            <w:tcW w:w="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(315 )</w:t>
            </w:r>
          </w:p>
        </w:tc>
        <w:tc>
          <w:tcPr>
            <w:tcW w:w="200" w:type="dxa"/>
            <w:vAlign w:val="bottom"/>
            <w:shd w:val="clear" w:color="auto" w:fill="CFF0FC"/>
          </w:tcPr>
          <w:p>
            <w:pPr>
              <w:ind w:lef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585</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$ 111,582</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4,581</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4,650</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Other comprehensive income, net of tax</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802</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ESOP shares earned (12,221 shares)</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2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90</w:t>
            </w:r>
          </w:p>
        </w:tc>
        <w:tc>
          <w:tcPr>
            <w:tcW w:w="2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Stock based compensation</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64</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Stock options exercised</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368</w:t>
            </w:r>
          </w:p>
        </w:tc>
        <w:tc>
          <w:tcPr>
            <w:tcW w:w="2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Common stock dividends declared ($0.18 per share)</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(834 )</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(834 )</w:t>
            </w:r>
          </w:p>
        </w:tc>
        <w:tc>
          <w:tcPr>
            <w:tcW w:w="0" w:type="dxa"/>
            <w:vAlign w:val="bottom"/>
          </w:tcPr>
          <w:p>
            <w:pPr>
              <w:spacing w:after="0"/>
              <w:rPr>
                <w:sz w:val="1"/>
                <w:szCs w:val="1"/>
                <w:color w:val="auto"/>
              </w:rPr>
            </w:pPr>
          </w:p>
        </w:tc>
      </w:tr>
      <w:tr>
        <w:trPr>
          <w:trHeight w:val="172"/>
        </w:trPr>
        <w:tc>
          <w:tcPr>
            <w:tcW w:w="3560" w:type="dxa"/>
            <w:vAlign w:val="bottom"/>
          </w:tcPr>
          <w:p>
            <w:pPr>
              <w:ind w:left="100"/>
              <w:spacing w:after="0"/>
              <w:rPr>
                <w:sz w:val="20"/>
                <w:szCs w:val="20"/>
                <w:color w:val="auto"/>
              </w:rPr>
            </w:pPr>
            <w:r>
              <w:rPr>
                <w:rFonts w:ascii="Arial" w:cs="Arial" w:eastAsia="Arial" w:hAnsi="Arial"/>
                <w:sz w:val="14"/>
                <w:szCs w:val="14"/>
                <w:color w:val="auto"/>
              </w:rPr>
              <w:t>Non-Voting common stock dividends declared</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100"/>
              <w:spacing w:after="0"/>
              <w:rPr>
                <w:sz w:val="20"/>
                <w:szCs w:val="20"/>
                <w:color w:val="auto"/>
              </w:rPr>
            </w:pPr>
            <w:r>
              <w:rPr>
                <w:rFonts w:ascii="Arial" w:cs="Arial" w:eastAsia="Arial" w:hAnsi="Arial"/>
                <w:sz w:val="14"/>
                <w:szCs w:val="14"/>
                <w:color w:val="auto"/>
              </w:rPr>
              <w:t>($0.18 per share)</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(248 )</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(248 )</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Warrant dividends declared ($0.18 per share)</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(23 )</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172"/>
        </w:trPr>
        <w:tc>
          <w:tcPr>
            <w:tcW w:w="3560" w:type="dxa"/>
            <w:vAlign w:val="bottom"/>
          </w:tcPr>
          <w:p>
            <w:pPr>
              <w:ind w:left="100"/>
              <w:spacing w:after="0"/>
              <w:rPr>
                <w:sz w:val="20"/>
                <w:szCs w:val="20"/>
                <w:color w:val="auto"/>
              </w:rPr>
            </w:pPr>
            <w:r>
              <w:rPr>
                <w:rFonts w:ascii="Arial" w:cs="Arial" w:eastAsia="Arial" w:hAnsi="Arial"/>
                <w:sz w:val="14"/>
                <w:szCs w:val="14"/>
                <w:color w:val="auto"/>
              </w:rPr>
              <w:t>Adoption of ASU 2016-13 Current Expected Credit</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100"/>
              <w:spacing w:after="0"/>
              <w:rPr>
                <w:sz w:val="20"/>
                <w:szCs w:val="20"/>
                <w:color w:val="auto"/>
              </w:rPr>
            </w:pPr>
            <w:r>
              <w:rPr>
                <w:rFonts w:ascii="Arial" w:cs="Arial" w:eastAsia="Arial" w:hAnsi="Arial"/>
                <w:sz w:val="14"/>
                <w:szCs w:val="14"/>
                <w:color w:val="auto"/>
              </w:rPr>
              <w:t>Losses</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(2,134 )</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(2,134 )</w:t>
            </w:r>
          </w:p>
        </w:tc>
        <w:tc>
          <w:tcPr>
            <w:tcW w:w="0" w:type="dxa"/>
            <w:vAlign w:val="bottom"/>
          </w:tcPr>
          <w:p>
            <w:pPr>
              <w:spacing w:after="0"/>
              <w:rPr>
                <w:sz w:val="1"/>
                <w:szCs w:val="1"/>
                <w:color w:val="auto"/>
              </w:rPr>
            </w:pPr>
          </w:p>
        </w:tc>
      </w:tr>
      <w:tr>
        <w:trPr>
          <w:trHeight w:val="235"/>
        </w:trPr>
        <w:tc>
          <w:tcPr>
            <w:tcW w:w="35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June 30, 2023</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52,645</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72,664</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(11,370 )</w:t>
            </w:r>
          </w:p>
        </w:tc>
        <w:tc>
          <w:tcPr>
            <w:tcW w:w="2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(225 )</w:t>
            </w:r>
          </w:p>
        </w:tc>
        <w:tc>
          <w:tcPr>
            <w:tcW w:w="20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654</w:t>
            </w:r>
          </w:p>
        </w:tc>
        <w:tc>
          <w:tcPr>
            <w:tcW w:w="8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$ 114,429</w:t>
            </w:r>
          </w:p>
        </w:tc>
        <w:tc>
          <w:tcPr>
            <w:tcW w:w="0" w:type="dxa"/>
            <w:vAlign w:val="bottom"/>
          </w:tcPr>
          <w:p>
            <w:pPr>
              <w:spacing w:after="0"/>
              <w:rPr>
                <w:sz w:val="1"/>
                <w:szCs w:val="1"/>
                <w:color w:val="auto"/>
              </w:rPr>
            </w:pPr>
          </w:p>
        </w:tc>
      </w:tr>
      <w:tr>
        <w:trPr>
          <w:trHeight w:val="360"/>
        </w:trPr>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Balance, January 1, 2022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220" w:type="dxa"/>
            <w:vAlign w:val="bottom"/>
          </w:tcPr>
          <w:p>
            <w:pPr>
              <w:ind w:left="14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51,044</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60,946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(1,268 )</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(495 )</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346</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$ 110,633</w:t>
            </w:r>
          </w:p>
        </w:tc>
        <w:tc>
          <w:tcPr>
            <w:tcW w:w="0" w:type="dxa"/>
            <w:vAlign w:val="bottom"/>
          </w:tcPr>
          <w:p>
            <w:pPr>
              <w:spacing w:after="0"/>
              <w:rPr>
                <w:sz w:val="1"/>
                <w:szCs w:val="1"/>
                <w:color w:val="auto"/>
              </w:rPr>
            </w:pPr>
          </w:p>
        </w:tc>
      </w:tr>
      <w:tr>
        <w:trPr>
          <w:trHeight w:val="192"/>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Net income</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6,222</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61</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6,283</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Other comprehensive loss, net of tax</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(8,131 )</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(8,131 )</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ESOP shares earned (12,221 shares)</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140</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90</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Stock based compensation</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28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9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Stock options exercised</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114</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Common stock dividends declared ($0.18 per share)</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(820 )</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(820 )</w:t>
            </w:r>
          </w:p>
        </w:tc>
        <w:tc>
          <w:tcPr>
            <w:tcW w:w="0" w:type="dxa"/>
            <w:vAlign w:val="bottom"/>
          </w:tcPr>
          <w:p>
            <w:pPr>
              <w:spacing w:after="0"/>
              <w:rPr>
                <w:sz w:val="1"/>
                <w:szCs w:val="1"/>
                <w:color w:val="auto"/>
              </w:rPr>
            </w:pPr>
          </w:p>
        </w:tc>
      </w:tr>
      <w:tr>
        <w:trPr>
          <w:trHeight w:val="175"/>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Non-Voting common stock dividends declared</w:t>
            </w: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($0.18 per share)</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(248 )</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(248 )</w:t>
            </w:r>
          </w:p>
        </w:tc>
        <w:tc>
          <w:tcPr>
            <w:tcW w:w="0" w:type="dxa"/>
            <w:vAlign w:val="bottom"/>
          </w:tcPr>
          <w:p>
            <w:pPr>
              <w:spacing w:after="0"/>
              <w:rPr>
                <w:sz w:val="1"/>
                <w:szCs w:val="1"/>
                <w:color w:val="auto"/>
              </w:rPr>
            </w:pPr>
          </w:p>
        </w:tc>
      </w:tr>
      <w:tr>
        <w:trPr>
          <w:trHeight w:val="189"/>
        </w:trPr>
        <w:tc>
          <w:tcPr>
            <w:tcW w:w="3560" w:type="dxa"/>
            <w:vAlign w:val="bottom"/>
          </w:tcPr>
          <w:p>
            <w:pPr>
              <w:ind w:left="100"/>
              <w:spacing w:after="0"/>
              <w:rPr>
                <w:sz w:val="20"/>
                <w:szCs w:val="20"/>
                <w:color w:val="auto"/>
              </w:rPr>
            </w:pPr>
            <w:r>
              <w:rPr>
                <w:rFonts w:ascii="Arial" w:cs="Arial" w:eastAsia="Arial" w:hAnsi="Arial"/>
                <w:sz w:val="14"/>
                <w:szCs w:val="14"/>
                <w:color w:val="auto"/>
              </w:rPr>
              <w:t>Warrant dividends declared ($0.18 per share)</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(23 )</w:t>
            </w:r>
          </w:p>
        </w:tc>
        <w:tc>
          <w:tcPr>
            <w:tcW w:w="1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163"/>
        </w:trPr>
        <w:tc>
          <w:tcPr>
            <w:tcW w:w="3560" w:type="dxa"/>
            <w:vAlign w:val="bottom"/>
            <w:vMerge w:val="restart"/>
            <w:shd w:val="clear" w:color="auto" w:fill="CFF0FC"/>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ind w:left="14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ind w:lef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8"/>
        </w:trPr>
        <w:tc>
          <w:tcPr>
            <w:tcW w:w="35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46</w:t>
            </w: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51,388</w:t>
            </w:r>
          </w:p>
        </w:tc>
        <w:tc>
          <w:tcPr>
            <w:tcW w:w="2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66,077</w:t>
            </w: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(9,399</w:t>
            </w:r>
          </w:p>
        </w:tc>
        <w:tc>
          <w:tcPr>
            <w:tcW w:w="2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(405</w:t>
            </w:r>
          </w:p>
        </w:tc>
        <w:tc>
          <w:tcPr>
            <w:tcW w:w="2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407</w:t>
            </w:r>
          </w:p>
        </w:tc>
        <w:tc>
          <w:tcPr>
            <w:tcW w:w="8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108,128</w:t>
            </w: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6"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7</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13" w:right="68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6"/>
          <w:szCs w:val="16"/>
          <w:b w:val="1"/>
          <w:bCs w:val="1"/>
          <w:color w:val="auto"/>
        </w:rPr>
        <w:t>Pathfinder Bancorp,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00" w:type="dxa"/>
            <w:vAlign w:val="bottom"/>
            <w:gridSpan w:val="3"/>
          </w:tcPr>
          <w:p>
            <w:pPr>
              <w:jc w:val="right"/>
              <w:ind w:right="442"/>
              <w:spacing w:after="0"/>
              <w:rPr>
                <w:sz w:val="20"/>
                <w:szCs w:val="20"/>
                <w:color w:val="auto"/>
              </w:rPr>
            </w:pPr>
            <w:r>
              <w:rPr>
                <w:rFonts w:ascii="Arial" w:cs="Arial" w:eastAsia="Arial" w:hAnsi="Arial"/>
                <w:sz w:val="16"/>
                <w:szCs w:val="16"/>
                <w:color w:val="auto"/>
              </w:rPr>
              <w:t>For the six months ended June 30,</w:t>
            </w:r>
          </w:p>
        </w:tc>
      </w:tr>
      <w:tr>
        <w:trPr>
          <w:trHeight w:val="205"/>
        </w:trPr>
        <w:tc>
          <w:tcPr>
            <w:tcW w:w="63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120" w:type="dxa"/>
            <w:vAlign w:val="bottom"/>
          </w:tcPr>
          <w:p>
            <w:pPr>
              <w:spacing w:after="0"/>
              <w:rPr>
                <w:sz w:val="17"/>
                <w:szCs w:val="17"/>
                <w:color w:val="auto"/>
              </w:rPr>
            </w:pPr>
          </w:p>
        </w:tc>
        <w:tc>
          <w:tcPr>
            <w:tcW w:w="1420" w:type="dxa"/>
            <w:vAlign w:val="bottom"/>
          </w:tcPr>
          <w:p>
            <w:pPr>
              <w:jc w:val="right"/>
              <w:ind w:right="102"/>
              <w:spacing w:after="0"/>
              <w:rPr>
                <w:sz w:val="20"/>
                <w:szCs w:val="20"/>
                <w:color w:val="auto"/>
              </w:rPr>
            </w:pPr>
            <w:r>
              <w:rPr>
                <w:rFonts w:ascii="Arial" w:cs="Arial" w:eastAsia="Arial" w:hAnsi="Arial"/>
                <w:sz w:val="16"/>
                <w:szCs w:val="16"/>
                <w:color w:val="auto"/>
              </w:rPr>
              <w:t>2023</w:t>
            </w:r>
          </w:p>
        </w:tc>
        <w:tc>
          <w:tcPr>
            <w:tcW w:w="62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2022</w:t>
            </w:r>
          </w:p>
        </w:tc>
      </w:tr>
      <w:tr>
        <w:trPr>
          <w:trHeight w:val="205"/>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03"/>
        </w:trPr>
        <w:tc>
          <w:tcPr>
            <w:tcW w:w="6340" w:type="dxa"/>
            <w:vAlign w:val="bottom"/>
          </w:tcPr>
          <w:p>
            <w:pPr>
              <w:ind w:left="20"/>
              <w:spacing w:after="0"/>
              <w:rPr>
                <w:sz w:val="20"/>
                <w:szCs w:val="20"/>
                <w:color w:val="auto"/>
              </w:rPr>
            </w:pPr>
            <w:r>
              <w:rPr>
                <w:rFonts w:ascii="Arial" w:cs="Arial" w:eastAsia="Arial" w:hAnsi="Arial"/>
                <w:sz w:val="16"/>
                <w:szCs w:val="16"/>
                <w:color w:val="auto"/>
              </w:rPr>
              <w:t>Net income attributable to Pathfinder Bancorp, Inc.</w:t>
            </w: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02"/>
              <w:spacing w:after="0"/>
              <w:rPr>
                <w:sz w:val="20"/>
                <w:szCs w:val="20"/>
                <w:color w:val="auto"/>
              </w:rPr>
            </w:pPr>
            <w:r>
              <w:rPr>
                <w:rFonts w:ascii="Arial" w:cs="Arial" w:eastAsia="Arial" w:hAnsi="Arial"/>
                <w:sz w:val="16"/>
                <w:szCs w:val="16"/>
                <w:color w:val="auto"/>
              </w:rPr>
              <w:t>4,581</w:t>
            </w:r>
          </w:p>
        </w:tc>
        <w:tc>
          <w:tcPr>
            <w:tcW w:w="62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6,222</w:t>
            </w:r>
          </w:p>
        </w:tc>
      </w:tr>
      <w:tr>
        <w:trPr>
          <w:trHeight w:val="205"/>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1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03"/>
        </w:trPr>
        <w:tc>
          <w:tcPr>
            <w:tcW w:w="6340" w:type="dxa"/>
            <w:vAlign w:val="bottom"/>
          </w:tcPr>
          <w:p>
            <w:pPr>
              <w:ind w:left="180"/>
              <w:spacing w:after="0"/>
              <w:rPr>
                <w:sz w:val="20"/>
                <w:szCs w:val="20"/>
                <w:color w:val="auto"/>
              </w:rPr>
            </w:pPr>
            <w:r>
              <w:rPr>
                <w:rFonts w:ascii="Arial" w:cs="Arial" w:eastAsia="Arial" w:hAnsi="Arial"/>
                <w:sz w:val="16"/>
                <w:szCs w:val="16"/>
                <w:color w:val="auto"/>
              </w:rPr>
              <w:t>Provision for credit losses</w:t>
            </w:r>
          </w:p>
        </w:tc>
        <w:tc>
          <w:tcPr>
            <w:tcW w:w="1120" w:type="dxa"/>
            <w:vAlign w:val="bottom"/>
          </w:tcPr>
          <w:p>
            <w:pPr>
              <w:spacing w:after="0"/>
              <w:rPr>
                <w:sz w:val="17"/>
                <w:szCs w:val="17"/>
                <w:color w:val="auto"/>
              </w:rPr>
            </w:pPr>
          </w:p>
        </w:tc>
        <w:tc>
          <w:tcPr>
            <w:tcW w:w="1420" w:type="dxa"/>
            <w:vAlign w:val="bottom"/>
          </w:tcPr>
          <w:p>
            <w:pPr>
              <w:jc w:val="right"/>
              <w:ind w:right="102"/>
              <w:spacing w:after="0"/>
              <w:rPr>
                <w:sz w:val="20"/>
                <w:szCs w:val="20"/>
                <w:color w:val="auto"/>
              </w:rPr>
            </w:pPr>
            <w:r>
              <w:rPr>
                <w:rFonts w:ascii="Arial" w:cs="Arial" w:eastAsia="Arial" w:hAnsi="Arial"/>
                <w:sz w:val="16"/>
                <w:szCs w:val="16"/>
                <w:color w:val="auto"/>
              </w:rPr>
              <w:t>1,832</w:t>
            </w:r>
          </w:p>
        </w:tc>
        <w:tc>
          <w:tcPr>
            <w:tcW w:w="62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161</w:t>
            </w:r>
          </w:p>
        </w:tc>
      </w:tr>
      <w:tr>
        <w:trPr>
          <w:trHeight w:val="205"/>
        </w:trPr>
        <w:tc>
          <w:tcPr>
            <w:tcW w:w="63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Proceeds from sales of loans</w:t>
            </w:r>
          </w:p>
        </w:tc>
        <w:tc>
          <w:tcPr>
            <w:tcW w:w="1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2,798</w:t>
            </w: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1,787</w:t>
            </w:r>
          </w:p>
        </w:tc>
      </w:tr>
      <w:tr>
        <w:trPr>
          <w:trHeight w:val="203"/>
        </w:trPr>
        <w:tc>
          <w:tcPr>
            <w:tcW w:w="6340" w:type="dxa"/>
            <w:vAlign w:val="bottom"/>
          </w:tcPr>
          <w:p>
            <w:pPr>
              <w:ind w:left="180"/>
              <w:spacing w:after="0"/>
              <w:rPr>
                <w:sz w:val="20"/>
                <w:szCs w:val="20"/>
                <w:color w:val="auto"/>
              </w:rPr>
            </w:pPr>
            <w:r>
              <w:rPr>
                <w:rFonts w:ascii="Arial" w:cs="Arial" w:eastAsia="Arial" w:hAnsi="Arial"/>
                <w:sz w:val="16"/>
                <w:szCs w:val="16"/>
                <w:color w:val="auto"/>
              </w:rPr>
              <w:t>Originations of loans held-for-sale</w:t>
            </w:r>
          </w:p>
        </w:tc>
        <w:tc>
          <w:tcPr>
            <w:tcW w:w="112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(2,609)</w:t>
            </w: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(1,199)</w:t>
            </w:r>
          </w:p>
        </w:tc>
      </w:tr>
      <w:tr>
        <w:trPr>
          <w:trHeight w:val="205"/>
        </w:trPr>
        <w:tc>
          <w:tcPr>
            <w:tcW w:w="63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Realized (gains) losses on sales, redemptions and calls of:</w:t>
            </w:r>
          </w:p>
        </w:tc>
        <w:tc>
          <w:tcPr>
            <w:tcW w:w="1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03"/>
        </w:trPr>
        <w:tc>
          <w:tcPr>
            <w:tcW w:w="6340" w:type="dxa"/>
            <w:vAlign w:val="bottom"/>
          </w:tcPr>
          <w:p>
            <w:pPr>
              <w:ind w:left="340"/>
              <w:spacing w:after="0"/>
              <w:rPr>
                <w:sz w:val="20"/>
                <w:szCs w:val="20"/>
                <w:color w:val="auto"/>
              </w:rPr>
            </w:pPr>
            <w:r>
              <w:rPr>
                <w:rFonts w:ascii="Arial" w:cs="Arial" w:eastAsia="Arial" w:hAnsi="Arial"/>
                <w:sz w:val="16"/>
                <w:szCs w:val="16"/>
                <w:color w:val="auto"/>
              </w:rPr>
              <w:t>Real estate acquired through foreclosure</w:t>
            </w:r>
          </w:p>
        </w:tc>
        <w:tc>
          <w:tcPr>
            <w:tcW w:w="1120" w:type="dxa"/>
            <w:vAlign w:val="bottom"/>
          </w:tcPr>
          <w:p>
            <w:pPr>
              <w:spacing w:after="0"/>
              <w:rPr>
                <w:sz w:val="17"/>
                <w:szCs w:val="17"/>
                <w:color w:val="auto"/>
              </w:rPr>
            </w:pPr>
          </w:p>
        </w:tc>
        <w:tc>
          <w:tcPr>
            <w:tcW w:w="1420" w:type="dxa"/>
            <w:vAlign w:val="bottom"/>
          </w:tcPr>
          <w:p>
            <w:pPr>
              <w:jc w:val="right"/>
              <w:ind w:right="102"/>
              <w:spacing w:after="0"/>
              <w:rPr>
                <w:sz w:val="20"/>
                <w:szCs w:val="20"/>
                <w:color w:val="auto"/>
              </w:rPr>
            </w:pPr>
            <w:r>
              <w:rPr>
                <w:rFonts w:ascii="Arial" w:cs="Arial" w:eastAsia="Arial" w:hAnsi="Arial"/>
                <w:sz w:val="16"/>
                <w:szCs w:val="16"/>
                <w:color w:val="auto"/>
              </w:rPr>
              <w:t>28</w:t>
            </w:r>
          </w:p>
        </w:tc>
        <w:tc>
          <w:tcPr>
            <w:tcW w:w="62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89"/>
        </w:trPr>
        <w:tc>
          <w:tcPr>
            <w:tcW w:w="63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Loans</w:t>
            </w:r>
          </w:p>
        </w:tc>
        <w:tc>
          <w:tcPr>
            <w:tcW w:w="1120" w:type="dxa"/>
            <w:vAlign w:val="bottom"/>
            <w:shd w:val="clear" w:color="auto" w:fill="CFF0FC"/>
          </w:tcPr>
          <w:p>
            <w:pPr>
              <w:spacing w:after="0"/>
              <w:rPr>
                <w:sz w:val="24"/>
                <w:szCs w:val="24"/>
                <w:color w:val="auto"/>
              </w:rPr>
            </w:pPr>
          </w:p>
        </w:tc>
        <w:tc>
          <w:tcPr>
            <w:tcW w:w="1420" w:type="dxa"/>
            <w:vAlign w:val="bottom"/>
            <w:shd w:val="clear" w:color="auto" w:fill="CFF0FC"/>
          </w:tcPr>
          <w:p>
            <w:pPr>
              <w:jc w:val="right"/>
              <w:ind w:right="22"/>
              <w:spacing w:after="0" w:line="289" w:lineRule="exact"/>
              <w:rPr>
                <w:sz w:val="20"/>
                <w:szCs w:val="20"/>
                <w:color w:val="auto"/>
              </w:rPr>
            </w:pPr>
            <w:r>
              <w:rPr>
                <w:rFonts w:ascii="Arial" w:cs="Arial" w:eastAsia="Arial" w:hAnsi="Arial"/>
                <w:sz w:val="16"/>
                <w:szCs w:val="16"/>
                <w:color w:val="auto"/>
              </w:rPr>
              <w:t xml:space="preserve">(170 </w:t>
            </w:r>
            <w:r>
              <w:rPr>
                <w:rFonts w:ascii="Arial" w:cs="Arial" w:eastAsia="Arial" w:hAnsi="Arial"/>
                <w:sz w:val="31"/>
                <w:szCs w:val="31"/>
                <w:color w:val="auto"/>
                <w:vertAlign w:val="subscript"/>
              </w:rPr>
              <w:t>)</w:t>
            </w:r>
          </w:p>
        </w:tc>
        <w:tc>
          <w:tcPr>
            <w:tcW w:w="62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r>
      <w:tr>
        <w:trPr>
          <w:trHeight w:val="203"/>
        </w:trPr>
        <w:tc>
          <w:tcPr>
            <w:tcW w:w="6340" w:type="dxa"/>
            <w:vAlign w:val="bottom"/>
          </w:tcPr>
          <w:p>
            <w:pPr>
              <w:ind w:left="340"/>
              <w:spacing w:after="0"/>
              <w:rPr>
                <w:sz w:val="20"/>
                <w:szCs w:val="20"/>
                <w:color w:val="auto"/>
              </w:rPr>
            </w:pPr>
            <w:r>
              <w:rPr>
                <w:rFonts w:ascii="Arial" w:cs="Arial" w:eastAsia="Arial" w:hAnsi="Arial"/>
                <w:sz w:val="16"/>
                <w:szCs w:val="16"/>
                <w:color w:val="auto"/>
              </w:rPr>
              <w:t>Available-for-sale investment securities</w:t>
            </w:r>
          </w:p>
        </w:tc>
        <w:tc>
          <w:tcPr>
            <w:tcW w:w="112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(79)</w:t>
            </w: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05"/>
        </w:trPr>
        <w:tc>
          <w:tcPr>
            <w:tcW w:w="63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Held-to-maturity investment securities</w:t>
            </w:r>
          </w:p>
        </w:tc>
        <w:tc>
          <w:tcPr>
            <w:tcW w:w="1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6</w:t>
            </w: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(5 )</w:t>
            </w:r>
          </w:p>
        </w:tc>
      </w:tr>
      <w:tr>
        <w:trPr>
          <w:trHeight w:val="203"/>
        </w:trPr>
        <w:tc>
          <w:tcPr>
            <w:tcW w:w="6340" w:type="dxa"/>
            <w:vAlign w:val="bottom"/>
          </w:tcPr>
          <w:p>
            <w:pPr>
              <w:ind w:left="340"/>
              <w:spacing w:after="0"/>
              <w:rPr>
                <w:sz w:val="20"/>
                <w:szCs w:val="20"/>
                <w:color w:val="auto"/>
              </w:rPr>
            </w:pPr>
            <w:r>
              <w:rPr>
                <w:rFonts w:ascii="Arial" w:cs="Arial" w:eastAsia="Arial" w:hAnsi="Arial"/>
                <w:sz w:val="16"/>
                <w:szCs w:val="16"/>
                <w:color w:val="auto"/>
              </w:rPr>
              <w:t>Marketable securities</w:t>
            </w:r>
          </w:p>
        </w:tc>
        <w:tc>
          <w:tcPr>
            <w:tcW w:w="1120" w:type="dxa"/>
            <w:vAlign w:val="bottom"/>
          </w:tcPr>
          <w:p>
            <w:pPr>
              <w:spacing w:after="0"/>
              <w:rPr>
                <w:sz w:val="17"/>
                <w:szCs w:val="17"/>
                <w:color w:val="auto"/>
              </w:rPr>
            </w:pPr>
          </w:p>
        </w:tc>
        <w:tc>
          <w:tcPr>
            <w:tcW w:w="14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05"/>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w:t>
            </w:r>
          </w:p>
        </w:tc>
        <w:tc>
          <w:tcPr>
            <w:tcW w:w="1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706</w:t>
            </w: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751</w:t>
            </w:r>
          </w:p>
        </w:tc>
      </w:tr>
      <w:tr>
        <w:trPr>
          <w:trHeight w:val="203"/>
        </w:trPr>
        <w:tc>
          <w:tcPr>
            <w:tcW w:w="6340" w:type="dxa"/>
            <w:vAlign w:val="bottom"/>
          </w:tcPr>
          <w:p>
            <w:pPr>
              <w:ind w:left="20"/>
              <w:spacing w:after="0"/>
              <w:rPr>
                <w:sz w:val="20"/>
                <w:szCs w:val="20"/>
                <w:color w:val="auto"/>
              </w:rPr>
            </w:pPr>
            <w:r>
              <w:rPr>
                <w:rFonts w:ascii="Arial" w:cs="Arial" w:eastAsia="Arial" w:hAnsi="Arial"/>
                <w:sz w:val="16"/>
                <w:szCs w:val="16"/>
                <w:color w:val="auto"/>
              </w:rPr>
              <w:t>Amortization of mortgage servicing rights</w:t>
            </w:r>
          </w:p>
        </w:tc>
        <w:tc>
          <w:tcPr>
            <w:tcW w:w="112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(19)</w:t>
            </w: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05"/>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Amortization of deferred loan fees and costs</w:t>
            </w:r>
          </w:p>
        </w:tc>
        <w:tc>
          <w:tcPr>
            <w:tcW w:w="1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(68)</w:t>
            </w: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345</w:t>
            </w:r>
          </w:p>
        </w:tc>
      </w:tr>
      <w:tr>
        <w:trPr>
          <w:trHeight w:val="203"/>
        </w:trPr>
        <w:tc>
          <w:tcPr>
            <w:tcW w:w="6340" w:type="dxa"/>
            <w:vAlign w:val="bottom"/>
          </w:tcPr>
          <w:p>
            <w:pPr>
              <w:ind w:left="20"/>
              <w:spacing w:after="0"/>
              <w:rPr>
                <w:sz w:val="20"/>
                <w:szCs w:val="20"/>
                <w:color w:val="auto"/>
              </w:rPr>
            </w:pPr>
            <w:r>
              <w:rPr>
                <w:rFonts w:ascii="Arial" w:cs="Arial" w:eastAsia="Arial" w:hAnsi="Arial"/>
                <w:sz w:val="16"/>
                <w:szCs w:val="16"/>
                <w:color w:val="auto"/>
              </w:rPr>
              <w:t>Amortization of operating leases</w:t>
            </w:r>
          </w:p>
        </w:tc>
        <w:tc>
          <w:tcPr>
            <w:tcW w:w="1120" w:type="dxa"/>
            <w:vAlign w:val="bottom"/>
          </w:tcPr>
          <w:p>
            <w:pPr>
              <w:spacing w:after="0"/>
              <w:rPr>
                <w:sz w:val="17"/>
                <w:szCs w:val="17"/>
                <w:color w:val="auto"/>
              </w:rPr>
            </w:pPr>
          </w:p>
        </w:tc>
        <w:tc>
          <w:tcPr>
            <w:tcW w:w="1420" w:type="dxa"/>
            <w:vAlign w:val="bottom"/>
          </w:tcPr>
          <w:p>
            <w:pPr>
              <w:jc w:val="right"/>
              <w:ind w:right="102"/>
              <w:spacing w:after="0"/>
              <w:rPr>
                <w:sz w:val="20"/>
                <w:szCs w:val="20"/>
                <w:color w:val="auto"/>
              </w:rPr>
            </w:pPr>
            <w:r>
              <w:rPr>
                <w:rFonts w:ascii="Arial" w:cs="Arial" w:eastAsia="Arial" w:hAnsi="Arial"/>
                <w:sz w:val="16"/>
                <w:szCs w:val="16"/>
                <w:color w:val="auto"/>
              </w:rPr>
              <w:t>58</w:t>
            </w:r>
          </w:p>
        </w:tc>
        <w:tc>
          <w:tcPr>
            <w:tcW w:w="62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8</w:t>
            </w:r>
          </w:p>
        </w:tc>
      </w:tr>
      <w:tr>
        <w:trPr>
          <w:trHeight w:val="205"/>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Amortization of deferred financing from subordinated debt</w:t>
            </w:r>
          </w:p>
        </w:tc>
        <w:tc>
          <w:tcPr>
            <w:tcW w:w="1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88</w:t>
            </w: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83</w:t>
            </w:r>
          </w:p>
        </w:tc>
      </w:tr>
      <w:tr>
        <w:trPr>
          <w:trHeight w:val="203"/>
        </w:trPr>
        <w:tc>
          <w:tcPr>
            <w:tcW w:w="6340" w:type="dxa"/>
            <w:vAlign w:val="bottom"/>
          </w:tcPr>
          <w:p>
            <w:pPr>
              <w:ind w:left="20"/>
              <w:spacing w:after="0"/>
              <w:rPr>
                <w:sz w:val="20"/>
                <w:szCs w:val="20"/>
                <w:color w:val="auto"/>
              </w:rPr>
            </w:pPr>
            <w:r>
              <w:rPr>
                <w:rFonts w:ascii="Arial" w:cs="Arial" w:eastAsia="Arial" w:hAnsi="Arial"/>
                <w:sz w:val="16"/>
                <w:szCs w:val="16"/>
                <w:color w:val="auto"/>
              </w:rPr>
              <w:t>Earnings on bank owned life insurance</w:t>
            </w:r>
          </w:p>
        </w:tc>
        <w:tc>
          <w:tcPr>
            <w:tcW w:w="112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(301 )</w:t>
            </w: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(285 )</w:t>
            </w:r>
          </w:p>
        </w:tc>
      </w:tr>
      <w:tr>
        <w:trPr>
          <w:trHeight w:val="205"/>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amortization of premiums and discounts on investment securities</w:t>
            </w:r>
          </w:p>
        </w:tc>
        <w:tc>
          <w:tcPr>
            <w:tcW w:w="1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1,201</w:t>
            </w: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972</w:t>
            </w:r>
          </w:p>
        </w:tc>
      </w:tr>
      <w:tr>
        <w:trPr>
          <w:trHeight w:val="203"/>
        </w:trPr>
        <w:tc>
          <w:tcPr>
            <w:tcW w:w="63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1120" w:type="dxa"/>
            <w:vAlign w:val="bottom"/>
          </w:tcPr>
          <w:p>
            <w:pPr>
              <w:spacing w:after="0"/>
              <w:rPr>
                <w:sz w:val="17"/>
                <w:szCs w:val="17"/>
                <w:color w:val="auto"/>
              </w:rPr>
            </w:pPr>
          </w:p>
        </w:tc>
        <w:tc>
          <w:tcPr>
            <w:tcW w:w="1420" w:type="dxa"/>
            <w:vAlign w:val="bottom"/>
          </w:tcPr>
          <w:p>
            <w:pPr>
              <w:jc w:val="right"/>
              <w:ind w:right="102"/>
              <w:spacing w:after="0"/>
              <w:rPr>
                <w:sz w:val="20"/>
                <w:szCs w:val="20"/>
                <w:color w:val="auto"/>
              </w:rPr>
            </w:pPr>
            <w:r>
              <w:rPr>
                <w:rFonts w:ascii="Arial" w:cs="Arial" w:eastAsia="Arial" w:hAnsi="Arial"/>
                <w:sz w:val="16"/>
                <w:szCs w:val="16"/>
                <w:color w:val="auto"/>
              </w:rPr>
              <w:t>9</w:t>
            </w:r>
          </w:p>
        </w:tc>
        <w:tc>
          <w:tcPr>
            <w:tcW w:w="62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9</w:t>
            </w:r>
          </w:p>
        </w:tc>
      </w:tr>
      <w:tr>
        <w:trPr>
          <w:trHeight w:val="205"/>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based compensation and ESOP expense</w:t>
            </w:r>
          </w:p>
        </w:tc>
        <w:tc>
          <w:tcPr>
            <w:tcW w:w="1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266</w:t>
            </w: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320</w:t>
            </w:r>
          </w:p>
        </w:tc>
      </w:tr>
      <w:tr>
        <w:trPr>
          <w:trHeight w:val="203"/>
        </w:trPr>
        <w:tc>
          <w:tcPr>
            <w:tcW w:w="6340" w:type="dxa"/>
            <w:vAlign w:val="bottom"/>
          </w:tcPr>
          <w:p>
            <w:pPr>
              <w:ind w:left="20"/>
              <w:spacing w:after="0"/>
              <w:rPr>
                <w:sz w:val="20"/>
                <w:szCs w:val="20"/>
                <w:color w:val="auto"/>
              </w:rPr>
            </w:pPr>
            <w:r>
              <w:rPr>
                <w:rFonts w:ascii="Arial" w:cs="Arial" w:eastAsia="Arial" w:hAnsi="Arial"/>
                <w:sz w:val="16"/>
                <w:szCs w:val="16"/>
                <w:color w:val="auto"/>
              </w:rPr>
              <w:t>Net change in accrued interest receivable</w:t>
            </w:r>
          </w:p>
        </w:tc>
        <w:tc>
          <w:tcPr>
            <w:tcW w:w="1120" w:type="dxa"/>
            <w:vAlign w:val="bottom"/>
          </w:tcPr>
          <w:p>
            <w:pPr>
              <w:spacing w:after="0"/>
              <w:rPr>
                <w:sz w:val="17"/>
                <w:szCs w:val="17"/>
                <w:color w:val="auto"/>
              </w:rPr>
            </w:pPr>
          </w:p>
        </w:tc>
        <w:tc>
          <w:tcPr>
            <w:tcW w:w="1420" w:type="dxa"/>
            <w:vAlign w:val="bottom"/>
          </w:tcPr>
          <w:p>
            <w:pPr>
              <w:jc w:val="right"/>
              <w:ind w:right="102"/>
              <w:spacing w:after="0"/>
              <w:rPr>
                <w:sz w:val="20"/>
                <w:szCs w:val="20"/>
                <w:color w:val="auto"/>
              </w:rPr>
            </w:pPr>
            <w:r>
              <w:rPr>
                <w:rFonts w:ascii="Arial" w:cs="Arial" w:eastAsia="Arial" w:hAnsi="Arial"/>
                <w:sz w:val="16"/>
                <w:szCs w:val="16"/>
                <w:color w:val="auto"/>
              </w:rPr>
              <w:t>23</w:t>
            </w: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(292 )</w:t>
            </w:r>
          </w:p>
        </w:tc>
      </w:tr>
      <w:tr>
        <w:trPr>
          <w:trHeight w:val="205"/>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change in other assets and liabilities</w:t>
            </w:r>
          </w:p>
        </w:tc>
        <w:tc>
          <w:tcPr>
            <w:tcW w:w="1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(6,447)</w:t>
            </w: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(1,727)</w:t>
            </w:r>
          </w:p>
        </w:tc>
      </w:tr>
      <w:tr>
        <w:trPr>
          <w:trHeight w:val="204"/>
        </w:trPr>
        <w:tc>
          <w:tcPr>
            <w:tcW w:w="6340" w:type="dxa"/>
            <w:vAlign w:val="bottom"/>
          </w:tcPr>
          <w:p>
            <w:pPr>
              <w:ind w:left="420"/>
              <w:spacing w:after="0"/>
              <w:rPr>
                <w:sz w:val="20"/>
                <w:szCs w:val="20"/>
                <w:color w:val="auto"/>
              </w:rPr>
            </w:pPr>
            <w:r>
              <w:rPr>
                <w:rFonts w:ascii="Arial" w:cs="Arial" w:eastAsia="Arial" w:hAnsi="Arial"/>
                <w:sz w:val="16"/>
                <w:szCs w:val="16"/>
                <w:b w:val="1"/>
                <w:bCs w:val="1"/>
                <w:color w:val="auto"/>
              </w:rPr>
              <w:t>Net cash flows from operating activities</w:t>
            </w:r>
          </w:p>
        </w:tc>
        <w:tc>
          <w:tcPr>
            <w:tcW w:w="1120" w:type="dxa"/>
            <w:vAlign w:val="bottom"/>
          </w:tcPr>
          <w:p>
            <w:pPr>
              <w:spacing w:after="0"/>
              <w:rPr>
                <w:sz w:val="17"/>
                <w:szCs w:val="17"/>
                <w:color w:val="auto"/>
              </w:rPr>
            </w:pPr>
          </w:p>
        </w:tc>
        <w:tc>
          <w:tcPr>
            <w:tcW w:w="1420" w:type="dxa"/>
            <w:vAlign w:val="bottom"/>
          </w:tcPr>
          <w:p>
            <w:pPr>
              <w:jc w:val="right"/>
              <w:ind w:right="102"/>
              <w:spacing w:after="0"/>
              <w:rPr>
                <w:sz w:val="20"/>
                <w:szCs w:val="20"/>
                <w:color w:val="auto"/>
              </w:rPr>
            </w:pPr>
            <w:r>
              <w:rPr>
                <w:rFonts w:ascii="Arial" w:cs="Arial" w:eastAsia="Arial" w:hAnsi="Arial"/>
                <w:sz w:val="16"/>
                <w:szCs w:val="16"/>
                <w:color w:val="auto"/>
              </w:rPr>
              <w:t>1,903</w:t>
            </w:r>
          </w:p>
        </w:tc>
        <w:tc>
          <w:tcPr>
            <w:tcW w:w="62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7,010</w:t>
            </w:r>
          </w:p>
        </w:tc>
      </w:tr>
      <w:tr>
        <w:trPr>
          <w:trHeight w:val="204"/>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03"/>
        </w:trPr>
        <w:tc>
          <w:tcPr>
            <w:tcW w:w="6340" w:type="dxa"/>
            <w:vAlign w:val="bottom"/>
          </w:tcPr>
          <w:p>
            <w:pPr>
              <w:ind w:left="20"/>
              <w:spacing w:after="0"/>
              <w:rPr>
                <w:sz w:val="20"/>
                <w:szCs w:val="20"/>
                <w:color w:val="auto"/>
              </w:rPr>
            </w:pPr>
            <w:r>
              <w:rPr>
                <w:rFonts w:ascii="Arial" w:cs="Arial" w:eastAsia="Arial" w:hAnsi="Arial"/>
                <w:sz w:val="16"/>
                <w:szCs w:val="16"/>
                <w:color w:val="auto"/>
              </w:rPr>
              <w:t>Purchase of investment securities available-for-sale</w:t>
            </w:r>
          </w:p>
        </w:tc>
        <w:tc>
          <w:tcPr>
            <w:tcW w:w="112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(17,809 )</w:t>
            </w: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(42,202 )</w:t>
            </w:r>
          </w:p>
        </w:tc>
      </w:tr>
      <w:tr>
        <w:trPr>
          <w:trHeight w:val="205"/>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 of investment securities held-to-maturity</w:t>
            </w:r>
          </w:p>
        </w:tc>
        <w:tc>
          <w:tcPr>
            <w:tcW w:w="1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(12,787 )</w:t>
            </w: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(38,521 )</w:t>
            </w:r>
          </w:p>
        </w:tc>
      </w:tr>
      <w:tr>
        <w:trPr>
          <w:trHeight w:val="203"/>
        </w:trPr>
        <w:tc>
          <w:tcPr>
            <w:tcW w:w="6340" w:type="dxa"/>
            <w:vAlign w:val="bottom"/>
          </w:tcPr>
          <w:p>
            <w:pPr>
              <w:ind w:left="20"/>
              <w:spacing w:after="0"/>
              <w:rPr>
                <w:sz w:val="20"/>
                <w:szCs w:val="20"/>
                <w:color w:val="auto"/>
              </w:rPr>
            </w:pPr>
            <w:r>
              <w:rPr>
                <w:rFonts w:ascii="Arial" w:cs="Arial" w:eastAsia="Arial" w:hAnsi="Arial"/>
                <w:sz w:val="16"/>
                <w:szCs w:val="16"/>
                <w:color w:val="auto"/>
              </w:rPr>
              <w:t>Purchase of Federal Home Loan Bank stock</w:t>
            </w:r>
          </w:p>
        </w:tc>
        <w:tc>
          <w:tcPr>
            <w:tcW w:w="112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(8,214)</w:t>
            </w: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(3,622)</w:t>
            </w:r>
          </w:p>
        </w:tc>
      </w:tr>
      <w:tr>
        <w:trPr>
          <w:trHeight w:val="205"/>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redemption of Federal Home Loan Bank stock</w:t>
            </w:r>
          </w:p>
        </w:tc>
        <w:tc>
          <w:tcPr>
            <w:tcW w:w="1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7,660</w:t>
            </w: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3,642</w:t>
            </w:r>
          </w:p>
        </w:tc>
      </w:tr>
      <w:tr>
        <w:trPr>
          <w:trHeight w:val="203"/>
        </w:trPr>
        <w:tc>
          <w:tcPr>
            <w:tcW w:w="6340" w:type="dxa"/>
            <w:vAlign w:val="bottom"/>
          </w:tcPr>
          <w:p>
            <w:pPr>
              <w:ind w:left="20"/>
              <w:spacing w:after="0"/>
              <w:rPr>
                <w:sz w:val="20"/>
                <w:szCs w:val="20"/>
                <w:color w:val="auto"/>
              </w:rPr>
            </w:pPr>
            <w:r>
              <w:rPr>
                <w:rFonts w:ascii="Arial" w:cs="Arial" w:eastAsia="Arial" w:hAnsi="Arial"/>
                <w:sz w:val="16"/>
                <w:szCs w:val="16"/>
                <w:color w:val="auto"/>
              </w:rPr>
              <w:t>Purchase of marketable securities</w:t>
            </w:r>
          </w:p>
        </w:tc>
        <w:tc>
          <w:tcPr>
            <w:tcW w:w="112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(491 )</w:t>
            </w: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(707 )</w:t>
            </w:r>
          </w:p>
        </w:tc>
      </w:tr>
      <w:tr>
        <w:trPr>
          <w:trHeight w:val="186"/>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maturities and principal reductions of investment securities</w:t>
            </w:r>
          </w:p>
        </w:tc>
        <w:tc>
          <w:tcPr>
            <w:tcW w:w="11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r>
      <w:tr>
        <w:trPr>
          <w:trHeight w:val="199"/>
        </w:trPr>
        <w:tc>
          <w:tcPr>
            <w:tcW w:w="63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available-for-sale</w:t>
            </w:r>
          </w:p>
        </w:tc>
        <w:tc>
          <w:tcPr>
            <w:tcW w:w="1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6,564</w:t>
            </w: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11,806</w:t>
            </w:r>
          </w:p>
        </w:tc>
      </w:tr>
      <w:tr>
        <w:trPr>
          <w:trHeight w:val="185"/>
        </w:trPr>
        <w:tc>
          <w:tcPr>
            <w:tcW w:w="6340" w:type="dxa"/>
            <w:vAlign w:val="bottom"/>
          </w:tcPr>
          <w:p>
            <w:pPr>
              <w:ind w:left="20"/>
              <w:spacing w:after="0"/>
              <w:rPr>
                <w:sz w:val="20"/>
                <w:szCs w:val="20"/>
                <w:color w:val="auto"/>
              </w:rPr>
            </w:pPr>
            <w:r>
              <w:rPr>
                <w:rFonts w:ascii="Arial" w:cs="Arial" w:eastAsia="Arial" w:hAnsi="Arial"/>
                <w:sz w:val="16"/>
                <w:szCs w:val="16"/>
                <w:color w:val="auto"/>
              </w:rPr>
              <w:t>Proceeds from maturities and principal reductions of investment securities</w:t>
            </w:r>
          </w:p>
        </w:tc>
        <w:tc>
          <w:tcPr>
            <w:tcW w:w="1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8"/>
        </w:trPr>
        <w:tc>
          <w:tcPr>
            <w:tcW w:w="6340" w:type="dxa"/>
            <w:vAlign w:val="bottom"/>
          </w:tcPr>
          <w:p>
            <w:pPr>
              <w:ind w:left="140"/>
              <w:spacing w:after="0"/>
              <w:rPr>
                <w:sz w:val="20"/>
                <w:szCs w:val="20"/>
                <w:color w:val="auto"/>
              </w:rPr>
            </w:pPr>
            <w:r>
              <w:rPr>
                <w:rFonts w:ascii="Arial" w:cs="Arial" w:eastAsia="Arial" w:hAnsi="Arial"/>
                <w:sz w:val="16"/>
                <w:szCs w:val="16"/>
                <w:color w:val="auto"/>
              </w:rPr>
              <w:t>held-to-maturity</w:t>
            </w:r>
          </w:p>
        </w:tc>
        <w:tc>
          <w:tcPr>
            <w:tcW w:w="1120" w:type="dxa"/>
            <w:vAlign w:val="bottom"/>
          </w:tcPr>
          <w:p>
            <w:pPr>
              <w:spacing w:after="0"/>
              <w:rPr>
                <w:sz w:val="17"/>
                <w:szCs w:val="17"/>
                <w:color w:val="auto"/>
              </w:rPr>
            </w:pPr>
          </w:p>
        </w:tc>
        <w:tc>
          <w:tcPr>
            <w:tcW w:w="1420" w:type="dxa"/>
            <w:vAlign w:val="bottom"/>
          </w:tcPr>
          <w:p>
            <w:pPr>
              <w:jc w:val="right"/>
              <w:ind w:right="102"/>
              <w:spacing w:after="0"/>
              <w:rPr>
                <w:sz w:val="20"/>
                <w:szCs w:val="20"/>
                <w:color w:val="auto"/>
              </w:rPr>
            </w:pPr>
            <w:r>
              <w:rPr>
                <w:rFonts w:ascii="Arial" w:cs="Arial" w:eastAsia="Arial" w:hAnsi="Arial"/>
                <w:sz w:val="16"/>
                <w:szCs w:val="16"/>
                <w:color w:val="auto"/>
              </w:rPr>
              <w:t>11,225</w:t>
            </w:r>
          </w:p>
        </w:tc>
        <w:tc>
          <w:tcPr>
            <w:tcW w:w="62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16,104</w:t>
            </w:r>
          </w:p>
        </w:tc>
      </w:tr>
      <w:tr>
        <w:trPr>
          <w:trHeight w:val="205"/>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sales, redemptions and calls of:</w:t>
            </w:r>
          </w:p>
        </w:tc>
        <w:tc>
          <w:tcPr>
            <w:tcW w:w="1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03"/>
        </w:trPr>
        <w:tc>
          <w:tcPr>
            <w:tcW w:w="6340" w:type="dxa"/>
            <w:vAlign w:val="bottom"/>
          </w:tcPr>
          <w:p>
            <w:pPr>
              <w:ind w:left="180"/>
              <w:spacing w:after="0"/>
              <w:rPr>
                <w:sz w:val="20"/>
                <w:szCs w:val="20"/>
                <w:color w:val="auto"/>
              </w:rPr>
            </w:pPr>
            <w:r>
              <w:rPr>
                <w:rFonts w:ascii="Arial" w:cs="Arial" w:eastAsia="Arial" w:hAnsi="Arial"/>
                <w:sz w:val="16"/>
                <w:szCs w:val="16"/>
                <w:color w:val="auto"/>
              </w:rPr>
              <w:t>Available-for-sale investment securities</w:t>
            </w:r>
          </w:p>
        </w:tc>
        <w:tc>
          <w:tcPr>
            <w:tcW w:w="1120" w:type="dxa"/>
            <w:vAlign w:val="bottom"/>
          </w:tcPr>
          <w:p>
            <w:pPr>
              <w:spacing w:after="0"/>
              <w:rPr>
                <w:sz w:val="17"/>
                <w:szCs w:val="17"/>
                <w:color w:val="auto"/>
              </w:rPr>
            </w:pPr>
          </w:p>
        </w:tc>
        <w:tc>
          <w:tcPr>
            <w:tcW w:w="1420" w:type="dxa"/>
            <w:vAlign w:val="bottom"/>
          </w:tcPr>
          <w:p>
            <w:pPr>
              <w:jc w:val="right"/>
              <w:ind w:right="102"/>
              <w:spacing w:after="0"/>
              <w:rPr>
                <w:sz w:val="20"/>
                <w:szCs w:val="20"/>
                <w:color w:val="auto"/>
              </w:rPr>
            </w:pPr>
            <w:r>
              <w:rPr>
                <w:rFonts w:ascii="Arial" w:cs="Arial" w:eastAsia="Arial" w:hAnsi="Arial"/>
                <w:sz w:val="16"/>
                <w:szCs w:val="16"/>
                <w:color w:val="auto"/>
              </w:rPr>
              <w:t>17,396</w:t>
            </w:r>
          </w:p>
        </w:tc>
        <w:tc>
          <w:tcPr>
            <w:tcW w:w="62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25</w:t>
            </w:r>
          </w:p>
        </w:tc>
      </w:tr>
      <w:tr>
        <w:trPr>
          <w:trHeight w:val="205"/>
        </w:trPr>
        <w:tc>
          <w:tcPr>
            <w:tcW w:w="63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Held-to-maturity investment securities</w:t>
            </w:r>
          </w:p>
        </w:tc>
        <w:tc>
          <w:tcPr>
            <w:tcW w:w="1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49</w:t>
            </w: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2,076</w:t>
            </w:r>
          </w:p>
        </w:tc>
      </w:tr>
      <w:tr>
        <w:trPr>
          <w:trHeight w:val="203"/>
        </w:trPr>
        <w:tc>
          <w:tcPr>
            <w:tcW w:w="6340" w:type="dxa"/>
            <w:vAlign w:val="bottom"/>
          </w:tcPr>
          <w:p>
            <w:pPr>
              <w:ind w:left="180"/>
              <w:spacing w:after="0"/>
              <w:rPr>
                <w:sz w:val="20"/>
                <w:szCs w:val="20"/>
                <w:color w:val="auto"/>
              </w:rPr>
            </w:pPr>
            <w:r>
              <w:rPr>
                <w:rFonts w:ascii="Arial" w:cs="Arial" w:eastAsia="Arial" w:hAnsi="Arial"/>
                <w:sz w:val="16"/>
                <w:szCs w:val="16"/>
                <w:color w:val="auto"/>
              </w:rPr>
              <w:t>Real estate acquired through foreclosure</w:t>
            </w:r>
          </w:p>
        </w:tc>
        <w:tc>
          <w:tcPr>
            <w:tcW w:w="1120" w:type="dxa"/>
            <w:vAlign w:val="bottom"/>
          </w:tcPr>
          <w:p>
            <w:pPr>
              <w:spacing w:after="0"/>
              <w:rPr>
                <w:sz w:val="17"/>
                <w:szCs w:val="17"/>
                <w:color w:val="auto"/>
              </w:rPr>
            </w:pPr>
          </w:p>
        </w:tc>
        <w:tc>
          <w:tcPr>
            <w:tcW w:w="1420" w:type="dxa"/>
            <w:vAlign w:val="bottom"/>
          </w:tcPr>
          <w:p>
            <w:pPr>
              <w:jc w:val="right"/>
              <w:ind w:right="102"/>
              <w:spacing w:after="0"/>
              <w:rPr>
                <w:sz w:val="20"/>
                <w:szCs w:val="20"/>
                <w:color w:val="auto"/>
              </w:rPr>
            </w:pPr>
            <w:r>
              <w:rPr>
                <w:rFonts w:ascii="Arial" w:cs="Arial" w:eastAsia="Arial" w:hAnsi="Arial"/>
                <w:sz w:val="16"/>
                <w:szCs w:val="16"/>
                <w:color w:val="auto"/>
              </w:rPr>
              <w:t>227</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63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Marketable securities</w:t>
            </w:r>
          </w:p>
        </w:tc>
        <w:tc>
          <w:tcPr>
            <w:tcW w:w="1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714</w:t>
            </w:r>
          </w:p>
        </w:tc>
      </w:tr>
      <w:tr>
        <w:trPr>
          <w:trHeight w:val="203"/>
        </w:trPr>
        <w:tc>
          <w:tcPr>
            <w:tcW w:w="6340" w:type="dxa"/>
            <w:vAlign w:val="bottom"/>
          </w:tcPr>
          <w:p>
            <w:pPr>
              <w:ind w:left="20"/>
              <w:spacing w:after="0"/>
              <w:rPr>
                <w:sz w:val="20"/>
                <w:szCs w:val="20"/>
                <w:color w:val="auto"/>
              </w:rPr>
            </w:pPr>
            <w:r>
              <w:rPr>
                <w:rFonts w:ascii="Arial" w:cs="Arial" w:eastAsia="Arial" w:hAnsi="Arial"/>
                <w:sz w:val="16"/>
                <w:szCs w:val="16"/>
                <w:color w:val="auto"/>
              </w:rPr>
              <w:t>Net change in loans</w:t>
            </w:r>
          </w:p>
        </w:tc>
        <w:tc>
          <w:tcPr>
            <w:tcW w:w="1120" w:type="dxa"/>
            <w:vAlign w:val="bottom"/>
          </w:tcPr>
          <w:p>
            <w:pPr>
              <w:spacing w:after="0"/>
              <w:rPr>
                <w:sz w:val="17"/>
                <w:szCs w:val="17"/>
                <w:color w:val="auto"/>
              </w:rPr>
            </w:pPr>
          </w:p>
        </w:tc>
        <w:tc>
          <w:tcPr>
            <w:tcW w:w="1420" w:type="dxa"/>
            <w:vAlign w:val="bottom"/>
          </w:tcPr>
          <w:p>
            <w:pPr>
              <w:jc w:val="right"/>
              <w:ind w:right="102"/>
              <w:spacing w:after="0"/>
              <w:rPr>
                <w:sz w:val="20"/>
                <w:szCs w:val="20"/>
                <w:color w:val="auto"/>
              </w:rPr>
            </w:pPr>
            <w:r>
              <w:rPr>
                <w:rFonts w:ascii="Arial" w:cs="Arial" w:eastAsia="Arial" w:hAnsi="Arial"/>
                <w:sz w:val="16"/>
                <w:szCs w:val="16"/>
                <w:color w:val="auto"/>
              </w:rPr>
              <w:t>8,023</w:t>
            </w: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(34,445 )</w:t>
            </w:r>
          </w:p>
        </w:tc>
      </w:tr>
      <w:tr>
        <w:trPr>
          <w:trHeight w:val="205"/>
        </w:trPr>
        <w:tc>
          <w:tcPr>
            <w:tcW w:w="6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 of premises and equipment</w:t>
            </w:r>
          </w:p>
        </w:tc>
        <w:tc>
          <w:tcPr>
            <w:tcW w:w="11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(662 )</w:t>
            </w: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(1,060)</w:t>
            </w:r>
          </w:p>
        </w:tc>
      </w:tr>
      <w:tr>
        <w:trPr>
          <w:trHeight w:val="217"/>
        </w:trPr>
        <w:tc>
          <w:tcPr>
            <w:tcW w:w="6340" w:type="dxa"/>
            <w:vAlign w:val="bottom"/>
          </w:tcPr>
          <w:p>
            <w:pPr>
              <w:ind w:left="420"/>
              <w:spacing w:after="0"/>
              <w:rPr>
                <w:sz w:val="20"/>
                <w:szCs w:val="20"/>
                <w:color w:val="auto"/>
              </w:rPr>
            </w:pPr>
            <w:r>
              <w:rPr>
                <w:rFonts w:ascii="Arial" w:cs="Arial" w:eastAsia="Arial" w:hAnsi="Arial"/>
                <w:sz w:val="16"/>
                <w:szCs w:val="16"/>
                <w:b w:val="1"/>
                <w:bCs w:val="1"/>
                <w:color w:val="auto"/>
              </w:rPr>
              <w:t>Net cash outflows (inflows) from investing activities</w:t>
            </w:r>
          </w:p>
        </w:tc>
        <w:tc>
          <w:tcPr>
            <w:tcW w:w="1120" w:type="dxa"/>
            <w:vAlign w:val="bottom"/>
          </w:tcPr>
          <w:p>
            <w:pPr>
              <w:spacing w:after="0"/>
              <w:rPr>
                <w:sz w:val="18"/>
                <w:szCs w:val="18"/>
                <w:color w:val="auto"/>
              </w:rPr>
            </w:pPr>
          </w:p>
        </w:tc>
        <w:tc>
          <w:tcPr>
            <w:tcW w:w="1420" w:type="dxa"/>
            <w:vAlign w:val="bottom"/>
          </w:tcPr>
          <w:p>
            <w:pPr>
              <w:jc w:val="right"/>
              <w:ind w:right="102"/>
              <w:spacing w:after="0"/>
              <w:rPr>
                <w:sz w:val="20"/>
                <w:szCs w:val="20"/>
                <w:color w:val="auto"/>
              </w:rPr>
            </w:pPr>
            <w:r>
              <w:rPr>
                <w:rFonts w:ascii="Arial" w:cs="Arial" w:eastAsia="Arial" w:hAnsi="Arial"/>
                <w:sz w:val="16"/>
                <w:szCs w:val="16"/>
                <w:color w:val="auto"/>
              </w:rPr>
              <w:t>11,181</w:t>
            </w:r>
          </w:p>
        </w:tc>
        <w:tc>
          <w:tcPr>
            <w:tcW w:w="6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(86,190 )</w:t>
            </w:r>
          </w:p>
        </w:tc>
      </w:tr>
      <w:tr>
        <w:trPr>
          <w:trHeight w:val="369"/>
        </w:trPr>
        <w:tc>
          <w:tcPr>
            <w:tcW w:w="6340" w:type="dxa"/>
            <w:vAlign w:val="bottom"/>
          </w:tcPr>
          <w:p>
            <w:pPr>
              <w:ind w:left="51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8</w:t>
            </w:r>
            <w:r>
              <w:rPr>
                <w:rFonts w:ascii="Arial" w:cs="Arial" w:eastAsia="Arial" w:hAnsi="Arial"/>
                <w:sz w:val="16"/>
                <w:szCs w:val="16"/>
                <w:color w:val="auto"/>
              </w:rPr>
              <w:t xml:space="preserve"> -</w:t>
            </w: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86"/>
        </w:trPr>
        <w:tc>
          <w:tcPr>
            <w:tcW w:w="6340" w:type="dxa"/>
            <w:vAlign w:val="bottom"/>
            <w:tcBorders>
              <w:bottom w:val="single" w:sz="8" w:color="EEEEEE"/>
            </w:tcBorders>
          </w:tcPr>
          <w:p>
            <w:pPr>
              <w:spacing w:after="0"/>
              <w:rPr>
                <w:sz w:val="7"/>
                <w:szCs w:val="7"/>
                <w:color w:val="auto"/>
              </w:rPr>
            </w:pPr>
          </w:p>
        </w:tc>
        <w:tc>
          <w:tcPr>
            <w:tcW w:w="1120" w:type="dxa"/>
            <w:vAlign w:val="bottom"/>
            <w:tcBorders>
              <w:bottom w:val="single" w:sz="8" w:color="EEEEEE"/>
            </w:tcBorders>
          </w:tcPr>
          <w:p>
            <w:pPr>
              <w:spacing w:after="0"/>
              <w:rPr>
                <w:sz w:val="7"/>
                <w:szCs w:val="7"/>
                <w:color w:val="auto"/>
              </w:rPr>
            </w:pPr>
          </w:p>
        </w:tc>
        <w:tc>
          <w:tcPr>
            <w:tcW w:w="1420" w:type="dxa"/>
            <w:vAlign w:val="bottom"/>
            <w:tcBorders>
              <w:bottom w:val="single" w:sz="8" w:color="EEEEEE"/>
            </w:tcBorders>
          </w:tcPr>
          <w:p>
            <w:pPr>
              <w:spacing w:after="0"/>
              <w:rPr>
                <w:sz w:val="7"/>
                <w:szCs w:val="7"/>
                <w:color w:val="auto"/>
              </w:rPr>
            </w:pPr>
          </w:p>
        </w:tc>
        <w:tc>
          <w:tcPr>
            <w:tcW w:w="620" w:type="dxa"/>
            <w:vAlign w:val="bottom"/>
            <w:tcBorders>
              <w:bottom w:val="single" w:sz="8" w:color="EEEEEE"/>
            </w:tcBorders>
          </w:tcPr>
          <w:p>
            <w:pPr>
              <w:spacing w:after="0"/>
              <w:rPr>
                <w:sz w:val="7"/>
                <w:szCs w:val="7"/>
                <w:color w:val="auto"/>
              </w:rPr>
            </w:pPr>
          </w:p>
        </w:tc>
        <w:tc>
          <w:tcPr>
            <w:tcW w:w="1060" w:type="dxa"/>
            <w:vAlign w:val="bottom"/>
            <w:tcBorders>
              <w:bottom w:val="single" w:sz="8" w:color="EEEEEE"/>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78" w:right="68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6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185"/>
        </w:trPr>
        <w:tc>
          <w:tcPr>
            <w:tcW w:w="6680" w:type="dxa"/>
            <w:vAlign w:val="bottom"/>
          </w:tcPr>
          <w:p>
            <w:pPr>
              <w:ind w:left="20"/>
              <w:spacing w:after="0"/>
              <w:rPr>
                <w:sz w:val="20"/>
                <w:szCs w:val="20"/>
                <w:color w:val="auto"/>
              </w:rPr>
            </w:pPr>
            <w:r>
              <w:rPr>
                <w:rFonts w:ascii="Arial" w:cs="Arial" w:eastAsia="Arial" w:hAnsi="Arial"/>
                <w:sz w:val="16"/>
                <w:szCs w:val="16"/>
                <w:color w:val="auto"/>
              </w:rPr>
              <w:t>Net change in demand deposits, NOW accounts, savings accounts, money management</w:t>
            </w: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8"/>
        </w:trPr>
        <w:tc>
          <w:tcPr>
            <w:tcW w:w="6680" w:type="dxa"/>
            <w:vAlign w:val="bottom"/>
          </w:tcPr>
          <w:p>
            <w:pPr>
              <w:ind w:left="140"/>
              <w:spacing w:after="0"/>
              <w:rPr>
                <w:sz w:val="20"/>
                <w:szCs w:val="20"/>
                <w:color w:val="auto"/>
              </w:rPr>
            </w:pPr>
            <w:r>
              <w:rPr>
                <w:rFonts w:ascii="Arial" w:cs="Arial" w:eastAsia="Arial" w:hAnsi="Arial"/>
                <w:sz w:val="16"/>
                <w:szCs w:val="16"/>
                <w:color w:val="auto"/>
              </w:rPr>
              <w:t>deposit accounts, MMDA accounts and escrow deposits</w:t>
            </w:r>
          </w:p>
        </w:tc>
        <w:tc>
          <w:tcPr>
            <w:tcW w:w="106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(71,567 )</w:t>
            </w:r>
          </w:p>
        </w:tc>
        <w:tc>
          <w:tcPr>
            <w:tcW w:w="64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10,910</w:t>
            </w:r>
          </w:p>
        </w:tc>
      </w:tr>
      <w:tr>
        <w:trPr>
          <w:trHeight w:val="205"/>
        </w:trPr>
        <w:tc>
          <w:tcPr>
            <w:tcW w:w="6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change in time deposits</w:t>
            </w:r>
          </w:p>
        </w:tc>
        <w:tc>
          <w:tcPr>
            <w:tcW w:w="10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59,337</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(9,866)</w:t>
            </w: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Net change in brokered deposits</w:t>
            </w:r>
          </w:p>
        </w:tc>
        <w:tc>
          <w:tcPr>
            <w:tcW w:w="106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(12,100 )</w:t>
            </w:r>
          </w:p>
        </w:tc>
        <w:tc>
          <w:tcPr>
            <w:tcW w:w="64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81,454</w:t>
            </w:r>
          </w:p>
        </w:tc>
      </w:tr>
      <w:tr>
        <w:trPr>
          <w:trHeight w:val="205"/>
        </w:trPr>
        <w:tc>
          <w:tcPr>
            <w:tcW w:w="6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change in short-term borrowings</w:t>
            </w:r>
          </w:p>
        </w:tc>
        <w:tc>
          <w:tcPr>
            <w:tcW w:w="10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9,203</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3,200</w:t>
            </w: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Payments on long-term borrowings</w:t>
            </w:r>
          </w:p>
        </w:tc>
        <w:tc>
          <w:tcPr>
            <w:tcW w:w="106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(3,525)</w:t>
            </w: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(5,227)</w:t>
            </w:r>
          </w:p>
        </w:tc>
      </w:tr>
      <w:tr>
        <w:trPr>
          <w:trHeight w:val="205"/>
        </w:trPr>
        <w:tc>
          <w:tcPr>
            <w:tcW w:w="6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long-term borrowings</w:t>
            </w:r>
          </w:p>
        </w:tc>
        <w:tc>
          <w:tcPr>
            <w:tcW w:w="10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7,776</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650</w:t>
            </w: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tcPr>
          <w:p>
            <w:pPr>
              <w:spacing w:after="0"/>
              <w:rPr>
                <w:sz w:val="17"/>
                <w:szCs w:val="17"/>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368</w:t>
            </w:r>
          </w:p>
        </w:tc>
        <w:tc>
          <w:tcPr>
            <w:tcW w:w="64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114</w:t>
            </w:r>
          </w:p>
        </w:tc>
      </w:tr>
      <w:tr>
        <w:trPr>
          <w:trHeight w:val="205"/>
        </w:trPr>
        <w:tc>
          <w:tcPr>
            <w:tcW w:w="6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dividends paid to common voting shareholders</w:t>
            </w:r>
          </w:p>
        </w:tc>
        <w:tc>
          <w:tcPr>
            <w:tcW w:w="10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(841 )</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(737 )</w:t>
            </w: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Cash dividends paid to common non-voting shareholders</w:t>
            </w:r>
          </w:p>
        </w:tc>
        <w:tc>
          <w:tcPr>
            <w:tcW w:w="1060" w:type="dxa"/>
            <w:vAlign w:val="bottom"/>
          </w:tcPr>
          <w:p>
            <w:pPr>
              <w:spacing w:after="0"/>
              <w:rPr>
                <w:sz w:val="17"/>
                <w:szCs w:val="17"/>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(248 )</w:t>
            </w: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(221 )</w:t>
            </w:r>
          </w:p>
        </w:tc>
      </w:tr>
      <w:tr>
        <w:trPr>
          <w:trHeight w:val="205"/>
        </w:trPr>
        <w:tc>
          <w:tcPr>
            <w:tcW w:w="6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dividends paid on warrants</w:t>
            </w:r>
          </w:p>
        </w:tc>
        <w:tc>
          <w:tcPr>
            <w:tcW w:w="10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(23)</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r>
      <w:tr>
        <w:trPr>
          <w:trHeight w:val="203"/>
        </w:trPr>
        <w:tc>
          <w:tcPr>
            <w:tcW w:w="6680" w:type="dxa"/>
            <w:vAlign w:val="bottom"/>
          </w:tcPr>
          <w:p>
            <w:pPr>
              <w:ind w:left="20"/>
              <w:spacing w:after="0"/>
              <w:rPr>
                <w:sz w:val="20"/>
                <w:szCs w:val="20"/>
                <w:color w:val="auto"/>
              </w:rPr>
            </w:pPr>
            <w:r>
              <w:rPr>
                <w:rFonts w:ascii="Arial" w:cs="Arial" w:eastAsia="Arial" w:hAnsi="Arial"/>
                <w:sz w:val="16"/>
                <w:szCs w:val="16"/>
                <w:color w:val="auto"/>
              </w:rPr>
              <w:t>Change in noncontrolling interest, net</w:t>
            </w:r>
          </w:p>
        </w:tc>
        <w:tc>
          <w:tcPr>
            <w:tcW w:w="1060" w:type="dxa"/>
            <w:vAlign w:val="bottom"/>
          </w:tcPr>
          <w:p>
            <w:pPr>
              <w:spacing w:after="0"/>
              <w:rPr>
                <w:sz w:val="17"/>
                <w:szCs w:val="17"/>
                <w:color w:val="auto"/>
              </w:rPr>
            </w:pP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69</w:t>
            </w:r>
          </w:p>
        </w:tc>
        <w:tc>
          <w:tcPr>
            <w:tcW w:w="64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61</w:t>
            </w:r>
          </w:p>
        </w:tc>
      </w:tr>
      <w:tr>
        <w:trPr>
          <w:trHeight w:val="205"/>
        </w:trPr>
        <w:tc>
          <w:tcPr>
            <w:tcW w:w="6680" w:type="dxa"/>
            <w:vAlign w:val="bottom"/>
            <w:shd w:val="clear" w:color="auto" w:fill="CFF0FC"/>
          </w:tcPr>
          <w:p>
            <w:pPr>
              <w:ind w:left="420"/>
              <w:spacing w:after="0"/>
              <w:rPr>
                <w:sz w:val="20"/>
                <w:szCs w:val="20"/>
                <w:color w:val="auto"/>
              </w:rPr>
            </w:pPr>
            <w:r>
              <w:rPr>
                <w:rFonts w:ascii="Arial" w:cs="Arial" w:eastAsia="Arial" w:hAnsi="Arial"/>
                <w:sz w:val="16"/>
                <w:szCs w:val="16"/>
                <w:b w:val="1"/>
                <w:bCs w:val="1"/>
                <w:color w:val="auto"/>
              </w:rPr>
              <w:t>Net cash (outflows) inflows from financing activities</w:t>
            </w:r>
          </w:p>
        </w:tc>
        <w:tc>
          <w:tcPr>
            <w:tcW w:w="10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(11,551 )</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80,318</w:t>
            </w:r>
          </w:p>
        </w:tc>
      </w:tr>
      <w:tr>
        <w:trPr>
          <w:trHeight w:val="204"/>
        </w:trPr>
        <w:tc>
          <w:tcPr>
            <w:tcW w:w="6680" w:type="dxa"/>
            <w:vAlign w:val="bottom"/>
          </w:tcPr>
          <w:p>
            <w:pPr>
              <w:ind w:left="20"/>
              <w:spacing w:after="0"/>
              <w:rPr>
                <w:sz w:val="20"/>
                <w:szCs w:val="20"/>
                <w:color w:val="auto"/>
              </w:rPr>
            </w:pPr>
            <w:r>
              <w:rPr>
                <w:rFonts w:ascii="Arial" w:cs="Arial" w:eastAsia="Arial" w:hAnsi="Arial"/>
                <w:sz w:val="16"/>
                <w:szCs w:val="16"/>
                <w:b w:val="1"/>
                <w:bCs w:val="1"/>
                <w:color w:val="auto"/>
              </w:rPr>
              <w:t>Change in cash and cash equivalents</w:t>
            </w:r>
          </w:p>
        </w:tc>
        <w:tc>
          <w:tcPr>
            <w:tcW w:w="1060" w:type="dxa"/>
            <w:vAlign w:val="bottom"/>
          </w:tcPr>
          <w:p>
            <w:pPr>
              <w:spacing w:after="0"/>
              <w:rPr>
                <w:sz w:val="17"/>
                <w:szCs w:val="17"/>
                <w:color w:val="auto"/>
              </w:rPr>
            </w:pP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1,533</w:t>
            </w:r>
          </w:p>
        </w:tc>
        <w:tc>
          <w:tcPr>
            <w:tcW w:w="64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1,138</w:t>
            </w:r>
          </w:p>
        </w:tc>
      </w:tr>
      <w:tr>
        <w:trPr>
          <w:trHeight w:val="204"/>
        </w:trPr>
        <w:tc>
          <w:tcPr>
            <w:tcW w:w="6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0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35,282</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37,149</w:t>
            </w:r>
          </w:p>
        </w:tc>
      </w:tr>
      <w:tr>
        <w:trPr>
          <w:trHeight w:val="204"/>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10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36,815</w:t>
            </w:r>
          </w:p>
        </w:tc>
        <w:tc>
          <w:tcPr>
            <w:tcW w:w="6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38,287</w:t>
            </w: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0"/>
        </w:trPr>
        <w:tc>
          <w:tcPr>
            <w:tcW w:w="6680" w:type="dxa"/>
            <w:vAlign w:val="bottom"/>
            <w:shd w:val="clear" w:color="auto" w:fill="CFF0FC"/>
          </w:tcPr>
          <w:p>
            <w:pPr>
              <w:ind w:left="20"/>
              <w:spacing w:after="0" w:line="180" w:lineRule="exact"/>
              <w:rPr>
                <w:sz w:val="20"/>
                <w:szCs w:val="20"/>
                <w:color w:val="auto"/>
              </w:rPr>
            </w:pPr>
            <w:r>
              <w:rPr>
                <w:rFonts w:ascii="Arial" w:cs="Arial" w:eastAsia="Arial" w:hAnsi="Arial"/>
                <w:sz w:val="16"/>
                <w:szCs w:val="16"/>
                <w:b w:val="1"/>
                <w:bCs w:val="1"/>
                <w:color w:val="auto"/>
              </w:rPr>
              <w:t>CASH PAID DURING THE PERIOD FOR:</w:t>
            </w:r>
          </w:p>
        </w:tc>
        <w:tc>
          <w:tcPr>
            <w:tcW w:w="10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r>
      <w:tr>
        <w:trPr>
          <w:trHeight w:val="203"/>
        </w:trPr>
        <w:tc>
          <w:tcPr>
            <w:tcW w:w="6680" w:type="dxa"/>
            <w:vAlign w:val="bottom"/>
          </w:tcPr>
          <w:p>
            <w:pPr>
              <w:ind w:left="180"/>
              <w:spacing w:after="0"/>
              <w:rPr>
                <w:sz w:val="20"/>
                <w:szCs w:val="20"/>
                <w:color w:val="auto"/>
              </w:rPr>
            </w:pPr>
            <w:r>
              <w:rPr>
                <w:rFonts w:ascii="Arial" w:cs="Arial" w:eastAsia="Arial" w:hAnsi="Arial"/>
                <w:sz w:val="16"/>
                <w:szCs w:val="16"/>
                <w:color w:val="auto"/>
              </w:rPr>
              <w:t>Interest</w:t>
            </w:r>
          </w:p>
        </w:tc>
        <w:tc>
          <w:tcPr>
            <w:tcW w:w="106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11,380</w:t>
            </w:r>
          </w:p>
        </w:tc>
        <w:tc>
          <w:tcPr>
            <w:tcW w:w="64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3,163</w:t>
            </w:r>
          </w:p>
        </w:tc>
      </w:tr>
      <w:tr>
        <w:trPr>
          <w:trHeight w:val="205"/>
        </w:trPr>
        <w:tc>
          <w:tcPr>
            <w:tcW w:w="66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Income taxes</w:t>
            </w:r>
          </w:p>
        </w:tc>
        <w:tc>
          <w:tcPr>
            <w:tcW w:w="10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1,700</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1,818</w:t>
            </w:r>
          </w:p>
        </w:tc>
      </w:tr>
      <w:tr>
        <w:trPr>
          <w:trHeight w:val="204"/>
        </w:trPr>
        <w:tc>
          <w:tcPr>
            <w:tcW w:w="6680" w:type="dxa"/>
            <w:vAlign w:val="bottom"/>
          </w:tcPr>
          <w:p>
            <w:pPr>
              <w:ind w:left="20"/>
              <w:spacing w:after="0"/>
              <w:rPr>
                <w:sz w:val="20"/>
                <w:szCs w:val="20"/>
                <w:color w:val="auto"/>
              </w:rPr>
            </w:pPr>
            <w:r>
              <w:rPr>
                <w:rFonts w:ascii="Arial" w:cs="Arial" w:eastAsia="Arial" w:hAnsi="Arial"/>
                <w:sz w:val="16"/>
                <w:szCs w:val="16"/>
                <w:b w:val="1"/>
                <w:bCs w:val="1"/>
                <w:color w:val="auto"/>
              </w:rPr>
              <w:t>NON-CASH INVESTING ACTIVITY</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4"/>
        </w:trPr>
        <w:tc>
          <w:tcPr>
            <w:tcW w:w="66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Real estate acquired in exchange for loans</w:t>
            </w:r>
          </w:p>
        </w:tc>
        <w:tc>
          <w:tcPr>
            <w:tcW w:w="10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333</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252</w:t>
            </w:r>
          </w:p>
        </w:tc>
      </w:tr>
      <w:tr>
        <w:trPr>
          <w:trHeight w:val="204"/>
        </w:trPr>
        <w:tc>
          <w:tcPr>
            <w:tcW w:w="6680" w:type="dxa"/>
            <w:vAlign w:val="bottom"/>
          </w:tcPr>
          <w:p>
            <w:pPr>
              <w:ind w:left="20"/>
              <w:spacing w:after="0"/>
              <w:rPr>
                <w:sz w:val="20"/>
                <w:szCs w:val="20"/>
                <w:color w:val="auto"/>
              </w:rPr>
            </w:pPr>
            <w:r>
              <w:rPr>
                <w:rFonts w:ascii="Arial" w:cs="Arial" w:eastAsia="Arial" w:hAnsi="Arial"/>
                <w:sz w:val="16"/>
                <w:szCs w:val="16"/>
                <w:b w:val="1"/>
                <w:bCs w:val="1"/>
                <w:color w:val="auto"/>
              </w:rPr>
              <w:t>RESTRICTED CASH</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4"/>
        </w:trPr>
        <w:tc>
          <w:tcPr>
            <w:tcW w:w="66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Collateral deposits for hedge position included in cash and due from banks</w:t>
            </w:r>
          </w:p>
        </w:tc>
        <w:tc>
          <w:tcPr>
            <w:tcW w:w="10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1,600</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168"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9</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18" w:right="680"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5"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The accompanying unaudited consolidated financial statements of Pathfinder Bancorp, Inc., (the “Company”), Pathfinder Bank (the “Bank”) and its other wholly owned subsidiaries have been prepared in accordance with accounting principles generally accepted in the United States of America for interim financial information, the instructions for Form 10-Q and Article 8 of Regulation S-X.</w:t>
      </w:r>
    </w:p>
    <w:p>
      <w:pPr>
        <w:spacing w:after="0" w:line="252" w:lineRule="auto"/>
        <w:rPr>
          <w:sz w:val="20"/>
          <w:szCs w:val="20"/>
          <w:color w:val="auto"/>
        </w:rPr>
      </w:pPr>
      <w:r>
        <w:rPr>
          <w:rFonts w:ascii="Arial" w:cs="Arial" w:eastAsia="Arial" w:hAnsi="Arial"/>
          <w:sz w:val="18"/>
          <w:szCs w:val="18"/>
          <w:color w:val="auto"/>
        </w:rPr>
        <w:t>Accordingly, they do not include all of the information and footnotes necessary for a complete presentation of consolidated financial condition, results of operations and cash flows in conformity with generally accepted accounting principles. In the opinion of management, all adjustments, consisting of normal recurring accruals considered necessary for a fair presentation, have been included. Certain amounts in the 2022 consolidated financial statements may have been reclassified to conform to the current period presentation. These reclassifications had no effect on net income or comprehensive income as previously reported. Operating results for the three and six months ended June 30, 2023 are not necessarily indicative of the results that may be expected for the full year ending December 31, 2023 or any other interim period.</w:t>
      </w:r>
    </w:p>
    <w:p>
      <w:pPr>
        <w:spacing w:after="0" w:line="19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and follow practices within the banking industry. Application of these principles requires management to make estimates, assumptions, and judgments that affect the amounts reported in the consolidated financial statements and accompanying notes. These estimates, assumptions, and judgments are based on information available as of the date of the financial statements; accordingly, as this information changes, the financial statements could reflect different estimates, assumptions, and judgments. Certain accounting policies inherently have a greater reliance on the use of estimates, assumptions, and judgments and as such, have a greater possibility of producing results that could be materially different than originally reported. Estimates, assumptions, and judgments are necessary when assets and liabilities are required to be recorded at fair value or when an asset or liability needs to be recorded contingent upon a future event. Carrying assets and liabilities at fair value inherently results in more financial statement volatility. The fair values and information used to record valuation adjustments for certain assets and liabilities are based on quoted market prices or are provided by unaffiliated third- party sources, when available. When third party information is not available, valuation adjustments are estimated in good faith by management.</w:t>
      </w:r>
    </w:p>
    <w:p>
      <w:pPr>
        <w:spacing w:after="0" w:line="20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the Company owns, through its subsidiary Pathfinder Risk Management Company, Inc., 51% of the membership interest in FitzGibbons Agency, LLC (“Agency”), the Company is required to consolidate 100% of the Agency within the consolidated financial statements. The 49% of which the Company does not own is accounted for separately as noncontrolling interests within the consolidated financial statements.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10</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87" w:right="680"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2:  New Accounting Pronouncements</w:t>
      </w:r>
    </w:p>
    <w:p>
      <w:pPr>
        <w:spacing w:after="0" w:line="2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Financial Accounting Standards Board (“FASB”) and, to a lesser extent, other authoritative rulemaking bodies promulgate generally accepted accounting principles (“GAAP”) to regulate the standards of accounting in the United States. From time to time, the FASB issues new GAAP standards, known as Accounting Standards Updates (“ASUs”) some of which, upon adoption, may have the potential to change the way in which the Company recognizes or reports within its consolidated financial statements. The following table provides a description of the accounting standards that are not currently effective, but could have an impact on the Company's consolidated financial statements upon adoption.</w:t>
      </w: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Standards Not Yet Adopted as of June 30, 2023</w:t>
      </w:r>
    </w:p>
    <w:p>
      <w:pPr>
        <w:sectPr>
          <w:pgSz w:w="11900" w:h="16840" w:orient="portrait"/>
          <w:cols w:equalWidth="0" w:num="1">
            <w:col w:w="10560"/>
          </w:cols>
          <w:pgMar w:left="660" w:top="877" w:right="680" w:bottom="1440" w:gutter="0" w:footer="0" w:header="0"/>
        </w:sect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Standard</w:t>
      </w:r>
    </w:p>
    <w:p>
      <w:pPr>
        <w:spacing w:after="0" w:line="208" w:lineRule="exact"/>
        <w:rPr>
          <w:sz w:val="20"/>
          <w:szCs w:val="20"/>
          <w:color w:val="auto"/>
        </w:rPr>
      </w:pPr>
    </w:p>
    <w:p>
      <w:pPr>
        <w:ind w:left="20"/>
        <w:spacing w:after="0" w:line="254" w:lineRule="auto"/>
        <w:rPr>
          <w:sz w:val="20"/>
          <w:szCs w:val="20"/>
          <w:color w:val="auto"/>
        </w:rPr>
      </w:pPr>
      <w:r>
        <w:rPr>
          <w:rFonts w:ascii="Arial" w:cs="Arial" w:eastAsia="Arial" w:hAnsi="Arial"/>
          <w:sz w:val="13"/>
          <w:szCs w:val="13"/>
          <w:color w:val="auto"/>
        </w:rPr>
        <w:t xml:space="preserve">Reference Rate Reform </w:t>
      </w:r>
      <w:r>
        <w:rPr>
          <w:rFonts w:ascii="Arial" w:cs="Arial" w:eastAsia="Arial" w:hAnsi="Arial"/>
          <w:sz w:val="13"/>
          <w:szCs w:val="13"/>
          <w:i w:val="1"/>
          <w:iCs w:val="1"/>
          <w:color w:val="auto"/>
        </w:rPr>
        <w:t>(ASU 2020 -04: Facilitation of the Effects of Reference Rate Reform on Financial Reporting [Topic 848]: Deferral of the Sunset Date of Topic 848)</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-1049655</wp:posOffset>
            </wp:positionH>
            <wp:positionV relativeFrom="paragraph">
              <wp:posOffset>-114300</wp:posOffset>
            </wp:positionV>
            <wp:extent cx="6707505" cy="243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07505" cy="243840"/>
                    </a:xfrm>
                    <a:prstGeom prst="rect">
                      <a:avLst/>
                    </a:prstGeom>
                    <a:noFill/>
                  </pic:spPr>
                </pic:pic>
              </a:graphicData>
            </a:graphic>
          </wp:anchor>
        </w:drawing>
      </w:r>
    </w:p>
    <w:p>
      <w:pPr>
        <w:spacing w:after="0" w:line="188"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The amendments provide optional expedients and exceptions for applying generally accepted accounting principles (GAAP) to contracts, hedging relationships, and other transactions affected by reference rate reform. The amendments apply only to contracts, hedging relationships, and other transactions that reference LIBOR or another reference rate expected to be discontinued because of reference rate reform. The amendments (1) apply to contract modifications that replace a reference rate affected by reference rate reform, (2) provide exceptions to existing guidance related to changes to the critical terms of a hedging relationship due to reference rate reform (3) provide optional expedients for fair value hedging relationships, cash flow hedging relationships, and net investment hedging relationships, and (4) provide a onetime election to sell, transfer, or both sell and transfer debt securities classified as held-to -maturity that reference a rate affected by reference rate reform and that are classified as held-to-maturity before January 1, 2020. In January 2021, the FASB issued ASU 2021-01, Reference Rate Reform (Topic 848): Scope. ASU 2021 -01 clarifies that certain optional expedients and exceptions in ASC 848 for contract modifications and hedge accounting apply to derivatives that are affected by the discounting transition. ASU 2021-01 also amends the expedients and exceptions in ASC 848 to capture the incremental consequences of the scope clarification and to tailor the existing guidance to derivative instruments affected by the discounting transition.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Required Date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 Implementation</w:t>
      </w:r>
    </w:p>
    <w:p>
      <w:pPr>
        <w:spacing w:after="0" w:line="15"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Upon issuance, January 7, 2021, through December 31, 2024, as amended by ASU 2022-06.</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b w:val="1"/>
          <w:bCs w:val="1"/>
          <w:color w:val="auto"/>
        </w:rPr>
        <w:t>Effect on Consolidated Financial Statements</w:t>
      </w:r>
    </w:p>
    <w:p>
      <w:pPr>
        <w:spacing w:after="0" w:line="256" w:lineRule="auto"/>
        <w:rPr>
          <w:sz w:val="20"/>
          <w:szCs w:val="20"/>
          <w:color w:val="auto"/>
        </w:rPr>
      </w:pPr>
      <w:r>
        <w:rPr>
          <w:rFonts w:ascii="Arial" w:cs="Arial" w:eastAsia="Arial" w:hAnsi="Arial"/>
          <w:sz w:val="13"/>
          <w:szCs w:val="13"/>
          <w:color w:val="auto"/>
        </w:rPr>
        <w:t>The adoption of this ASU is not expected to have a material impact to the Company's consolidated statements of condition or income.</w:t>
      </w:r>
    </w:p>
    <w:p>
      <w:pPr>
        <w:spacing w:after="0" w:line="2996" w:lineRule="exact"/>
        <w:rPr>
          <w:sz w:val="20"/>
          <w:szCs w:val="20"/>
          <w:color w:val="auto"/>
        </w:rPr>
      </w:pPr>
    </w:p>
    <w:p>
      <w:pPr>
        <w:sectPr>
          <w:pgSz w:w="11900" w:h="16840" w:orient="portrait"/>
          <w:cols w:equalWidth="0" w:num="4">
            <w:col w:w="1460" w:space="200"/>
            <w:col w:w="4460" w:space="120"/>
            <w:col w:w="1680" w:space="100"/>
            <w:col w:w="2540"/>
          </w:cols>
          <w:pgMar w:left="660" w:top="877" w:right="680" w:bottom="1440" w:gutter="0" w:footer="0" w:header="0"/>
          <w:type w:val="continuous"/>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11</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77" w:right="68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3:  Earnings per Common Share</w:t>
      </w:r>
    </w:p>
    <w:p>
      <w:pPr>
        <w:spacing w:after="0" w:line="199"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Following shareholder approval received on June 4, 2021, the Company converted 1,380,283 shares of its Series B Convertible Perpetual Preferred Stock ("Convertible Perpetual Preferred Stock") to an equal number of shares of its newly -created Series A Non-Voting Common Stock. The conversion, which was effective on June 28, 2021, represented 100% of the Company's Convertible Perpetual Preferred Stock outstanding at the time of the conversion and retired the Convertible Perpetual Preferred Stock in perpetuity.</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voting common stock, non-voting common stock and a warrant that are all eligible to participate in dividends equal to the voting common stock dividends on a per share basis. Securities that participate in dividends, such as the Company’s non-voting common stock and warrant, are considered “participating securities”. The Company calculates net income available to voting common shareholders using the two-class method required for capital structures that include participating securities.</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applying the two-class method, basic net income per share was calculated by dividing net income (less any dividends on participating securities) by the weighted average number of shares of voting common stock and participating securities outstanding for the period. Diluted earnings per share may include the additional effect of other securities, if dilutive, in which case the dilutive effect of such securities is calculated by applying either the two-class method or the Treasury Stock method to the assumed exercise or vesting of potentially dilutive common shares. The method yielding the more dilutive result is ultimately reported for the applicable period. Potentially dilutive common stock equivalents primarily consist of employee stock options and restricted stock units. Unallocated common shares held by the ESOP are not included in the weighted average number of common shares outstanding for purposes of calculating earnings per common share until they are committed to be released to plan participants.</w:t>
      </w:r>
    </w:p>
    <w:p>
      <w:pPr>
        <w:spacing w:after="0" w:line="15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Anti-dilutive shares are common stock equivalents with average exercise prices in excess of the weighted average market price for the period presented. Anti -dilutive stock options, not included in the computation below, were -0- for the three and six months ended June 30, 2023, and -0- for the three and six months ended June 30, 2022,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basic and diluted earnings per share.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00" w:type="dxa"/>
            <w:vAlign w:val="bottom"/>
            <w:gridSpan w:val="2"/>
          </w:tcPr>
          <w:p>
            <w:pPr>
              <w:jc w:val="right"/>
              <w:ind w:right="88"/>
              <w:spacing w:after="0"/>
              <w:rPr>
                <w:sz w:val="20"/>
                <w:szCs w:val="20"/>
                <w:color w:val="auto"/>
              </w:rPr>
            </w:pPr>
            <w:r>
              <w:rPr>
                <w:rFonts w:ascii="Arial" w:cs="Arial" w:eastAsia="Arial" w:hAnsi="Arial"/>
                <w:sz w:val="14"/>
                <w:szCs w:val="14"/>
                <w:color w:val="auto"/>
              </w:rPr>
              <w:t>Three months ended</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60" w:type="dxa"/>
            <w:vAlign w:val="bottom"/>
            <w:gridSpan w:val="2"/>
          </w:tcPr>
          <w:p>
            <w:pPr>
              <w:jc w:val="right"/>
              <w:ind w:right="88"/>
              <w:spacing w:after="0"/>
              <w:rPr>
                <w:sz w:val="20"/>
                <w:szCs w:val="20"/>
                <w:color w:val="auto"/>
              </w:rPr>
            </w:pPr>
            <w:r>
              <w:rPr>
                <w:rFonts w:ascii="Arial" w:cs="Arial" w:eastAsia="Arial" w:hAnsi="Arial"/>
                <w:sz w:val="14"/>
                <w:szCs w:val="14"/>
                <w:color w:val="auto"/>
              </w:rPr>
              <w:t>Six months ended</w:t>
            </w:r>
          </w:p>
        </w:tc>
        <w:tc>
          <w:tcPr>
            <w:tcW w:w="640" w:type="dxa"/>
            <w:vAlign w:val="bottom"/>
          </w:tcPr>
          <w:p>
            <w:pPr>
              <w:spacing w:after="0"/>
              <w:rPr>
                <w:sz w:val="15"/>
                <w:szCs w:val="15"/>
                <w:color w:val="auto"/>
              </w:rPr>
            </w:pPr>
          </w:p>
        </w:tc>
      </w:tr>
      <w:tr>
        <w:trPr>
          <w:trHeight w:val="192"/>
        </w:trPr>
        <w:tc>
          <w:tcPr>
            <w:tcW w:w="4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June 30,</w:t>
            </w: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60" w:type="dxa"/>
            <w:vAlign w:val="bottom"/>
            <w:gridSpan w:val="2"/>
          </w:tcPr>
          <w:p>
            <w:pPr>
              <w:jc w:val="right"/>
              <w:ind w:right="388"/>
              <w:spacing w:after="0"/>
              <w:rPr>
                <w:sz w:val="20"/>
                <w:szCs w:val="20"/>
                <w:color w:val="auto"/>
              </w:rPr>
            </w:pPr>
            <w:r>
              <w:rPr>
                <w:rFonts w:ascii="Arial" w:cs="Arial" w:eastAsia="Arial" w:hAnsi="Arial"/>
                <w:sz w:val="14"/>
                <w:szCs w:val="14"/>
                <w:color w:val="auto"/>
              </w:rPr>
              <w:t>June 30,</w:t>
            </w:r>
          </w:p>
        </w:tc>
        <w:tc>
          <w:tcPr>
            <w:tcW w:w="640" w:type="dxa"/>
            <w:vAlign w:val="bottom"/>
          </w:tcPr>
          <w:p>
            <w:pPr>
              <w:spacing w:after="0"/>
              <w:rPr>
                <w:sz w:val="16"/>
                <w:szCs w:val="16"/>
                <w:color w:val="auto"/>
              </w:rPr>
            </w:pPr>
          </w:p>
        </w:tc>
      </w:tr>
      <w:tr>
        <w:trPr>
          <w:trHeight w:val="195"/>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440" w:type="dxa"/>
            <w:vAlign w:val="bottom"/>
          </w:tcPr>
          <w:p>
            <w:pPr>
              <w:spacing w:after="0"/>
              <w:rPr>
                <w:sz w:val="16"/>
                <w:szCs w:val="16"/>
                <w:color w:val="auto"/>
              </w:rPr>
            </w:pPr>
          </w:p>
        </w:tc>
        <w:tc>
          <w:tcPr>
            <w:tcW w:w="1360" w:type="dxa"/>
            <w:vAlign w:val="bottom"/>
          </w:tcPr>
          <w:p>
            <w:pPr>
              <w:jc w:val="right"/>
              <w:ind w:right="448"/>
              <w:spacing w:after="0"/>
              <w:rPr>
                <w:sz w:val="20"/>
                <w:szCs w:val="20"/>
                <w:color w:val="auto"/>
              </w:rPr>
            </w:pPr>
            <w:r>
              <w:rPr>
                <w:rFonts w:ascii="Arial" w:cs="Arial" w:eastAsia="Arial" w:hAnsi="Arial"/>
                <w:sz w:val="14"/>
                <w:szCs w:val="14"/>
                <w:color w:val="auto"/>
              </w:rPr>
              <w:t>2023</w:t>
            </w:r>
          </w:p>
        </w:tc>
        <w:tc>
          <w:tcPr>
            <w:tcW w:w="54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2022</w:t>
            </w:r>
          </w:p>
        </w:tc>
        <w:tc>
          <w:tcPr>
            <w:tcW w:w="620" w:type="dxa"/>
            <w:vAlign w:val="bottom"/>
          </w:tcPr>
          <w:p>
            <w:pPr>
              <w:spacing w:after="0"/>
              <w:rPr>
                <w:sz w:val="16"/>
                <w:szCs w:val="16"/>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2023</w:t>
            </w:r>
          </w:p>
        </w:tc>
        <w:tc>
          <w:tcPr>
            <w:tcW w:w="7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2022</w:t>
            </w:r>
          </w:p>
        </w:tc>
      </w:tr>
      <w:tr>
        <w:trPr>
          <w:trHeight w:val="195"/>
        </w:trPr>
        <w:tc>
          <w:tcPr>
            <w:tcW w:w="4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attributable to Pathfinder Bancorp, Inc.</w:t>
            </w:r>
          </w:p>
        </w:tc>
        <w:tc>
          <w:tcPr>
            <w:tcW w:w="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ind w:right="448"/>
              <w:spacing w:after="0"/>
              <w:rPr>
                <w:sz w:val="20"/>
                <w:szCs w:val="20"/>
                <w:color w:val="auto"/>
              </w:rPr>
            </w:pPr>
            <w:r>
              <w:rPr>
                <w:rFonts w:ascii="Arial" w:cs="Arial" w:eastAsia="Arial" w:hAnsi="Arial"/>
                <w:sz w:val="14"/>
                <w:szCs w:val="14"/>
                <w:color w:val="auto"/>
              </w:rPr>
              <w:t>1,982</w:t>
            </w:r>
          </w:p>
        </w:tc>
        <w:tc>
          <w:tcPr>
            <w:tcW w:w="54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3,272</w:t>
            </w:r>
          </w:p>
        </w:tc>
        <w:tc>
          <w:tcPr>
            <w:tcW w:w="62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4,581</w:t>
            </w:r>
          </w:p>
        </w:tc>
        <w:tc>
          <w:tcPr>
            <w:tcW w:w="740" w:type="dxa"/>
            <w:vAlign w:val="bottom"/>
            <w:shd w:val="clear" w:color="auto" w:fill="CFF0FC"/>
          </w:tcPr>
          <w:p>
            <w:pPr>
              <w:jc w:val="right"/>
              <w:ind w:right="3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6,222</w:t>
            </w: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Series A Non-Voting Common Stock dividends</w:t>
            </w:r>
          </w:p>
        </w:tc>
        <w:tc>
          <w:tcPr>
            <w:tcW w:w="440" w:type="dxa"/>
            <w:vAlign w:val="bottom"/>
          </w:tcPr>
          <w:p>
            <w:pPr>
              <w:spacing w:after="0"/>
              <w:rPr>
                <w:sz w:val="16"/>
                <w:szCs w:val="16"/>
                <w:color w:val="auto"/>
              </w:rPr>
            </w:pPr>
          </w:p>
        </w:tc>
        <w:tc>
          <w:tcPr>
            <w:tcW w:w="1360" w:type="dxa"/>
            <w:vAlign w:val="bottom"/>
          </w:tcPr>
          <w:p>
            <w:pPr>
              <w:jc w:val="right"/>
              <w:ind w:right="448"/>
              <w:spacing w:after="0"/>
              <w:rPr>
                <w:sz w:val="20"/>
                <w:szCs w:val="20"/>
                <w:color w:val="auto"/>
              </w:rPr>
            </w:pPr>
            <w:r>
              <w:rPr>
                <w:rFonts w:ascii="Arial" w:cs="Arial" w:eastAsia="Arial" w:hAnsi="Arial"/>
                <w:sz w:val="14"/>
                <w:szCs w:val="14"/>
                <w:color w:val="auto"/>
              </w:rPr>
              <w:t>124</w:t>
            </w:r>
          </w:p>
        </w:tc>
        <w:tc>
          <w:tcPr>
            <w:tcW w:w="54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124</w:t>
            </w:r>
          </w:p>
        </w:tc>
        <w:tc>
          <w:tcPr>
            <w:tcW w:w="620" w:type="dxa"/>
            <w:vAlign w:val="bottom"/>
          </w:tcPr>
          <w:p>
            <w:pPr>
              <w:spacing w:after="0"/>
              <w:rPr>
                <w:sz w:val="16"/>
                <w:szCs w:val="16"/>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248</w:t>
            </w:r>
          </w:p>
        </w:tc>
        <w:tc>
          <w:tcPr>
            <w:tcW w:w="7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248</w:t>
            </w:r>
          </w:p>
        </w:tc>
      </w:tr>
      <w:tr>
        <w:trPr>
          <w:trHeight w:val="195"/>
        </w:trPr>
        <w:tc>
          <w:tcPr>
            <w:tcW w:w="4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Warrant dividends</w:t>
            </w:r>
          </w:p>
        </w:tc>
        <w:tc>
          <w:tcPr>
            <w:tcW w:w="44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448"/>
              <w:spacing w:after="0"/>
              <w:rPr>
                <w:sz w:val="20"/>
                <w:szCs w:val="20"/>
                <w:color w:val="auto"/>
              </w:rPr>
            </w:pPr>
            <w:r>
              <w:rPr>
                <w:rFonts w:ascii="Arial" w:cs="Arial" w:eastAsia="Arial" w:hAnsi="Arial"/>
                <w:sz w:val="14"/>
                <w:szCs w:val="14"/>
                <w:color w:val="auto"/>
              </w:rPr>
              <w:t>11</w:t>
            </w:r>
          </w:p>
        </w:tc>
        <w:tc>
          <w:tcPr>
            <w:tcW w:w="5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12</w:t>
            </w:r>
          </w:p>
        </w:tc>
        <w:tc>
          <w:tcPr>
            <w:tcW w:w="62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22</w:t>
            </w:r>
          </w:p>
        </w:tc>
        <w:tc>
          <w:tcPr>
            <w:tcW w:w="74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23</w:t>
            </w: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Undistributed earnings allocated to participating securities</w:t>
            </w:r>
          </w:p>
        </w:tc>
        <w:tc>
          <w:tcPr>
            <w:tcW w:w="440" w:type="dxa"/>
            <w:vAlign w:val="bottom"/>
          </w:tcPr>
          <w:p>
            <w:pPr>
              <w:spacing w:after="0"/>
              <w:rPr>
                <w:sz w:val="16"/>
                <w:szCs w:val="16"/>
                <w:color w:val="auto"/>
              </w:rPr>
            </w:pPr>
          </w:p>
        </w:tc>
        <w:tc>
          <w:tcPr>
            <w:tcW w:w="1360" w:type="dxa"/>
            <w:vAlign w:val="bottom"/>
          </w:tcPr>
          <w:p>
            <w:pPr>
              <w:jc w:val="right"/>
              <w:ind w:right="448"/>
              <w:spacing w:after="0"/>
              <w:rPr>
                <w:sz w:val="20"/>
                <w:szCs w:val="20"/>
                <w:color w:val="auto"/>
              </w:rPr>
            </w:pPr>
            <w:r>
              <w:rPr>
                <w:rFonts w:ascii="Arial" w:cs="Arial" w:eastAsia="Arial" w:hAnsi="Arial"/>
                <w:sz w:val="14"/>
                <w:szCs w:val="14"/>
                <w:color w:val="auto"/>
              </w:rPr>
              <w:t>350</w:t>
            </w:r>
          </w:p>
        </w:tc>
        <w:tc>
          <w:tcPr>
            <w:tcW w:w="54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677</w:t>
            </w:r>
          </w:p>
        </w:tc>
        <w:tc>
          <w:tcPr>
            <w:tcW w:w="620" w:type="dxa"/>
            <w:vAlign w:val="bottom"/>
          </w:tcPr>
          <w:p>
            <w:pPr>
              <w:spacing w:after="0"/>
              <w:rPr>
                <w:sz w:val="16"/>
                <w:szCs w:val="16"/>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854</w:t>
            </w:r>
          </w:p>
        </w:tc>
        <w:tc>
          <w:tcPr>
            <w:tcW w:w="7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1,277</w:t>
            </w:r>
          </w:p>
        </w:tc>
      </w:tr>
      <w:tr>
        <w:trPr>
          <w:trHeight w:val="232"/>
        </w:trPr>
        <w:tc>
          <w:tcPr>
            <w:tcW w:w="45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Net income available to common shareholders-Voting</w:t>
            </w:r>
          </w:p>
        </w:tc>
        <w:tc>
          <w:tcPr>
            <w:tcW w:w="4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FF0FC"/>
          </w:tcPr>
          <w:p>
            <w:pPr>
              <w:jc w:val="right"/>
              <w:ind w:right="448"/>
              <w:spacing w:after="0"/>
              <w:rPr>
                <w:sz w:val="20"/>
                <w:szCs w:val="20"/>
                <w:color w:val="auto"/>
              </w:rPr>
            </w:pPr>
            <w:r>
              <w:rPr>
                <w:rFonts w:ascii="Arial" w:cs="Arial" w:eastAsia="Arial" w:hAnsi="Arial"/>
                <w:sz w:val="14"/>
                <w:szCs w:val="14"/>
                <w:color w:val="auto"/>
              </w:rPr>
              <w:t>1,497</w:t>
            </w:r>
          </w:p>
        </w:tc>
        <w:tc>
          <w:tcPr>
            <w:tcW w:w="540" w:type="dxa"/>
            <w:vAlign w:val="bottom"/>
            <w:tcBorders>
              <w:bottom w:val="single" w:sz="8" w:color="auto"/>
            </w:tcBorders>
            <w:shd w:val="clear" w:color="auto" w:fill="CFF0FC"/>
          </w:tcPr>
          <w:p>
            <w:pPr>
              <w:jc w:val="right"/>
              <w:ind w:right="38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2,459</w:t>
            </w:r>
          </w:p>
        </w:tc>
        <w:tc>
          <w:tcPr>
            <w:tcW w:w="62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3,457</w:t>
            </w:r>
          </w:p>
        </w:tc>
        <w:tc>
          <w:tcPr>
            <w:tcW w:w="740" w:type="dxa"/>
            <w:vAlign w:val="bottom"/>
            <w:tcBorders>
              <w:bottom w:val="single" w:sz="8" w:color="auto"/>
            </w:tcBorders>
            <w:shd w:val="clear" w:color="auto" w:fill="CFF0FC"/>
          </w:tcPr>
          <w:p>
            <w:pPr>
              <w:jc w:val="right"/>
              <w:ind w:right="3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4,674</w:t>
            </w:r>
          </w:p>
        </w:tc>
      </w:tr>
      <w:tr>
        <w:trPr>
          <w:trHeight w:val="171"/>
        </w:trPr>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92"/>
        </w:trPr>
        <w:tc>
          <w:tcPr>
            <w:tcW w:w="4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attributable to Pathfinder Bancorp, Inc.</w:t>
            </w:r>
          </w:p>
        </w:tc>
        <w:tc>
          <w:tcPr>
            <w:tcW w:w="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ind w:right="448"/>
              <w:spacing w:after="0"/>
              <w:rPr>
                <w:sz w:val="20"/>
                <w:szCs w:val="20"/>
                <w:color w:val="auto"/>
              </w:rPr>
            </w:pPr>
            <w:r>
              <w:rPr>
                <w:rFonts w:ascii="Arial" w:cs="Arial" w:eastAsia="Arial" w:hAnsi="Arial"/>
                <w:sz w:val="14"/>
                <w:szCs w:val="14"/>
                <w:color w:val="auto"/>
              </w:rPr>
              <w:t>1,982</w:t>
            </w:r>
          </w:p>
        </w:tc>
        <w:tc>
          <w:tcPr>
            <w:tcW w:w="54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3,272</w:t>
            </w:r>
          </w:p>
        </w:tc>
        <w:tc>
          <w:tcPr>
            <w:tcW w:w="62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4,581</w:t>
            </w:r>
          </w:p>
        </w:tc>
        <w:tc>
          <w:tcPr>
            <w:tcW w:w="740" w:type="dxa"/>
            <w:vAlign w:val="bottom"/>
            <w:shd w:val="clear" w:color="auto" w:fill="CFF0FC"/>
          </w:tcPr>
          <w:p>
            <w:pPr>
              <w:jc w:val="right"/>
              <w:ind w:right="3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6,222</w:t>
            </w: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Voting Common Stock dividends</w:t>
            </w:r>
          </w:p>
        </w:tc>
        <w:tc>
          <w:tcPr>
            <w:tcW w:w="440" w:type="dxa"/>
            <w:vAlign w:val="bottom"/>
          </w:tcPr>
          <w:p>
            <w:pPr>
              <w:spacing w:after="0"/>
              <w:rPr>
                <w:sz w:val="16"/>
                <w:szCs w:val="16"/>
                <w:color w:val="auto"/>
              </w:rPr>
            </w:pPr>
          </w:p>
        </w:tc>
        <w:tc>
          <w:tcPr>
            <w:tcW w:w="1360" w:type="dxa"/>
            <w:vAlign w:val="bottom"/>
          </w:tcPr>
          <w:p>
            <w:pPr>
              <w:jc w:val="right"/>
              <w:ind w:right="448"/>
              <w:spacing w:after="0"/>
              <w:rPr>
                <w:sz w:val="20"/>
                <w:szCs w:val="20"/>
                <w:color w:val="auto"/>
              </w:rPr>
            </w:pPr>
            <w:r>
              <w:rPr>
                <w:rFonts w:ascii="Arial" w:cs="Arial" w:eastAsia="Arial" w:hAnsi="Arial"/>
                <w:sz w:val="14"/>
                <w:szCs w:val="14"/>
                <w:color w:val="auto"/>
              </w:rPr>
              <w:t>419</w:t>
            </w:r>
          </w:p>
        </w:tc>
        <w:tc>
          <w:tcPr>
            <w:tcW w:w="54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411</w:t>
            </w:r>
          </w:p>
        </w:tc>
        <w:tc>
          <w:tcPr>
            <w:tcW w:w="620" w:type="dxa"/>
            <w:vAlign w:val="bottom"/>
          </w:tcPr>
          <w:p>
            <w:pPr>
              <w:spacing w:after="0"/>
              <w:rPr>
                <w:sz w:val="16"/>
                <w:szCs w:val="16"/>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835</w:t>
            </w:r>
          </w:p>
        </w:tc>
        <w:tc>
          <w:tcPr>
            <w:tcW w:w="7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820</w:t>
            </w:r>
          </w:p>
        </w:tc>
      </w:tr>
      <w:tr>
        <w:trPr>
          <w:trHeight w:val="195"/>
        </w:trPr>
        <w:tc>
          <w:tcPr>
            <w:tcW w:w="4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Warrant dividends</w:t>
            </w:r>
          </w:p>
        </w:tc>
        <w:tc>
          <w:tcPr>
            <w:tcW w:w="44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448"/>
              <w:spacing w:after="0"/>
              <w:rPr>
                <w:sz w:val="20"/>
                <w:szCs w:val="20"/>
                <w:color w:val="auto"/>
              </w:rPr>
            </w:pPr>
            <w:r>
              <w:rPr>
                <w:rFonts w:ascii="Arial" w:cs="Arial" w:eastAsia="Arial" w:hAnsi="Arial"/>
                <w:sz w:val="14"/>
                <w:szCs w:val="14"/>
                <w:color w:val="auto"/>
              </w:rPr>
              <w:t>11</w:t>
            </w:r>
          </w:p>
        </w:tc>
        <w:tc>
          <w:tcPr>
            <w:tcW w:w="5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12</w:t>
            </w:r>
          </w:p>
        </w:tc>
        <w:tc>
          <w:tcPr>
            <w:tcW w:w="62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22</w:t>
            </w:r>
          </w:p>
        </w:tc>
        <w:tc>
          <w:tcPr>
            <w:tcW w:w="74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23</w:t>
            </w: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Undistributed earnings allocated to participating securities</w:t>
            </w:r>
          </w:p>
        </w:tc>
        <w:tc>
          <w:tcPr>
            <w:tcW w:w="440" w:type="dxa"/>
            <w:vAlign w:val="bottom"/>
          </w:tcPr>
          <w:p>
            <w:pPr>
              <w:spacing w:after="0"/>
              <w:rPr>
                <w:sz w:val="16"/>
                <w:szCs w:val="16"/>
                <w:color w:val="auto"/>
              </w:rPr>
            </w:pPr>
          </w:p>
        </w:tc>
        <w:tc>
          <w:tcPr>
            <w:tcW w:w="1360" w:type="dxa"/>
            <w:vAlign w:val="bottom"/>
          </w:tcPr>
          <w:p>
            <w:pPr>
              <w:jc w:val="right"/>
              <w:ind w:right="448"/>
              <w:spacing w:after="0"/>
              <w:rPr>
                <w:sz w:val="20"/>
                <w:szCs w:val="20"/>
                <w:color w:val="auto"/>
              </w:rPr>
            </w:pPr>
            <w:r>
              <w:rPr>
                <w:rFonts w:ascii="Arial" w:cs="Arial" w:eastAsia="Arial" w:hAnsi="Arial"/>
                <w:sz w:val="14"/>
                <w:szCs w:val="14"/>
                <w:color w:val="auto"/>
              </w:rPr>
              <w:t>1,107</w:t>
            </w:r>
          </w:p>
        </w:tc>
        <w:tc>
          <w:tcPr>
            <w:tcW w:w="54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2,104</w:t>
            </w:r>
          </w:p>
        </w:tc>
        <w:tc>
          <w:tcPr>
            <w:tcW w:w="620" w:type="dxa"/>
            <w:vAlign w:val="bottom"/>
          </w:tcPr>
          <w:p>
            <w:pPr>
              <w:spacing w:after="0"/>
              <w:rPr>
                <w:sz w:val="16"/>
                <w:szCs w:val="16"/>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2,693</w:t>
            </w:r>
          </w:p>
        </w:tc>
        <w:tc>
          <w:tcPr>
            <w:tcW w:w="7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3,960</w:t>
            </w:r>
          </w:p>
        </w:tc>
      </w:tr>
      <w:tr>
        <w:trPr>
          <w:trHeight w:val="232"/>
        </w:trPr>
        <w:tc>
          <w:tcPr>
            <w:tcW w:w="45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Net income available to common shareholders-Series A Non-Voting</w:t>
            </w:r>
          </w:p>
        </w:tc>
        <w:tc>
          <w:tcPr>
            <w:tcW w:w="4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FF0FC"/>
          </w:tcPr>
          <w:p>
            <w:pPr>
              <w:jc w:val="right"/>
              <w:ind w:right="448"/>
              <w:spacing w:after="0"/>
              <w:rPr>
                <w:sz w:val="20"/>
                <w:szCs w:val="20"/>
                <w:color w:val="auto"/>
              </w:rPr>
            </w:pPr>
            <w:r>
              <w:rPr>
                <w:rFonts w:ascii="Arial" w:cs="Arial" w:eastAsia="Arial" w:hAnsi="Arial"/>
                <w:sz w:val="14"/>
                <w:szCs w:val="14"/>
                <w:color w:val="auto"/>
              </w:rPr>
              <w:t>445</w:t>
            </w:r>
          </w:p>
        </w:tc>
        <w:tc>
          <w:tcPr>
            <w:tcW w:w="540" w:type="dxa"/>
            <w:vAlign w:val="bottom"/>
            <w:tcBorders>
              <w:bottom w:val="single" w:sz="8" w:color="auto"/>
            </w:tcBorders>
            <w:shd w:val="clear" w:color="auto" w:fill="CFF0FC"/>
          </w:tcPr>
          <w:p>
            <w:pPr>
              <w:jc w:val="right"/>
              <w:ind w:right="38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745</w:t>
            </w:r>
          </w:p>
        </w:tc>
        <w:tc>
          <w:tcPr>
            <w:tcW w:w="62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1,031</w:t>
            </w:r>
          </w:p>
        </w:tc>
        <w:tc>
          <w:tcPr>
            <w:tcW w:w="740" w:type="dxa"/>
            <w:vAlign w:val="bottom"/>
            <w:tcBorders>
              <w:bottom w:val="single" w:sz="8" w:color="auto"/>
            </w:tcBorders>
            <w:shd w:val="clear" w:color="auto" w:fill="CFF0FC"/>
          </w:tcPr>
          <w:p>
            <w:pPr>
              <w:jc w:val="right"/>
              <w:ind w:right="3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1,419</w:t>
            </w:r>
          </w:p>
        </w:tc>
      </w:tr>
      <w:tr>
        <w:trPr>
          <w:trHeight w:val="171"/>
        </w:trPr>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4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Basic and diluted weighted average common shares outstanding-</w:t>
            </w:r>
          </w:p>
        </w:tc>
        <w:tc>
          <w:tcPr>
            <w:tcW w:w="4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r>
      <w:tr>
        <w:trPr>
          <w:trHeight w:val="188"/>
        </w:trPr>
        <w:tc>
          <w:tcPr>
            <w:tcW w:w="4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Voting</w:t>
            </w:r>
          </w:p>
        </w:tc>
        <w:tc>
          <w:tcPr>
            <w:tcW w:w="44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448"/>
              <w:spacing w:after="0"/>
              <w:rPr>
                <w:sz w:val="20"/>
                <w:szCs w:val="20"/>
                <w:color w:val="auto"/>
              </w:rPr>
            </w:pPr>
            <w:r>
              <w:rPr>
                <w:rFonts w:ascii="Arial" w:cs="Arial" w:eastAsia="Arial" w:hAnsi="Arial"/>
                <w:sz w:val="14"/>
                <w:szCs w:val="14"/>
                <w:color w:val="auto"/>
              </w:rPr>
              <w:t>4,639</w:t>
            </w:r>
          </w:p>
        </w:tc>
        <w:tc>
          <w:tcPr>
            <w:tcW w:w="5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4,549</w:t>
            </w:r>
          </w:p>
        </w:tc>
        <w:tc>
          <w:tcPr>
            <w:tcW w:w="62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4,624</w:t>
            </w:r>
          </w:p>
        </w:tc>
        <w:tc>
          <w:tcPr>
            <w:tcW w:w="74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4,543</w:t>
            </w:r>
          </w:p>
        </w:tc>
      </w:tr>
      <w:tr>
        <w:trPr>
          <w:trHeight w:val="172"/>
        </w:trPr>
        <w:tc>
          <w:tcPr>
            <w:tcW w:w="4540" w:type="dxa"/>
            <w:vAlign w:val="bottom"/>
          </w:tcPr>
          <w:p>
            <w:pPr>
              <w:ind w:left="20"/>
              <w:spacing w:after="0"/>
              <w:rPr>
                <w:sz w:val="20"/>
                <w:szCs w:val="20"/>
                <w:color w:val="auto"/>
              </w:rPr>
            </w:pPr>
            <w:r>
              <w:rPr>
                <w:rFonts w:ascii="Arial" w:cs="Arial" w:eastAsia="Arial" w:hAnsi="Arial"/>
                <w:sz w:val="14"/>
                <w:szCs w:val="14"/>
                <w:color w:val="auto"/>
              </w:rPr>
              <w:t>Basic and diluted weighted average common shares outstanding-</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85"/>
        </w:trPr>
        <w:tc>
          <w:tcPr>
            <w:tcW w:w="4540" w:type="dxa"/>
            <w:vAlign w:val="bottom"/>
          </w:tcPr>
          <w:p>
            <w:pPr>
              <w:ind w:left="20"/>
              <w:spacing w:after="0"/>
              <w:rPr>
                <w:sz w:val="20"/>
                <w:szCs w:val="20"/>
                <w:color w:val="auto"/>
              </w:rPr>
            </w:pPr>
            <w:r>
              <w:rPr>
                <w:rFonts w:ascii="Arial" w:cs="Arial" w:eastAsia="Arial" w:hAnsi="Arial"/>
                <w:sz w:val="14"/>
                <w:szCs w:val="14"/>
                <w:color w:val="auto"/>
              </w:rPr>
              <w:t>Series A Non-Voting</w:t>
            </w:r>
          </w:p>
        </w:tc>
        <w:tc>
          <w:tcPr>
            <w:tcW w:w="440" w:type="dxa"/>
            <w:vAlign w:val="bottom"/>
          </w:tcPr>
          <w:p>
            <w:pPr>
              <w:spacing w:after="0"/>
              <w:rPr>
                <w:sz w:val="16"/>
                <w:szCs w:val="16"/>
                <w:color w:val="auto"/>
              </w:rPr>
            </w:pPr>
          </w:p>
        </w:tc>
        <w:tc>
          <w:tcPr>
            <w:tcW w:w="1360" w:type="dxa"/>
            <w:vAlign w:val="bottom"/>
          </w:tcPr>
          <w:p>
            <w:pPr>
              <w:jc w:val="right"/>
              <w:ind w:right="448"/>
              <w:spacing w:after="0"/>
              <w:rPr>
                <w:sz w:val="20"/>
                <w:szCs w:val="20"/>
                <w:color w:val="auto"/>
              </w:rPr>
            </w:pPr>
            <w:r>
              <w:rPr>
                <w:rFonts w:ascii="Arial" w:cs="Arial" w:eastAsia="Arial" w:hAnsi="Arial"/>
                <w:sz w:val="14"/>
                <w:szCs w:val="14"/>
                <w:color w:val="auto"/>
              </w:rPr>
              <w:t>1,380</w:t>
            </w:r>
          </w:p>
        </w:tc>
        <w:tc>
          <w:tcPr>
            <w:tcW w:w="540" w:type="dxa"/>
            <w:vAlign w:val="bottom"/>
          </w:tcPr>
          <w:p>
            <w:pPr>
              <w:spacing w:after="0"/>
              <w:rPr>
                <w:sz w:val="16"/>
                <w:szCs w:val="16"/>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1,380</w:t>
            </w:r>
          </w:p>
        </w:tc>
        <w:tc>
          <w:tcPr>
            <w:tcW w:w="620" w:type="dxa"/>
            <w:vAlign w:val="bottom"/>
          </w:tcPr>
          <w:p>
            <w:pPr>
              <w:spacing w:after="0"/>
              <w:rPr>
                <w:sz w:val="16"/>
                <w:szCs w:val="16"/>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1,380</w:t>
            </w:r>
          </w:p>
        </w:tc>
        <w:tc>
          <w:tcPr>
            <w:tcW w:w="7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1,380</w:t>
            </w:r>
          </w:p>
        </w:tc>
      </w:tr>
      <w:tr>
        <w:trPr>
          <w:trHeight w:val="195"/>
        </w:trPr>
        <w:tc>
          <w:tcPr>
            <w:tcW w:w="45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r>
      <w:tr>
        <w:trPr>
          <w:trHeight w:val="189"/>
        </w:trPr>
        <w:tc>
          <w:tcPr>
            <w:tcW w:w="4540" w:type="dxa"/>
            <w:vAlign w:val="bottom"/>
          </w:tcPr>
          <w:p>
            <w:pPr>
              <w:ind w:left="20"/>
              <w:spacing w:after="0"/>
              <w:rPr>
                <w:sz w:val="20"/>
                <w:szCs w:val="20"/>
                <w:color w:val="auto"/>
              </w:rPr>
            </w:pPr>
            <w:r>
              <w:rPr>
                <w:rFonts w:ascii="Arial" w:cs="Arial" w:eastAsia="Arial" w:hAnsi="Arial"/>
                <w:sz w:val="14"/>
                <w:szCs w:val="14"/>
                <w:color w:val="auto"/>
              </w:rPr>
              <w:t>Basic and diluted earnings per common share-Voting</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48"/>
              <w:spacing w:after="0"/>
              <w:rPr>
                <w:sz w:val="20"/>
                <w:szCs w:val="20"/>
                <w:color w:val="auto"/>
              </w:rPr>
            </w:pPr>
            <w:r>
              <w:rPr>
                <w:rFonts w:ascii="Arial" w:cs="Arial" w:eastAsia="Arial" w:hAnsi="Arial"/>
                <w:sz w:val="14"/>
                <w:szCs w:val="14"/>
                <w:color w:val="auto"/>
              </w:rPr>
              <w:t>0.32</w:t>
            </w: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0.54</w:t>
            </w:r>
          </w:p>
        </w:tc>
        <w:tc>
          <w:tcPr>
            <w:tcW w:w="6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0.75</w:t>
            </w:r>
          </w:p>
        </w:tc>
        <w:tc>
          <w:tcPr>
            <w:tcW w:w="7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1.03</w:t>
            </w:r>
          </w:p>
        </w:tc>
      </w:tr>
      <w:tr>
        <w:trPr>
          <w:trHeight w:val="195"/>
        </w:trPr>
        <w:tc>
          <w:tcPr>
            <w:tcW w:w="4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Basic and diluted earnings per common share-Series A Non-Voting</w:t>
            </w:r>
          </w:p>
        </w:tc>
        <w:tc>
          <w:tcPr>
            <w:tcW w:w="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ind w:right="448"/>
              <w:spacing w:after="0"/>
              <w:rPr>
                <w:sz w:val="20"/>
                <w:szCs w:val="20"/>
                <w:color w:val="auto"/>
              </w:rPr>
            </w:pPr>
            <w:r>
              <w:rPr>
                <w:rFonts w:ascii="Arial" w:cs="Arial" w:eastAsia="Arial" w:hAnsi="Arial"/>
                <w:sz w:val="14"/>
                <w:szCs w:val="14"/>
                <w:color w:val="auto"/>
              </w:rPr>
              <w:t>0.32</w:t>
            </w:r>
          </w:p>
        </w:tc>
        <w:tc>
          <w:tcPr>
            <w:tcW w:w="54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0.54</w:t>
            </w:r>
          </w:p>
        </w:tc>
        <w:tc>
          <w:tcPr>
            <w:tcW w:w="62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0.75</w:t>
            </w:r>
          </w:p>
        </w:tc>
        <w:tc>
          <w:tcPr>
            <w:tcW w:w="740" w:type="dxa"/>
            <w:vAlign w:val="bottom"/>
            <w:shd w:val="clear" w:color="auto" w:fill="CFF0FC"/>
          </w:tcPr>
          <w:p>
            <w:pPr>
              <w:jc w:val="right"/>
              <w:ind w:right="3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1.03</w:t>
            </w:r>
          </w:p>
        </w:tc>
      </w:tr>
      <w:tr>
        <w:trPr>
          <w:trHeight w:val="382"/>
        </w:trPr>
        <w:tc>
          <w:tcPr>
            <w:tcW w:w="4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jc w:val="right"/>
              <w:ind w:right="808"/>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12</w:t>
            </w:r>
            <w:r>
              <w:rPr>
                <w:rFonts w:ascii="Arial" w:cs="Arial" w:eastAsia="Arial" w:hAnsi="Arial"/>
                <w:sz w:val="16"/>
                <w:szCs w:val="16"/>
                <w:color w:val="auto"/>
              </w:rPr>
              <w:t xml:space="preserve"> -</w:t>
            </w: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86"/>
        </w:trPr>
        <w:tc>
          <w:tcPr>
            <w:tcW w:w="4540" w:type="dxa"/>
            <w:vAlign w:val="bottom"/>
            <w:tcBorders>
              <w:bottom w:val="single" w:sz="8" w:color="EEEEEE"/>
            </w:tcBorders>
          </w:tcPr>
          <w:p>
            <w:pPr>
              <w:spacing w:after="0"/>
              <w:rPr>
                <w:sz w:val="7"/>
                <w:szCs w:val="7"/>
                <w:color w:val="auto"/>
              </w:rPr>
            </w:pPr>
          </w:p>
        </w:tc>
        <w:tc>
          <w:tcPr>
            <w:tcW w:w="440" w:type="dxa"/>
            <w:vAlign w:val="bottom"/>
            <w:tcBorders>
              <w:bottom w:val="single" w:sz="8" w:color="EEEEEE"/>
            </w:tcBorders>
          </w:tcPr>
          <w:p>
            <w:pPr>
              <w:spacing w:after="0"/>
              <w:rPr>
                <w:sz w:val="7"/>
                <w:szCs w:val="7"/>
                <w:color w:val="auto"/>
              </w:rPr>
            </w:pPr>
          </w:p>
        </w:tc>
        <w:tc>
          <w:tcPr>
            <w:tcW w:w="1360" w:type="dxa"/>
            <w:vAlign w:val="bottom"/>
            <w:tcBorders>
              <w:bottom w:val="single" w:sz="8" w:color="EEEEEE"/>
            </w:tcBorders>
          </w:tcPr>
          <w:p>
            <w:pPr>
              <w:spacing w:after="0"/>
              <w:rPr>
                <w:sz w:val="7"/>
                <w:szCs w:val="7"/>
                <w:color w:val="auto"/>
              </w:rPr>
            </w:pPr>
          </w:p>
        </w:tc>
        <w:tc>
          <w:tcPr>
            <w:tcW w:w="540" w:type="dxa"/>
            <w:vAlign w:val="bottom"/>
            <w:tcBorders>
              <w:bottom w:val="single" w:sz="8" w:color="EEEEEE"/>
            </w:tcBorders>
          </w:tcPr>
          <w:p>
            <w:pPr>
              <w:spacing w:after="0"/>
              <w:rPr>
                <w:sz w:val="7"/>
                <w:szCs w:val="7"/>
                <w:color w:val="auto"/>
              </w:rPr>
            </w:pPr>
          </w:p>
        </w:tc>
        <w:tc>
          <w:tcPr>
            <w:tcW w:w="760" w:type="dxa"/>
            <w:vAlign w:val="bottom"/>
            <w:tcBorders>
              <w:bottom w:val="single" w:sz="8" w:color="EEEEEE"/>
            </w:tcBorders>
          </w:tcPr>
          <w:p>
            <w:pPr>
              <w:spacing w:after="0"/>
              <w:rPr>
                <w:sz w:val="7"/>
                <w:szCs w:val="7"/>
                <w:color w:val="auto"/>
              </w:rPr>
            </w:pPr>
          </w:p>
        </w:tc>
        <w:tc>
          <w:tcPr>
            <w:tcW w:w="620" w:type="dxa"/>
            <w:vAlign w:val="bottom"/>
            <w:tcBorders>
              <w:bottom w:val="single" w:sz="8" w:color="EEEEEE"/>
            </w:tcBorders>
          </w:tcPr>
          <w:p>
            <w:pPr>
              <w:spacing w:after="0"/>
              <w:rPr>
                <w:sz w:val="7"/>
                <w:szCs w:val="7"/>
                <w:color w:val="auto"/>
              </w:rPr>
            </w:pPr>
          </w:p>
        </w:tc>
        <w:tc>
          <w:tcPr>
            <w:tcW w:w="920" w:type="dxa"/>
            <w:vAlign w:val="bottom"/>
            <w:tcBorders>
              <w:bottom w:val="single" w:sz="8" w:color="EEEEEE"/>
            </w:tcBorders>
          </w:tcPr>
          <w:p>
            <w:pPr>
              <w:spacing w:after="0"/>
              <w:rPr>
                <w:sz w:val="7"/>
                <w:szCs w:val="7"/>
                <w:color w:val="auto"/>
              </w:rPr>
            </w:pPr>
          </w:p>
        </w:tc>
        <w:tc>
          <w:tcPr>
            <w:tcW w:w="740" w:type="dxa"/>
            <w:vAlign w:val="bottom"/>
            <w:tcBorders>
              <w:bottom w:val="single" w:sz="8" w:color="EEEEEE"/>
            </w:tcBorders>
          </w:tcPr>
          <w:p>
            <w:pPr>
              <w:spacing w:after="0"/>
              <w:rPr>
                <w:sz w:val="7"/>
                <w:szCs w:val="7"/>
                <w:color w:val="auto"/>
              </w:rPr>
            </w:pPr>
          </w:p>
        </w:tc>
        <w:tc>
          <w:tcPr>
            <w:tcW w:w="640" w:type="dxa"/>
            <w:vAlign w:val="bottom"/>
            <w:tcBorders>
              <w:bottom w:val="single" w:sz="8" w:color="EEEEEE"/>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77" w:right="660"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Investment Securities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are summarized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60" w:type="dxa"/>
            <w:vAlign w:val="bottom"/>
            <w:gridSpan w:val="2"/>
          </w:tcPr>
          <w:p>
            <w:pPr>
              <w:jc w:val="right"/>
              <w:ind w:right="62"/>
              <w:spacing w:after="0"/>
              <w:rPr>
                <w:sz w:val="20"/>
                <w:szCs w:val="20"/>
                <w:color w:val="auto"/>
              </w:rPr>
            </w:pPr>
            <w:r>
              <w:rPr>
                <w:rFonts w:ascii="Arial" w:cs="Arial" w:eastAsia="Arial" w:hAnsi="Arial"/>
                <w:sz w:val="16"/>
                <w:szCs w:val="16"/>
                <w:color w:val="auto"/>
              </w:rPr>
              <w:t>June 30, 2023</w:t>
            </w: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Gross</w:t>
            </w:r>
          </w:p>
        </w:tc>
        <w:tc>
          <w:tcPr>
            <w:tcW w:w="600" w:type="dxa"/>
            <w:vAlign w:val="bottom"/>
          </w:tcPr>
          <w:p>
            <w:pPr>
              <w:spacing w:after="0"/>
              <w:rPr>
                <w:sz w:val="17"/>
                <w:szCs w:val="17"/>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Gross</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Estimated</w:t>
            </w:r>
          </w:p>
        </w:tc>
      </w:tr>
      <w:tr>
        <w:trPr>
          <w:trHeight w:val="204"/>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Amortized</w:t>
            </w:r>
          </w:p>
        </w:tc>
        <w:tc>
          <w:tcPr>
            <w:tcW w:w="500" w:type="dxa"/>
            <w:vAlign w:val="bottom"/>
          </w:tcPr>
          <w:p>
            <w:pPr>
              <w:spacing w:after="0"/>
              <w:rPr>
                <w:sz w:val="17"/>
                <w:szCs w:val="17"/>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Unrealized</w:t>
            </w:r>
          </w:p>
        </w:tc>
        <w:tc>
          <w:tcPr>
            <w:tcW w:w="60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Unrealized</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Fair</w:t>
            </w:r>
          </w:p>
        </w:tc>
      </w:tr>
      <w:tr>
        <w:trPr>
          <w:trHeight w:val="205"/>
        </w:trPr>
        <w:tc>
          <w:tcPr>
            <w:tcW w:w="3900" w:type="dxa"/>
            <w:vAlign w:val="bottom"/>
            <w:gridSpan w:val="4"/>
          </w:tcPr>
          <w:p>
            <w:pPr>
              <w:ind w:left="20"/>
              <w:spacing w:after="0"/>
              <w:rPr>
                <w:sz w:val="20"/>
                <w:szCs w:val="20"/>
                <w:color w:val="auto"/>
              </w:rPr>
            </w:pPr>
            <w:r>
              <w:rPr>
                <w:rFonts w:ascii="Arial" w:cs="Arial" w:eastAsia="Arial" w:hAnsi="Arial"/>
                <w:sz w:val="16"/>
                <w:szCs w:val="16"/>
                <w:i w:val="1"/>
                <w:iCs w:val="1"/>
                <w:color w:val="auto"/>
              </w:rPr>
              <w:t>(In thousands)</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Cost</w:t>
            </w:r>
          </w:p>
        </w:tc>
        <w:tc>
          <w:tcPr>
            <w:tcW w:w="500" w:type="dxa"/>
            <w:vAlign w:val="bottom"/>
          </w:tcPr>
          <w:p>
            <w:pPr>
              <w:spacing w:after="0"/>
              <w:rPr>
                <w:sz w:val="17"/>
                <w:szCs w:val="17"/>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Gains</w:t>
            </w:r>
          </w:p>
        </w:tc>
        <w:tc>
          <w:tcPr>
            <w:tcW w:w="60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Losses</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Value</w:t>
            </w:r>
          </w:p>
        </w:tc>
      </w:tr>
      <w:tr>
        <w:trPr>
          <w:trHeight w:val="205"/>
        </w:trPr>
        <w:tc>
          <w:tcPr>
            <w:tcW w:w="3900" w:type="dxa"/>
            <w:vAlign w:val="bottom"/>
            <w:gridSpan w:val="4"/>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Available-for-Sale Portfolio</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168"/>
        </w:trPr>
        <w:tc>
          <w:tcPr>
            <w:tcW w:w="3900" w:type="dxa"/>
            <w:vAlign w:val="bottom"/>
            <w:gridSpan w:val="4"/>
          </w:tcPr>
          <w:p>
            <w:pPr>
              <w:ind w:left="20"/>
              <w:spacing w:after="0" w:line="168" w:lineRule="exact"/>
              <w:rPr>
                <w:sz w:val="20"/>
                <w:szCs w:val="20"/>
                <w:color w:val="auto"/>
              </w:rPr>
            </w:pPr>
            <w:r>
              <w:rPr>
                <w:rFonts w:ascii="Arial" w:cs="Arial" w:eastAsia="Arial" w:hAnsi="Arial"/>
                <w:sz w:val="16"/>
                <w:szCs w:val="16"/>
                <w:color w:val="auto"/>
              </w:rPr>
              <w:t>Debt investment securities:</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2"/>
        </w:trPr>
        <w:tc>
          <w:tcPr>
            <w:tcW w:w="20" w:type="dxa"/>
            <w:vAlign w:val="bottom"/>
            <w:shd w:val="clear" w:color="auto" w:fill="CFF0FC"/>
          </w:tcPr>
          <w:p>
            <w:pPr>
              <w:spacing w:after="0"/>
              <w:rPr>
                <w:sz w:val="18"/>
                <w:szCs w:val="18"/>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US Treasury, agencies and GSEs</w:t>
            </w:r>
          </w:p>
        </w:tc>
        <w:tc>
          <w:tcPr>
            <w:tcW w:w="66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43,393</w:t>
            </w:r>
          </w:p>
        </w:tc>
        <w:tc>
          <w:tcPr>
            <w:tcW w:w="50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332</w:t>
            </w:r>
          </w:p>
        </w:tc>
        <w:tc>
          <w:tcPr>
            <w:tcW w:w="600" w:type="dxa"/>
            <w:vAlign w:val="bottom"/>
            <w:shd w:val="clear" w:color="auto" w:fill="CFF0FC"/>
          </w:tcPr>
          <w:p>
            <w:pPr>
              <w:jc w:val="right"/>
              <w:ind w:right="28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(3,228)</w:t>
            </w:r>
          </w:p>
        </w:tc>
        <w:tc>
          <w:tcPr>
            <w:tcW w:w="46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40,497</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State and political subdivisions</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33,995</w:t>
            </w:r>
          </w:p>
        </w:tc>
        <w:tc>
          <w:tcPr>
            <w:tcW w:w="50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70</w:t>
            </w:r>
          </w:p>
        </w:tc>
        <w:tc>
          <w:tcPr>
            <w:tcW w:w="60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(2,112)</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31,953</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Corporate</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11,530</w:t>
            </w: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420</w:t>
            </w: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(471 )</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11,479</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Asset backed securities</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16,065</w:t>
            </w:r>
          </w:p>
        </w:tc>
        <w:tc>
          <w:tcPr>
            <w:tcW w:w="50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(669 )</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15,396</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Residential mortgage-backed - US agency</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17,043</w:t>
            </w: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(1,431)</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15,612</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Collateralized mortgage obligations - US agency</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11,901</w:t>
            </w:r>
          </w:p>
        </w:tc>
        <w:tc>
          <w:tcPr>
            <w:tcW w:w="50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12</w:t>
            </w:r>
          </w:p>
        </w:tc>
        <w:tc>
          <w:tcPr>
            <w:tcW w:w="60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(1,182)</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10,731</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Collateralized mortgage obligations - Private label</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64,543</w:t>
            </w: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5</w:t>
            </w: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(4,600)</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59,948</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320"/>
              <w:spacing w:after="0"/>
              <w:rPr>
                <w:sz w:val="20"/>
                <w:szCs w:val="20"/>
                <w:color w:val="auto"/>
              </w:rPr>
            </w:pPr>
            <w:r>
              <w:rPr>
                <w:rFonts w:ascii="Arial" w:cs="Arial" w:eastAsia="Arial" w:hAnsi="Arial"/>
                <w:sz w:val="16"/>
                <w:szCs w:val="16"/>
                <w:color w:val="auto"/>
              </w:rPr>
              <w:t>Total</w:t>
            </w:r>
          </w:p>
        </w:tc>
        <w:tc>
          <w:tcPr>
            <w:tcW w:w="660" w:type="dxa"/>
            <w:vAlign w:val="bottom"/>
          </w:tcPr>
          <w:p>
            <w:pPr>
              <w:spacing w:after="0"/>
              <w:rPr>
                <w:sz w:val="17"/>
                <w:szCs w:val="17"/>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198,470</w:t>
            </w:r>
          </w:p>
        </w:tc>
        <w:tc>
          <w:tcPr>
            <w:tcW w:w="500" w:type="dxa"/>
            <w:vAlign w:val="bottom"/>
          </w:tcPr>
          <w:p>
            <w:pPr>
              <w:spacing w:after="0"/>
              <w:rPr>
                <w:sz w:val="17"/>
                <w:szCs w:val="17"/>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839</w:t>
            </w:r>
          </w:p>
        </w:tc>
        <w:tc>
          <w:tcPr>
            <w:tcW w:w="60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(13,693 )</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185,616</w:t>
            </w:r>
          </w:p>
        </w:tc>
      </w:tr>
      <w:tr>
        <w:trPr>
          <w:trHeight w:val="169"/>
        </w:trPr>
        <w:tc>
          <w:tcPr>
            <w:tcW w:w="3900" w:type="dxa"/>
            <w:vAlign w:val="bottom"/>
            <w:gridSpan w:val="4"/>
            <w:shd w:val="clear" w:color="auto" w:fill="CFF0FC"/>
          </w:tcPr>
          <w:p>
            <w:pPr>
              <w:ind w:left="20"/>
              <w:spacing w:after="0" w:line="169" w:lineRule="exact"/>
              <w:rPr>
                <w:sz w:val="20"/>
                <w:szCs w:val="20"/>
                <w:color w:val="auto"/>
              </w:rPr>
            </w:pPr>
            <w:r>
              <w:rPr>
                <w:rFonts w:ascii="Arial" w:cs="Arial" w:eastAsia="Arial" w:hAnsi="Arial"/>
                <w:sz w:val="16"/>
                <w:szCs w:val="16"/>
                <w:color w:val="auto"/>
              </w:rPr>
              <w:t>Equity investment securities:</w:t>
            </w:r>
          </w:p>
        </w:tc>
        <w:tc>
          <w:tcPr>
            <w:tcW w:w="6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r>
      <w:tr>
        <w:trPr>
          <w:trHeight w:val="36"/>
        </w:trPr>
        <w:tc>
          <w:tcPr>
            <w:tcW w:w="20" w:type="dxa"/>
            <w:vAlign w:val="bottom"/>
            <w:shd w:val="clear" w:color="auto" w:fill="CFF0FC"/>
          </w:tcPr>
          <w:p>
            <w:pPr>
              <w:spacing w:after="0"/>
              <w:rPr>
                <w:sz w:val="3"/>
                <w:szCs w:val="3"/>
                <w:color w:val="auto"/>
              </w:rPr>
            </w:pPr>
          </w:p>
        </w:tc>
        <w:tc>
          <w:tcPr>
            <w:tcW w:w="188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900" w:type="dxa"/>
            <w:vAlign w:val="bottom"/>
            <w:shd w:val="clear" w:color="auto" w:fill="CFF0FC"/>
          </w:tcPr>
          <w:p>
            <w:pPr>
              <w:spacing w:after="0"/>
              <w:rPr>
                <w:sz w:val="3"/>
                <w:szCs w:val="3"/>
                <w:color w:val="auto"/>
              </w:rPr>
            </w:pPr>
          </w:p>
        </w:tc>
        <w:tc>
          <w:tcPr>
            <w:tcW w:w="66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500" w:type="dxa"/>
            <w:vAlign w:val="bottom"/>
            <w:shd w:val="clear" w:color="auto" w:fill="CFF0FC"/>
          </w:tcPr>
          <w:p>
            <w:pPr>
              <w:spacing w:after="0"/>
              <w:rPr>
                <w:sz w:val="3"/>
                <w:szCs w:val="3"/>
                <w:color w:val="auto"/>
              </w:rPr>
            </w:pPr>
          </w:p>
        </w:tc>
        <w:tc>
          <w:tcPr>
            <w:tcW w:w="116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46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3880" w:type="dxa"/>
            <w:vAlign w:val="bottom"/>
            <w:gridSpan w:val="3"/>
          </w:tcPr>
          <w:p>
            <w:pPr>
              <w:ind w:left="240"/>
              <w:spacing w:after="0"/>
              <w:rPr>
                <w:sz w:val="20"/>
                <w:szCs w:val="20"/>
                <w:color w:val="auto"/>
              </w:rPr>
            </w:pPr>
            <w:r>
              <w:rPr>
                <w:rFonts w:ascii="Arial" w:cs="Arial" w:eastAsia="Arial" w:hAnsi="Arial"/>
                <w:sz w:val="16"/>
                <w:szCs w:val="16"/>
                <w:color w:val="auto"/>
              </w:rPr>
              <w:t>Common stock - financial services industry</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206</w:t>
            </w:r>
          </w:p>
        </w:tc>
        <w:tc>
          <w:tcPr>
            <w:tcW w:w="50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206</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320"/>
              <w:spacing w:after="0"/>
              <w:rPr>
                <w:sz w:val="20"/>
                <w:szCs w:val="20"/>
                <w:color w:val="auto"/>
              </w:rPr>
            </w:pPr>
            <w:r>
              <w:rPr>
                <w:rFonts w:ascii="Arial" w:cs="Arial" w:eastAsia="Arial" w:hAnsi="Arial"/>
                <w:sz w:val="16"/>
                <w:szCs w:val="16"/>
                <w:color w:val="auto"/>
              </w:rPr>
              <w:t>Total</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206</w:t>
            </w: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206</w:t>
            </w:r>
          </w:p>
        </w:tc>
      </w:tr>
      <w:tr>
        <w:trPr>
          <w:trHeight w:val="203"/>
        </w:trPr>
        <w:tc>
          <w:tcPr>
            <w:tcW w:w="390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color w:val="auto"/>
              </w:rPr>
              <w:t>Total available-for-sale</w:t>
            </w:r>
          </w:p>
        </w:tc>
        <w:tc>
          <w:tcPr>
            <w:tcW w:w="6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198,676</w:t>
            </w:r>
          </w:p>
        </w:tc>
        <w:tc>
          <w:tcPr>
            <w:tcW w:w="5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839</w:t>
            </w:r>
          </w:p>
        </w:tc>
        <w:tc>
          <w:tcPr>
            <w:tcW w:w="6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(13,693 )</w:t>
            </w:r>
          </w:p>
        </w:tc>
        <w:tc>
          <w:tcPr>
            <w:tcW w:w="4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185,822</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4"/>
        </w:trPr>
        <w:tc>
          <w:tcPr>
            <w:tcW w:w="3900" w:type="dxa"/>
            <w:vAlign w:val="bottom"/>
            <w:gridSpan w:val="4"/>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Held-to-Maturity Portfolio</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168"/>
        </w:trPr>
        <w:tc>
          <w:tcPr>
            <w:tcW w:w="3900" w:type="dxa"/>
            <w:vAlign w:val="bottom"/>
            <w:gridSpan w:val="4"/>
          </w:tcPr>
          <w:p>
            <w:pPr>
              <w:ind w:left="20"/>
              <w:spacing w:after="0" w:line="168" w:lineRule="exact"/>
              <w:rPr>
                <w:sz w:val="20"/>
                <w:szCs w:val="20"/>
                <w:color w:val="auto"/>
              </w:rPr>
            </w:pPr>
            <w:r>
              <w:rPr>
                <w:rFonts w:ascii="Arial" w:cs="Arial" w:eastAsia="Arial" w:hAnsi="Arial"/>
                <w:sz w:val="16"/>
                <w:szCs w:val="16"/>
                <w:color w:val="auto"/>
              </w:rPr>
              <w:t>Debt investment securities:</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2"/>
        </w:trPr>
        <w:tc>
          <w:tcPr>
            <w:tcW w:w="20" w:type="dxa"/>
            <w:vAlign w:val="bottom"/>
            <w:shd w:val="clear" w:color="auto" w:fill="CFF0FC"/>
          </w:tcPr>
          <w:p>
            <w:pPr>
              <w:spacing w:after="0"/>
              <w:rPr>
                <w:sz w:val="18"/>
                <w:szCs w:val="18"/>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US Treasury, agencies and GSEs</w:t>
            </w:r>
          </w:p>
        </w:tc>
        <w:tc>
          <w:tcPr>
            <w:tcW w:w="66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3,831</w:t>
            </w:r>
          </w:p>
        </w:tc>
        <w:tc>
          <w:tcPr>
            <w:tcW w:w="50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ind w:right="28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(322 )</w:t>
            </w:r>
          </w:p>
        </w:tc>
        <w:tc>
          <w:tcPr>
            <w:tcW w:w="46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3,509</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State and political subdivisions</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15,843</w:t>
            </w:r>
          </w:p>
        </w:tc>
        <w:tc>
          <w:tcPr>
            <w:tcW w:w="50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5</w:t>
            </w:r>
          </w:p>
        </w:tc>
        <w:tc>
          <w:tcPr>
            <w:tcW w:w="60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(2,039)</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13,809</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Corporate</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45,569</w:t>
            </w: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6</w:t>
            </w: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(4,075)</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41,500</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Asset backed securities</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18,409</w:t>
            </w:r>
          </w:p>
        </w:tc>
        <w:tc>
          <w:tcPr>
            <w:tcW w:w="50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6</w:t>
            </w:r>
          </w:p>
        </w:tc>
        <w:tc>
          <w:tcPr>
            <w:tcW w:w="60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(1,254)</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17,161</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Residential mortgage-backed - US agency</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7,294</w:t>
            </w: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(743 )</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6,551</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Collateralized mortgage obligations - US agency</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13,634</w:t>
            </w:r>
          </w:p>
        </w:tc>
        <w:tc>
          <w:tcPr>
            <w:tcW w:w="50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(1,403)</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12,231</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Collateralized mortgage obligations - Private label</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91,344</w:t>
            </w: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36</w:t>
            </w: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(4,763)</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86,617</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320"/>
              <w:spacing w:after="0"/>
              <w:rPr>
                <w:sz w:val="20"/>
                <w:szCs w:val="20"/>
                <w:color w:val="auto"/>
              </w:rPr>
            </w:pPr>
            <w:r>
              <w:rPr>
                <w:rFonts w:ascii="Arial" w:cs="Arial" w:eastAsia="Arial" w:hAnsi="Arial"/>
                <w:sz w:val="16"/>
                <w:szCs w:val="16"/>
                <w:color w:val="auto"/>
              </w:rPr>
              <w:t>Total</w:t>
            </w:r>
          </w:p>
        </w:tc>
        <w:tc>
          <w:tcPr>
            <w:tcW w:w="660" w:type="dxa"/>
            <w:vAlign w:val="bottom"/>
          </w:tcPr>
          <w:p>
            <w:pPr>
              <w:spacing w:after="0"/>
              <w:rPr>
                <w:sz w:val="17"/>
                <w:szCs w:val="17"/>
                <w:color w:val="auto"/>
              </w:rPr>
            </w:pP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195,924</w:t>
            </w:r>
          </w:p>
        </w:tc>
        <w:tc>
          <w:tcPr>
            <w:tcW w:w="50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53</w:t>
            </w:r>
          </w:p>
        </w:tc>
        <w:tc>
          <w:tcPr>
            <w:tcW w:w="60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(14,599 )</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181,378</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Less: Allowance for credit losses</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421</w:t>
            </w:r>
          </w:p>
        </w:tc>
        <w:tc>
          <w:tcPr>
            <w:tcW w:w="5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r>
      <w:tr>
        <w:trPr>
          <w:trHeight w:val="203"/>
        </w:trPr>
        <w:tc>
          <w:tcPr>
            <w:tcW w:w="390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color w:val="auto"/>
              </w:rPr>
              <w:t>Total held-to-maturity</w:t>
            </w:r>
          </w:p>
        </w:tc>
        <w:tc>
          <w:tcPr>
            <w:tcW w:w="6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195,503</w:t>
            </w:r>
          </w:p>
        </w:tc>
        <w:tc>
          <w:tcPr>
            <w:tcW w:w="5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53</w:t>
            </w:r>
          </w:p>
        </w:tc>
        <w:tc>
          <w:tcPr>
            <w:tcW w:w="6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(14,599 )</w:t>
            </w:r>
          </w:p>
        </w:tc>
        <w:tc>
          <w:tcPr>
            <w:tcW w:w="4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181,378</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ind w:right="162"/>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13</w:t>
            </w:r>
            <w:r>
              <w:rPr>
                <w:rFonts w:ascii="Arial" w:cs="Arial" w:eastAsia="Arial" w:hAnsi="Arial"/>
                <w:sz w:val="16"/>
                <w:szCs w:val="16"/>
                <w:color w:val="auto"/>
              </w:rPr>
              <w:t xml:space="preserve"> -</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86"/>
        </w:trPr>
        <w:tc>
          <w:tcPr>
            <w:tcW w:w="20" w:type="dxa"/>
            <w:vAlign w:val="bottom"/>
            <w:tcBorders>
              <w:bottom w:val="single" w:sz="8" w:color="EEEEEE"/>
            </w:tcBorders>
          </w:tcPr>
          <w:p>
            <w:pPr>
              <w:spacing w:after="0"/>
              <w:rPr>
                <w:sz w:val="7"/>
                <w:szCs w:val="7"/>
                <w:color w:val="auto"/>
              </w:rPr>
            </w:pPr>
          </w:p>
        </w:tc>
        <w:tc>
          <w:tcPr>
            <w:tcW w:w="188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1900" w:type="dxa"/>
            <w:vAlign w:val="bottom"/>
            <w:tcBorders>
              <w:bottom w:val="single" w:sz="8" w:color="EEEEEE"/>
            </w:tcBorders>
          </w:tcPr>
          <w:p>
            <w:pPr>
              <w:spacing w:after="0"/>
              <w:rPr>
                <w:sz w:val="7"/>
                <w:szCs w:val="7"/>
                <w:color w:val="auto"/>
              </w:rPr>
            </w:pPr>
          </w:p>
        </w:tc>
        <w:tc>
          <w:tcPr>
            <w:tcW w:w="660" w:type="dxa"/>
            <w:vAlign w:val="bottom"/>
            <w:tcBorders>
              <w:bottom w:val="single" w:sz="8" w:color="EEEEEE"/>
            </w:tcBorders>
          </w:tcPr>
          <w:p>
            <w:pPr>
              <w:spacing w:after="0"/>
              <w:rPr>
                <w:sz w:val="7"/>
                <w:szCs w:val="7"/>
                <w:color w:val="auto"/>
              </w:rPr>
            </w:pPr>
          </w:p>
        </w:tc>
        <w:tc>
          <w:tcPr>
            <w:tcW w:w="1140" w:type="dxa"/>
            <w:vAlign w:val="bottom"/>
            <w:tcBorders>
              <w:bottom w:val="single" w:sz="8" w:color="EEEEEE"/>
            </w:tcBorders>
          </w:tcPr>
          <w:p>
            <w:pPr>
              <w:spacing w:after="0"/>
              <w:rPr>
                <w:sz w:val="7"/>
                <w:szCs w:val="7"/>
                <w:color w:val="auto"/>
              </w:rPr>
            </w:pPr>
          </w:p>
        </w:tc>
        <w:tc>
          <w:tcPr>
            <w:tcW w:w="500" w:type="dxa"/>
            <w:vAlign w:val="bottom"/>
            <w:tcBorders>
              <w:bottom w:val="single" w:sz="8" w:color="EEEEEE"/>
            </w:tcBorders>
          </w:tcPr>
          <w:p>
            <w:pPr>
              <w:spacing w:after="0"/>
              <w:rPr>
                <w:sz w:val="7"/>
                <w:szCs w:val="7"/>
                <w:color w:val="auto"/>
              </w:rPr>
            </w:pPr>
          </w:p>
        </w:tc>
        <w:tc>
          <w:tcPr>
            <w:tcW w:w="1160" w:type="dxa"/>
            <w:vAlign w:val="bottom"/>
            <w:tcBorders>
              <w:bottom w:val="single" w:sz="8" w:color="EEEEEE"/>
            </w:tcBorders>
          </w:tcPr>
          <w:p>
            <w:pPr>
              <w:spacing w:after="0"/>
              <w:rPr>
                <w:sz w:val="7"/>
                <w:szCs w:val="7"/>
                <w:color w:val="auto"/>
              </w:rPr>
            </w:pPr>
          </w:p>
        </w:tc>
        <w:tc>
          <w:tcPr>
            <w:tcW w:w="600" w:type="dxa"/>
            <w:vAlign w:val="bottom"/>
            <w:tcBorders>
              <w:bottom w:val="single" w:sz="8" w:color="EEEEEE"/>
            </w:tcBorders>
          </w:tcPr>
          <w:p>
            <w:pPr>
              <w:spacing w:after="0"/>
              <w:rPr>
                <w:sz w:val="7"/>
                <w:szCs w:val="7"/>
                <w:color w:val="auto"/>
              </w:rPr>
            </w:pPr>
          </w:p>
        </w:tc>
        <w:tc>
          <w:tcPr>
            <w:tcW w:w="1060" w:type="dxa"/>
            <w:vAlign w:val="bottom"/>
            <w:tcBorders>
              <w:bottom w:val="single" w:sz="8" w:color="EEEEEE"/>
            </w:tcBorders>
          </w:tcPr>
          <w:p>
            <w:pPr>
              <w:spacing w:after="0"/>
              <w:rPr>
                <w:sz w:val="7"/>
                <w:szCs w:val="7"/>
                <w:color w:val="auto"/>
              </w:rPr>
            </w:pPr>
          </w:p>
        </w:tc>
        <w:tc>
          <w:tcPr>
            <w:tcW w:w="460" w:type="dxa"/>
            <w:vAlign w:val="bottom"/>
            <w:tcBorders>
              <w:bottom w:val="single" w:sz="8" w:color="EEEEEE"/>
            </w:tcBorders>
          </w:tcPr>
          <w:p>
            <w:pPr>
              <w:spacing w:after="0"/>
              <w:rPr>
                <w:sz w:val="7"/>
                <w:szCs w:val="7"/>
                <w:color w:val="auto"/>
              </w:rPr>
            </w:pPr>
          </w:p>
        </w:tc>
        <w:tc>
          <w:tcPr>
            <w:tcW w:w="1080" w:type="dxa"/>
            <w:vAlign w:val="bottom"/>
            <w:tcBorders>
              <w:bottom w:val="single" w:sz="8" w:color="EEEEEE"/>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77" w:right="68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December 31, 2022</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Gross</w:t>
            </w:r>
          </w:p>
        </w:tc>
        <w:tc>
          <w:tcPr>
            <w:tcW w:w="720" w:type="dxa"/>
            <w:vAlign w:val="bottom"/>
          </w:tcPr>
          <w:p>
            <w:pPr>
              <w:spacing w:after="0"/>
              <w:rPr>
                <w:sz w:val="17"/>
                <w:szCs w:val="17"/>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Gross</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Estimated</w:t>
            </w:r>
          </w:p>
        </w:tc>
      </w:tr>
      <w:tr>
        <w:trPr>
          <w:trHeight w:val="204"/>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Amortized</w:t>
            </w:r>
          </w:p>
        </w:tc>
        <w:tc>
          <w:tcPr>
            <w:tcW w:w="48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Unrealized</w:t>
            </w:r>
          </w:p>
        </w:tc>
        <w:tc>
          <w:tcPr>
            <w:tcW w:w="720" w:type="dxa"/>
            <w:vAlign w:val="bottom"/>
          </w:tcPr>
          <w:p>
            <w:pPr>
              <w:spacing w:after="0"/>
              <w:rPr>
                <w:sz w:val="17"/>
                <w:szCs w:val="17"/>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w w:val="99"/>
              </w:rPr>
              <w:t>Unrealized</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Fair</w:t>
            </w:r>
          </w:p>
        </w:tc>
      </w:tr>
      <w:tr>
        <w:trPr>
          <w:trHeight w:val="205"/>
        </w:trPr>
        <w:tc>
          <w:tcPr>
            <w:tcW w:w="3900" w:type="dxa"/>
            <w:vAlign w:val="bottom"/>
            <w:gridSpan w:val="4"/>
          </w:tcPr>
          <w:p>
            <w:pPr>
              <w:ind w:left="20"/>
              <w:spacing w:after="0"/>
              <w:rPr>
                <w:sz w:val="20"/>
                <w:szCs w:val="20"/>
                <w:color w:val="auto"/>
              </w:rPr>
            </w:pPr>
            <w:r>
              <w:rPr>
                <w:rFonts w:ascii="Arial" w:cs="Arial" w:eastAsia="Arial" w:hAnsi="Arial"/>
                <w:sz w:val="16"/>
                <w:szCs w:val="16"/>
                <w:i w:val="1"/>
                <w:iCs w:val="1"/>
                <w:color w:val="auto"/>
              </w:rPr>
              <w:t>(In thousands)</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Cost</w:t>
            </w:r>
          </w:p>
        </w:tc>
        <w:tc>
          <w:tcPr>
            <w:tcW w:w="48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Gains</w:t>
            </w:r>
          </w:p>
        </w:tc>
        <w:tc>
          <w:tcPr>
            <w:tcW w:w="720" w:type="dxa"/>
            <w:vAlign w:val="bottom"/>
          </w:tcPr>
          <w:p>
            <w:pPr>
              <w:spacing w:after="0"/>
              <w:rPr>
                <w:sz w:val="17"/>
                <w:szCs w:val="17"/>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Losses</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Value</w:t>
            </w:r>
          </w:p>
        </w:tc>
      </w:tr>
      <w:tr>
        <w:trPr>
          <w:trHeight w:val="205"/>
        </w:trPr>
        <w:tc>
          <w:tcPr>
            <w:tcW w:w="3900" w:type="dxa"/>
            <w:vAlign w:val="bottom"/>
            <w:gridSpan w:val="4"/>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Available-for-Sale Portfolio</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168"/>
        </w:trPr>
        <w:tc>
          <w:tcPr>
            <w:tcW w:w="3900" w:type="dxa"/>
            <w:vAlign w:val="bottom"/>
            <w:gridSpan w:val="4"/>
          </w:tcPr>
          <w:p>
            <w:pPr>
              <w:ind w:left="20"/>
              <w:spacing w:after="0" w:line="168" w:lineRule="exact"/>
              <w:rPr>
                <w:sz w:val="20"/>
                <w:szCs w:val="20"/>
                <w:color w:val="auto"/>
              </w:rPr>
            </w:pPr>
            <w:r>
              <w:rPr>
                <w:rFonts w:ascii="Arial" w:cs="Arial" w:eastAsia="Arial" w:hAnsi="Arial"/>
                <w:sz w:val="16"/>
                <w:szCs w:val="16"/>
                <w:color w:val="auto"/>
              </w:rPr>
              <w:t>Debt investment securities:</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2"/>
        </w:trPr>
        <w:tc>
          <w:tcPr>
            <w:tcW w:w="20" w:type="dxa"/>
            <w:vAlign w:val="bottom"/>
            <w:shd w:val="clear" w:color="auto" w:fill="CFF0FC"/>
          </w:tcPr>
          <w:p>
            <w:pPr>
              <w:spacing w:after="0"/>
              <w:rPr>
                <w:sz w:val="18"/>
                <w:szCs w:val="18"/>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US Treasury, agencies and GSEs</w:t>
            </w:r>
          </w:p>
        </w:tc>
        <w:tc>
          <w:tcPr>
            <w:tcW w:w="660" w:type="dxa"/>
            <w:vAlign w:val="bottom"/>
            <w:shd w:val="clear" w:color="auto" w:fill="CFF0FC"/>
          </w:tcPr>
          <w:p>
            <w:pPr>
              <w:jc w:val="right"/>
              <w:ind w:right="22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32,533</w:t>
            </w:r>
          </w:p>
        </w:tc>
        <w:tc>
          <w:tcPr>
            <w:tcW w:w="48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37</w:t>
            </w:r>
          </w:p>
        </w:tc>
        <w:tc>
          <w:tcPr>
            <w:tcW w:w="720" w:type="dxa"/>
            <w:vAlign w:val="bottom"/>
            <w:shd w:val="clear" w:color="auto" w:fill="CFF0FC"/>
          </w:tcPr>
          <w:p>
            <w:pPr>
              <w:jc w:val="right"/>
              <w:ind w:right="402"/>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(3,206)</w:t>
            </w:r>
          </w:p>
        </w:tc>
        <w:tc>
          <w:tcPr>
            <w:tcW w:w="46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29,364</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State and political subdivisions</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48,002</w:t>
            </w:r>
          </w:p>
        </w:tc>
        <w:tc>
          <w:tcPr>
            <w:tcW w:w="48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384</w:t>
            </w:r>
          </w:p>
        </w:tc>
        <w:tc>
          <w:tcPr>
            <w:tcW w:w="72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(3,001)</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45,385</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Corporate</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11,803</w:t>
            </w: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676</w:t>
            </w:r>
          </w:p>
        </w:tc>
        <w:tc>
          <w:tcPr>
            <w:tcW w:w="7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(650 )</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11,829</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Asset backed securities</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16,059</w:t>
            </w:r>
          </w:p>
        </w:tc>
        <w:tc>
          <w:tcPr>
            <w:tcW w:w="48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(659 )</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15,400</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Residential mortgage-backed - US agency</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17,982</w:t>
            </w: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(1,582)</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16,400</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Collateralized mortgage obligations - US agency</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13,070</w:t>
            </w:r>
          </w:p>
        </w:tc>
        <w:tc>
          <w:tcPr>
            <w:tcW w:w="48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(1,362)</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11,708</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Collateralized mortgage obligations - Private label</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65,781</w:t>
            </w: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8</w:t>
            </w:r>
          </w:p>
        </w:tc>
        <w:tc>
          <w:tcPr>
            <w:tcW w:w="7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(4,355)</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61,434</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320"/>
              <w:spacing w:after="0"/>
              <w:rPr>
                <w:sz w:val="20"/>
                <w:szCs w:val="20"/>
                <w:color w:val="auto"/>
              </w:rPr>
            </w:pPr>
            <w:r>
              <w:rPr>
                <w:rFonts w:ascii="Arial" w:cs="Arial" w:eastAsia="Arial" w:hAnsi="Arial"/>
                <w:sz w:val="16"/>
                <w:szCs w:val="16"/>
                <w:color w:val="auto"/>
              </w:rPr>
              <w:t>Total</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205,230</w:t>
            </w:r>
          </w:p>
        </w:tc>
        <w:tc>
          <w:tcPr>
            <w:tcW w:w="48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1,105</w:t>
            </w:r>
          </w:p>
        </w:tc>
        <w:tc>
          <w:tcPr>
            <w:tcW w:w="72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(14,815 )</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191,520</w:t>
            </w:r>
          </w:p>
        </w:tc>
      </w:tr>
      <w:tr>
        <w:trPr>
          <w:trHeight w:val="169"/>
        </w:trPr>
        <w:tc>
          <w:tcPr>
            <w:tcW w:w="3900" w:type="dxa"/>
            <w:vAlign w:val="bottom"/>
            <w:gridSpan w:val="4"/>
            <w:shd w:val="clear" w:color="auto" w:fill="CFF0FC"/>
          </w:tcPr>
          <w:p>
            <w:pPr>
              <w:ind w:left="20"/>
              <w:spacing w:after="0" w:line="169" w:lineRule="exact"/>
              <w:rPr>
                <w:sz w:val="20"/>
                <w:szCs w:val="20"/>
                <w:color w:val="auto"/>
              </w:rPr>
            </w:pPr>
            <w:r>
              <w:rPr>
                <w:rFonts w:ascii="Arial" w:cs="Arial" w:eastAsia="Arial" w:hAnsi="Arial"/>
                <w:sz w:val="16"/>
                <w:szCs w:val="16"/>
                <w:color w:val="auto"/>
              </w:rPr>
              <w:t>Equity investment securities:</w:t>
            </w:r>
          </w:p>
        </w:tc>
        <w:tc>
          <w:tcPr>
            <w:tcW w:w="6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r>
      <w:tr>
        <w:trPr>
          <w:trHeight w:val="36"/>
        </w:trPr>
        <w:tc>
          <w:tcPr>
            <w:tcW w:w="20" w:type="dxa"/>
            <w:vAlign w:val="bottom"/>
            <w:shd w:val="clear" w:color="auto" w:fill="CFF0FC"/>
          </w:tcPr>
          <w:p>
            <w:pPr>
              <w:spacing w:after="0"/>
              <w:rPr>
                <w:sz w:val="3"/>
                <w:szCs w:val="3"/>
                <w:color w:val="auto"/>
              </w:rPr>
            </w:pPr>
          </w:p>
        </w:tc>
        <w:tc>
          <w:tcPr>
            <w:tcW w:w="188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900" w:type="dxa"/>
            <w:vAlign w:val="bottom"/>
            <w:shd w:val="clear" w:color="auto" w:fill="CFF0FC"/>
          </w:tcPr>
          <w:p>
            <w:pPr>
              <w:spacing w:after="0"/>
              <w:rPr>
                <w:sz w:val="3"/>
                <w:szCs w:val="3"/>
                <w:color w:val="auto"/>
              </w:rPr>
            </w:pPr>
          </w:p>
        </w:tc>
        <w:tc>
          <w:tcPr>
            <w:tcW w:w="66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480" w:type="dxa"/>
            <w:vAlign w:val="bottom"/>
            <w:shd w:val="clear" w:color="auto" w:fill="CFF0FC"/>
          </w:tcPr>
          <w:p>
            <w:pPr>
              <w:spacing w:after="0"/>
              <w:rPr>
                <w:sz w:val="3"/>
                <w:szCs w:val="3"/>
                <w:color w:val="auto"/>
              </w:rPr>
            </w:pPr>
          </w:p>
        </w:tc>
        <w:tc>
          <w:tcPr>
            <w:tcW w:w="1160" w:type="dxa"/>
            <w:vAlign w:val="bottom"/>
            <w:shd w:val="clear" w:color="auto" w:fill="CFF0FC"/>
          </w:tcPr>
          <w:p>
            <w:pPr>
              <w:spacing w:after="0"/>
              <w:rPr>
                <w:sz w:val="3"/>
                <w:szCs w:val="3"/>
                <w:color w:val="auto"/>
              </w:rPr>
            </w:pPr>
          </w:p>
        </w:tc>
        <w:tc>
          <w:tcPr>
            <w:tcW w:w="72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46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Common stock - financial services industry</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206</w:t>
            </w:r>
          </w:p>
        </w:tc>
        <w:tc>
          <w:tcPr>
            <w:tcW w:w="48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206</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320"/>
              <w:spacing w:after="0"/>
              <w:rPr>
                <w:sz w:val="20"/>
                <w:szCs w:val="20"/>
                <w:color w:val="auto"/>
              </w:rPr>
            </w:pPr>
            <w:r>
              <w:rPr>
                <w:rFonts w:ascii="Arial" w:cs="Arial" w:eastAsia="Arial" w:hAnsi="Arial"/>
                <w:sz w:val="16"/>
                <w:szCs w:val="16"/>
                <w:color w:val="auto"/>
              </w:rPr>
              <w:t>Total</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206</w:t>
            </w: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206</w:t>
            </w:r>
          </w:p>
        </w:tc>
      </w:tr>
      <w:tr>
        <w:trPr>
          <w:trHeight w:val="203"/>
        </w:trPr>
        <w:tc>
          <w:tcPr>
            <w:tcW w:w="390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color w:val="auto"/>
              </w:rPr>
              <w:t>Total available-for-sale</w:t>
            </w:r>
          </w:p>
        </w:tc>
        <w:tc>
          <w:tcPr>
            <w:tcW w:w="6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205,436</w:t>
            </w:r>
          </w:p>
        </w:tc>
        <w:tc>
          <w:tcPr>
            <w:tcW w:w="4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1,105</w:t>
            </w:r>
          </w:p>
        </w:tc>
        <w:tc>
          <w:tcPr>
            <w:tcW w:w="7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(14,815 )</w:t>
            </w:r>
          </w:p>
        </w:tc>
        <w:tc>
          <w:tcPr>
            <w:tcW w:w="4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191,726</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9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204"/>
        </w:trPr>
        <w:tc>
          <w:tcPr>
            <w:tcW w:w="3900" w:type="dxa"/>
            <w:vAlign w:val="bottom"/>
            <w:gridSpan w:val="4"/>
          </w:tcPr>
          <w:p>
            <w:pPr>
              <w:ind w:left="20"/>
              <w:spacing w:after="0"/>
              <w:rPr>
                <w:sz w:val="20"/>
                <w:szCs w:val="20"/>
                <w:color w:val="auto"/>
              </w:rPr>
            </w:pPr>
            <w:r>
              <w:rPr>
                <w:rFonts w:ascii="Arial" w:cs="Arial" w:eastAsia="Arial" w:hAnsi="Arial"/>
                <w:sz w:val="16"/>
                <w:szCs w:val="16"/>
                <w:b w:val="1"/>
                <w:bCs w:val="1"/>
                <w:i w:val="1"/>
                <w:iCs w:val="1"/>
                <w:color w:val="auto"/>
              </w:rPr>
              <w:t>Held-to-Maturity Portfolio</w:t>
            </w: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68"/>
        </w:trPr>
        <w:tc>
          <w:tcPr>
            <w:tcW w:w="3900" w:type="dxa"/>
            <w:vAlign w:val="bottom"/>
            <w:gridSpan w:val="4"/>
            <w:shd w:val="clear" w:color="auto" w:fill="CFF0FC"/>
          </w:tcPr>
          <w:p>
            <w:pPr>
              <w:ind w:left="20"/>
              <w:spacing w:after="0" w:line="168" w:lineRule="exact"/>
              <w:rPr>
                <w:sz w:val="20"/>
                <w:szCs w:val="20"/>
                <w:color w:val="auto"/>
              </w:rPr>
            </w:pPr>
            <w:r>
              <w:rPr>
                <w:rFonts w:ascii="Arial" w:cs="Arial" w:eastAsia="Arial" w:hAnsi="Arial"/>
                <w:sz w:val="16"/>
                <w:szCs w:val="16"/>
                <w:color w:val="auto"/>
              </w:rPr>
              <w:t>Debt investment securities:</w:t>
            </w:r>
          </w:p>
        </w:tc>
        <w:tc>
          <w:tcPr>
            <w:tcW w:w="6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r>
      <w:tr>
        <w:trPr>
          <w:trHeight w:val="36"/>
        </w:trPr>
        <w:tc>
          <w:tcPr>
            <w:tcW w:w="20" w:type="dxa"/>
            <w:vAlign w:val="bottom"/>
            <w:shd w:val="clear" w:color="auto" w:fill="CFF0FC"/>
          </w:tcPr>
          <w:p>
            <w:pPr>
              <w:spacing w:after="0"/>
              <w:rPr>
                <w:sz w:val="3"/>
                <w:szCs w:val="3"/>
                <w:color w:val="auto"/>
              </w:rPr>
            </w:pPr>
          </w:p>
        </w:tc>
        <w:tc>
          <w:tcPr>
            <w:tcW w:w="1880" w:type="dxa"/>
            <w:vAlign w:val="bottom"/>
            <w:shd w:val="clear" w:color="auto" w:fill="000000"/>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900" w:type="dxa"/>
            <w:vAlign w:val="bottom"/>
            <w:shd w:val="clear" w:color="auto" w:fill="CFF0FC"/>
          </w:tcPr>
          <w:p>
            <w:pPr>
              <w:spacing w:after="0"/>
              <w:rPr>
                <w:sz w:val="3"/>
                <w:szCs w:val="3"/>
                <w:color w:val="auto"/>
              </w:rPr>
            </w:pPr>
          </w:p>
        </w:tc>
        <w:tc>
          <w:tcPr>
            <w:tcW w:w="66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480" w:type="dxa"/>
            <w:vAlign w:val="bottom"/>
            <w:shd w:val="clear" w:color="auto" w:fill="CFF0FC"/>
          </w:tcPr>
          <w:p>
            <w:pPr>
              <w:spacing w:after="0"/>
              <w:rPr>
                <w:sz w:val="3"/>
                <w:szCs w:val="3"/>
                <w:color w:val="auto"/>
              </w:rPr>
            </w:pPr>
          </w:p>
        </w:tc>
        <w:tc>
          <w:tcPr>
            <w:tcW w:w="1160" w:type="dxa"/>
            <w:vAlign w:val="bottom"/>
            <w:shd w:val="clear" w:color="auto" w:fill="CFF0FC"/>
          </w:tcPr>
          <w:p>
            <w:pPr>
              <w:spacing w:after="0"/>
              <w:rPr>
                <w:sz w:val="3"/>
                <w:szCs w:val="3"/>
                <w:color w:val="auto"/>
              </w:rPr>
            </w:pPr>
          </w:p>
        </w:tc>
        <w:tc>
          <w:tcPr>
            <w:tcW w:w="72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46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US Treasury, agencies and GSEs</w:t>
            </w:r>
          </w:p>
        </w:tc>
        <w:tc>
          <w:tcPr>
            <w:tcW w:w="66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3,852</w:t>
            </w:r>
          </w:p>
        </w:tc>
        <w:tc>
          <w:tcPr>
            <w:tcW w:w="4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(280 )</w:t>
            </w:r>
          </w:p>
        </w:tc>
        <w:tc>
          <w:tcPr>
            <w:tcW w:w="46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3,572</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State and political subdivisions</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15,211</w:t>
            </w: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(2,340)</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12,871</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Corporate</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45,086</w:t>
            </w:r>
          </w:p>
        </w:tc>
        <w:tc>
          <w:tcPr>
            <w:tcW w:w="48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2</w:t>
            </w:r>
          </w:p>
        </w:tc>
        <w:tc>
          <w:tcPr>
            <w:tcW w:w="72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(2,586)</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42,502</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Asset backed securities</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19,158</w:t>
            </w: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(1,291)</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17,867</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Residential mortgage-backed - US agency</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7,489</w:t>
            </w:r>
          </w:p>
        </w:tc>
        <w:tc>
          <w:tcPr>
            <w:tcW w:w="48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(739 )</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6,750</w:t>
            </w:r>
          </w:p>
        </w:tc>
      </w:tr>
      <w:tr>
        <w:trPr>
          <w:trHeight w:val="205"/>
        </w:trPr>
        <w:tc>
          <w:tcPr>
            <w:tcW w:w="20" w:type="dxa"/>
            <w:vAlign w:val="bottom"/>
            <w:shd w:val="clear" w:color="auto" w:fill="CFF0FC"/>
          </w:tcPr>
          <w:p>
            <w:pPr>
              <w:spacing w:after="0"/>
              <w:rPr>
                <w:sz w:val="17"/>
                <w:szCs w:val="17"/>
                <w:color w:val="auto"/>
              </w:rPr>
            </w:pPr>
          </w:p>
        </w:tc>
        <w:tc>
          <w:tcPr>
            <w:tcW w:w="38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Collateralized mortgage obligations - US agency</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15,109</w:t>
            </w: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(1,251)</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13,858</w:t>
            </w:r>
          </w:p>
        </w:tc>
      </w:tr>
      <w:tr>
        <w:trPr>
          <w:trHeight w:val="203"/>
        </w:trPr>
        <w:tc>
          <w:tcPr>
            <w:tcW w:w="20" w:type="dxa"/>
            <w:vAlign w:val="bottom"/>
          </w:tcPr>
          <w:p>
            <w:pPr>
              <w:spacing w:after="0"/>
              <w:rPr>
                <w:sz w:val="17"/>
                <w:szCs w:val="17"/>
                <w:color w:val="auto"/>
              </w:rPr>
            </w:pPr>
          </w:p>
        </w:tc>
        <w:tc>
          <w:tcPr>
            <w:tcW w:w="3880" w:type="dxa"/>
            <w:vAlign w:val="bottom"/>
            <w:gridSpan w:val="3"/>
          </w:tcPr>
          <w:p>
            <w:pPr>
              <w:ind w:left="160"/>
              <w:spacing w:after="0"/>
              <w:rPr>
                <w:sz w:val="20"/>
                <w:szCs w:val="20"/>
                <w:color w:val="auto"/>
              </w:rPr>
            </w:pPr>
            <w:r>
              <w:rPr>
                <w:rFonts w:ascii="Arial" w:cs="Arial" w:eastAsia="Arial" w:hAnsi="Arial"/>
                <w:sz w:val="16"/>
                <w:szCs w:val="16"/>
                <w:color w:val="auto"/>
              </w:rPr>
              <w:t>Collateralized mortgage obligations - Private label</w:t>
            </w:r>
          </w:p>
        </w:tc>
        <w:tc>
          <w:tcPr>
            <w:tcW w:w="66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88,497</w:t>
            </w:r>
          </w:p>
        </w:tc>
        <w:tc>
          <w:tcPr>
            <w:tcW w:w="480" w:type="dxa"/>
            <w:vAlign w:val="bottom"/>
          </w:tcPr>
          <w:p>
            <w:pPr>
              <w:spacing w:after="0"/>
              <w:rPr>
                <w:sz w:val="17"/>
                <w:szCs w:val="17"/>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4</w:t>
            </w:r>
          </w:p>
        </w:tc>
        <w:tc>
          <w:tcPr>
            <w:tcW w:w="72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(4,430)</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84,071</w:t>
            </w:r>
          </w:p>
        </w:tc>
      </w:tr>
      <w:tr>
        <w:trPr>
          <w:trHeight w:val="244"/>
        </w:trPr>
        <w:tc>
          <w:tcPr>
            <w:tcW w:w="3900" w:type="dxa"/>
            <w:vAlign w:val="bottom"/>
            <w:tcBorders>
              <w:bottom w:val="single" w:sz="8" w:color="auto"/>
            </w:tcBorders>
            <w:gridSpan w:val="4"/>
            <w:shd w:val="clear" w:color="auto" w:fill="CFF0FC"/>
          </w:tcPr>
          <w:p>
            <w:pPr>
              <w:ind w:left="20"/>
              <w:spacing w:after="0"/>
              <w:rPr>
                <w:sz w:val="20"/>
                <w:szCs w:val="20"/>
                <w:color w:val="auto"/>
              </w:rPr>
            </w:pPr>
            <w:r>
              <w:rPr>
                <w:rFonts w:ascii="Arial" w:cs="Arial" w:eastAsia="Arial" w:hAnsi="Arial"/>
                <w:sz w:val="16"/>
                <w:szCs w:val="16"/>
                <w:color w:val="auto"/>
              </w:rPr>
              <w:t>Total held-to-maturity</w:t>
            </w:r>
          </w:p>
        </w:tc>
        <w:tc>
          <w:tcPr>
            <w:tcW w:w="660" w:type="dxa"/>
            <w:vAlign w:val="bottom"/>
            <w:tcBorders>
              <w:bottom w:val="single" w:sz="8" w:color="auto"/>
            </w:tcBorders>
            <w:shd w:val="clear" w:color="auto" w:fill="CFF0FC"/>
          </w:tcPr>
          <w:p>
            <w:pPr>
              <w:jc w:val="right"/>
              <w:ind w:right="22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194,402</w:t>
            </w:r>
          </w:p>
        </w:tc>
        <w:tc>
          <w:tcPr>
            <w:tcW w:w="48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6</w:t>
            </w:r>
          </w:p>
        </w:tc>
        <w:tc>
          <w:tcPr>
            <w:tcW w:w="720" w:type="dxa"/>
            <w:vAlign w:val="bottom"/>
            <w:tcBorders>
              <w:bottom w:val="single" w:sz="8" w:color="auto"/>
            </w:tcBorders>
            <w:shd w:val="clear" w:color="auto" w:fill="CFF0FC"/>
          </w:tcPr>
          <w:p>
            <w:pPr>
              <w:jc w:val="right"/>
              <w:ind w:right="4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(12,917 )</w:t>
            </w:r>
          </w:p>
        </w:tc>
        <w:tc>
          <w:tcPr>
            <w:tcW w:w="460" w:type="dxa"/>
            <w:vAlign w:val="bottom"/>
            <w:tcBorders>
              <w:bottom w:val="single" w:sz="8" w:color="auto"/>
            </w:tcBorders>
            <w:shd w:val="clear" w:color="auto" w:fill="CFF0FC"/>
          </w:tcPr>
          <w:p>
            <w:pPr>
              <w:jc w:val="right"/>
              <w:ind w:right="20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181,491</w:t>
            </w:r>
          </w:p>
        </w:tc>
      </w:tr>
    </w:tbl>
    <w:p>
      <w:pPr>
        <w:spacing w:after="0" w:line="20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amortized cost and estimated fair value of debt investments at June 30, 2023 by contractual maturity are shown below. Expected maturities may differ from contractual maturities because borrowers may have the right to call or prepay obligations with or without penalties.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rPr>
              <w:t>Available-for-Sale</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Held-to-Maturity</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Amortized</w:t>
            </w:r>
          </w:p>
        </w:tc>
        <w:tc>
          <w:tcPr>
            <w:tcW w:w="680" w:type="dxa"/>
            <w:vAlign w:val="bottom"/>
          </w:tcPr>
          <w:p>
            <w:pPr>
              <w:spacing w:after="0"/>
              <w:rPr>
                <w:sz w:val="17"/>
                <w:szCs w:val="17"/>
                <w:color w:val="auto"/>
              </w:rPr>
            </w:pP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Estimated</w:t>
            </w:r>
          </w:p>
        </w:tc>
        <w:tc>
          <w:tcPr>
            <w:tcW w:w="46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Amortized</w:t>
            </w:r>
          </w:p>
        </w:tc>
        <w:tc>
          <w:tcPr>
            <w:tcW w:w="62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Estimated</w:t>
            </w:r>
          </w:p>
        </w:tc>
        <w:tc>
          <w:tcPr>
            <w:tcW w:w="0" w:type="dxa"/>
            <w:vAlign w:val="bottom"/>
          </w:tcPr>
          <w:p>
            <w:pPr>
              <w:spacing w:after="0"/>
              <w:rPr>
                <w:sz w:val="1"/>
                <w:szCs w:val="1"/>
                <w:color w:val="auto"/>
              </w:rPr>
            </w:pPr>
          </w:p>
        </w:tc>
      </w:tr>
      <w:tr>
        <w:trPr>
          <w:trHeight w:val="205"/>
        </w:trPr>
        <w:tc>
          <w:tcPr>
            <w:tcW w:w="3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880" w:type="dxa"/>
            <w:vAlign w:val="bottom"/>
          </w:tcPr>
          <w:p>
            <w:pPr>
              <w:spacing w:after="0"/>
              <w:rPr>
                <w:sz w:val="17"/>
                <w:szCs w:val="17"/>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Cost</w:t>
            </w:r>
          </w:p>
        </w:tc>
        <w:tc>
          <w:tcPr>
            <w:tcW w:w="680" w:type="dxa"/>
            <w:vAlign w:val="bottom"/>
          </w:tcPr>
          <w:p>
            <w:pPr>
              <w:spacing w:after="0"/>
              <w:rPr>
                <w:sz w:val="17"/>
                <w:szCs w:val="17"/>
                <w:color w:val="auto"/>
              </w:rPr>
            </w:pPr>
          </w:p>
        </w:tc>
        <w:tc>
          <w:tcPr>
            <w:tcW w:w="900" w:type="dxa"/>
            <w:vAlign w:val="bottom"/>
          </w:tcPr>
          <w:p>
            <w:pPr>
              <w:jc w:val="right"/>
              <w:ind w:right="82"/>
              <w:spacing w:after="0"/>
              <w:rPr>
                <w:sz w:val="20"/>
                <w:szCs w:val="20"/>
                <w:color w:val="auto"/>
              </w:rPr>
            </w:pPr>
            <w:r>
              <w:rPr>
                <w:rFonts w:ascii="Arial" w:cs="Arial" w:eastAsia="Arial" w:hAnsi="Arial"/>
                <w:sz w:val="16"/>
                <w:szCs w:val="16"/>
                <w:color w:val="auto"/>
                <w:w w:val="98"/>
              </w:rPr>
              <w:t>Fair Value</w:t>
            </w:r>
          </w:p>
        </w:tc>
        <w:tc>
          <w:tcPr>
            <w:tcW w:w="46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Cost</w:t>
            </w:r>
          </w:p>
        </w:tc>
        <w:tc>
          <w:tcPr>
            <w:tcW w:w="62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Fair Value</w:t>
            </w:r>
          </w:p>
        </w:tc>
        <w:tc>
          <w:tcPr>
            <w:tcW w:w="0" w:type="dxa"/>
            <w:vAlign w:val="bottom"/>
          </w:tcPr>
          <w:p>
            <w:pPr>
              <w:spacing w:after="0"/>
              <w:rPr>
                <w:sz w:val="1"/>
                <w:szCs w:val="1"/>
                <w:color w:val="auto"/>
              </w:rPr>
            </w:pPr>
          </w:p>
        </w:tc>
      </w:tr>
      <w:tr>
        <w:trPr>
          <w:trHeight w:val="205"/>
        </w:trPr>
        <w:tc>
          <w:tcPr>
            <w:tcW w:w="3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Due in one year or less</w:t>
            </w:r>
          </w:p>
        </w:tc>
        <w:tc>
          <w:tcPr>
            <w:tcW w:w="88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8,609</w:t>
            </w:r>
          </w:p>
        </w:tc>
        <w:tc>
          <w:tcPr>
            <w:tcW w:w="680" w:type="dxa"/>
            <w:vAlign w:val="bottom"/>
            <w:shd w:val="clear" w:color="auto" w:fill="CFF0FC"/>
          </w:tcPr>
          <w:p>
            <w:pPr>
              <w:jc w:val="right"/>
              <w:ind w:right="382"/>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8,991</w:t>
            </w:r>
          </w:p>
        </w:tc>
        <w:tc>
          <w:tcPr>
            <w:tcW w:w="46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1,131</w:t>
            </w:r>
          </w:p>
        </w:tc>
        <w:tc>
          <w:tcPr>
            <w:tcW w:w="620" w:type="dxa"/>
            <w:vAlign w:val="bottom"/>
            <w:shd w:val="clear" w:color="auto" w:fill="CFF0FC"/>
          </w:tcPr>
          <w:p>
            <w:pPr>
              <w:jc w:val="right"/>
              <w:ind w:right="342"/>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rPr>
                <w:sz w:val="20"/>
                <w:szCs w:val="20"/>
                <w:color w:val="auto"/>
              </w:rPr>
            </w:pPr>
            <w:r>
              <w:rPr>
                <w:rFonts w:ascii="Arial" w:cs="Arial" w:eastAsia="Arial" w:hAnsi="Arial"/>
                <w:sz w:val="16"/>
                <w:szCs w:val="16"/>
                <w:color w:val="auto"/>
              </w:rPr>
              <w:t>Due after one year through five years</w:t>
            </w:r>
          </w:p>
        </w:tc>
        <w:tc>
          <w:tcPr>
            <w:tcW w:w="880" w:type="dxa"/>
            <w:vAlign w:val="bottom"/>
          </w:tcPr>
          <w:p>
            <w:pPr>
              <w:spacing w:after="0"/>
              <w:rPr>
                <w:sz w:val="17"/>
                <w:szCs w:val="17"/>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10,728</w:t>
            </w:r>
          </w:p>
        </w:tc>
        <w:tc>
          <w:tcPr>
            <w:tcW w:w="680" w:type="dxa"/>
            <w:vAlign w:val="bottom"/>
          </w:tcPr>
          <w:p>
            <w:pPr>
              <w:spacing w:after="0"/>
              <w:rPr>
                <w:sz w:val="17"/>
                <w:szCs w:val="17"/>
                <w:color w:val="auto"/>
              </w:rPr>
            </w:pP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10,100</w:t>
            </w:r>
          </w:p>
        </w:tc>
        <w:tc>
          <w:tcPr>
            <w:tcW w:w="46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18,224</w:t>
            </w:r>
          </w:p>
        </w:tc>
        <w:tc>
          <w:tcPr>
            <w:tcW w:w="62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17,739</w:t>
            </w:r>
          </w:p>
        </w:tc>
        <w:tc>
          <w:tcPr>
            <w:tcW w:w="0" w:type="dxa"/>
            <w:vAlign w:val="bottom"/>
          </w:tcPr>
          <w:p>
            <w:pPr>
              <w:spacing w:after="0"/>
              <w:rPr>
                <w:sz w:val="1"/>
                <w:szCs w:val="1"/>
                <w:color w:val="auto"/>
              </w:rPr>
            </w:pPr>
          </w:p>
        </w:tc>
      </w:tr>
      <w:tr>
        <w:trPr>
          <w:trHeight w:val="205"/>
        </w:trPr>
        <w:tc>
          <w:tcPr>
            <w:tcW w:w="3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Due after five years through ten years</w:t>
            </w:r>
          </w:p>
        </w:tc>
        <w:tc>
          <w:tcPr>
            <w:tcW w:w="8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35,470</w:t>
            </w:r>
          </w:p>
        </w:tc>
        <w:tc>
          <w:tcPr>
            <w:tcW w:w="6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32,849</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42,585</w:t>
            </w:r>
          </w:p>
        </w:tc>
        <w:tc>
          <w:tcPr>
            <w:tcW w:w="6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38,212</w:t>
            </w: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rPr>
                <w:sz w:val="20"/>
                <w:szCs w:val="20"/>
                <w:color w:val="auto"/>
              </w:rPr>
            </w:pPr>
            <w:r>
              <w:rPr>
                <w:rFonts w:ascii="Arial" w:cs="Arial" w:eastAsia="Arial" w:hAnsi="Arial"/>
                <w:sz w:val="16"/>
                <w:szCs w:val="16"/>
                <w:color w:val="auto"/>
              </w:rPr>
              <w:t>Due after ten years</w:t>
            </w:r>
          </w:p>
        </w:tc>
        <w:tc>
          <w:tcPr>
            <w:tcW w:w="880" w:type="dxa"/>
            <w:vAlign w:val="bottom"/>
          </w:tcPr>
          <w:p>
            <w:pPr>
              <w:spacing w:after="0"/>
              <w:rPr>
                <w:sz w:val="17"/>
                <w:szCs w:val="17"/>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50,176</w:t>
            </w:r>
          </w:p>
        </w:tc>
        <w:tc>
          <w:tcPr>
            <w:tcW w:w="680" w:type="dxa"/>
            <w:vAlign w:val="bottom"/>
          </w:tcPr>
          <w:p>
            <w:pPr>
              <w:spacing w:after="0"/>
              <w:rPr>
                <w:sz w:val="17"/>
                <w:szCs w:val="17"/>
                <w:color w:val="auto"/>
              </w:rPr>
            </w:pP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47,385</w:t>
            </w:r>
          </w:p>
        </w:tc>
        <w:tc>
          <w:tcPr>
            <w:tcW w:w="46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21,712</w:t>
            </w:r>
          </w:p>
        </w:tc>
        <w:tc>
          <w:tcPr>
            <w:tcW w:w="62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18,909</w:t>
            </w:r>
          </w:p>
        </w:tc>
        <w:tc>
          <w:tcPr>
            <w:tcW w:w="0" w:type="dxa"/>
            <w:vAlign w:val="bottom"/>
          </w:tcPr>
          <w:p>
            <w:pPr>
              <w:spacing w:after="0"/>
              <w:rPr>
                <w:sz w:val="1"/>
                <w:szCs w:val="1"/>
                <w:color w:val="auto"/>
              </w:rPr>
            </w:pPr>
          </w:p>
        </w:tc>
      </w:tr>
      <w:tr>
        <w:trPr>
          <w:trHeight w:val="205"/>
        </w:trPr>
        <w:tc>
          <w:tcPr>
            <w:tcW w:w="39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Sub-total</w:t>
            </w:r>
          </w:p>
        </w:tc>
        <w:tc>
          <w:tcPr>
            <w:tcW w:w="8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104,983</w:t>
            </w:r>
          </w:p>
        </w:tc>
        <w:tc>
          <w:tcPr>
            <w:tcW w:w="6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99,325</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83,652</w:t>
            </w:r>
          </w:p>
        </w:tc>
        <w:tc>
          <w:tcPr>
            <w:tcW w:w="6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75,979</w:t>
            </w: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rPr>
                <w:sz w:val="20"/>
                <w:szCs w:val="20"/>
                <w:color w:val="auto"/>
              </w:rPr>
            </w:pPr>
            <w:r>
              <w:rPr>
                <w:rFonts w:ascii="Arial" w:cs="Arial" w:eastAsia="Arial" w:hAnsi="Arial"/>
                <w:sz w:val="16"/>
                <w:szCs w:val="16"/>
                <w:color w:val="auto"/>
              </w:rPr>
              <w:t>Residential mortgage-backed - US agency</w:t>
            </w:r>
          </w:p>
        </w:tc>
        <w:tc>
          <w:tcPr>
            <w:tcW w:w="880" w:type="dxa"/>
            <w:vAlign w:val="bottom"/>
          </w:tcPr>
          <w:p>
            <w:pPr>
              <w:spacing w:after="0"/>
              <w:rPr>
                <w:sz w:val="17"/>
                <w:szCs w:val="17"/>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17,043</w:t>
            </w:r>
          </w:p>
        </w:tc>
        <w:tc>
          <w:tcPr>
            <w:tcW w:w="680" w:type="dxa"/>
            <w:vAlign w:val="bottom"/>
          </w:tcPr>
          <w:p>
            <w:pPr>
              <w:spacing w:after="0"/>
              <w:rPr>
                <w:sz w:val="17"/>
                <w:szCs w:val="17"/>
                <w:color w:val="auto"/>
              </w:rPr>
            </w:pP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15,612</w:t>
            </w:r>
          </w:p>
        </w:tc>
        <w:tc>
          <w:tcPr>
            <w:tcW w:w="46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7,294</w:t>
            </w:r>
          </w:p>
        </w:tc>
        <w:tc>
          <w:tcPr>
            <w:tcW w:w="62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6,551</w:t>
            </w:r>
          </w:p>
        </w:tc>
        <w:tc>
          <w:tcPr>
            <w:tcW w:w="0" w:type="dxa"/>
            <w:vAlign w:val="bottom"/>
          </w:tcPr>
          <w:p>
            <w:pPr>
              <w:spacing w:after="0"/>
              <w:rPr>
                <w:sz w:val="1"/>
                <w:szCs w:val="1"/>
                <w:color w:val="auto"/>
              </w:rPr>
            </w:pPr>
          </w:p>
        </w:tc>
      </w:tr>
      <w:tr>
        <w:trPr>
          <w:trHeight w:val="203"/>
        </w:trPr>
        <w:tc>
          <w:tcPr>
            <w:tcW w:w="398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Collateralized mortgage obligations - US agency</w:t>
            </w:r>
          </w:p>
        </w:tc>
        <w:tc>
          <w:tcPr>
            <w:tcW w:w="8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11,901</w:t>
            </w:r>
          </w:p>
        </w:tc>
        <w:tc>
          <w:tcPr>
            <w:tcW w:w="6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10,731</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13,634</w:t>
            </w:r>
          </w:p>
        </w:tc>
        <w:tc>
          <w:tcPr>
            <w:tcW w:w="6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12,231</w:t>
            </w:r>
          </w:p>
        </w:tc>
        <w:tc>
          <w:tcPr>
            <w:tcW w:w="0" w:type="dxa"/>
            <w:vAlign w:val="bottom"/>
          </w:tcPr>
          <w:p>
            <w:pPr>
              <w:spacing w:after="0"/>
              <w:rPr>
                <w:sz w:val="1"/>
                <w:szCs w:val="1"/>
                <w:color w:val="auto"/>
              </w:rPr>
            </w:pPr>
          </w:p>
        </w:tc>
      </w:tr>
      <w:tr>
        <w:trPr>
          <w:trHeight w:val="146"/>
        </w:trPr>
        <w:tc>
          <w:tcPr>
            <w:tcW w:w="3980" w:type="dxa"/>
            <w:vAlign w:val="bottom"/>
            <w:vMerge w:val="continue"/>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rPr>
                <w:sz w:val="20"/>
                <w:szCs w:val="20"/>
                <w:color w:val="auto"/>
              </w:rPr>
            </w:pPr>
            <w:r>
              <w:rPr>
                <w:rFonts w:ascii="Arial" w:cs="Arial" w:eastAsia="Arial" w:hAnsi="Arial"/>
                <w:sz w:val="16"/>
                <w:szCs w:val="16"/>
                <w:color w:val="auto"/>
              </w:rPr>
              <w:t>Collateralized mortgage obligations - Private label</w:t>
            </w:r>
          </w:p>
        </w:tc>
        <w:tc>
          <w:tcPr>
            <w:tcW w:w="880" w:type="dxa"/>
            <w:vAlign w:val="bottom"/>
          </w:tcPr>
          <w:p>
            <w:pPr>
              <w:spacing w:after="0"/>
              <w:rPr>
                <w:sz w:val="17"/>
                <w:szCs w:val="17"/>
                <w:color w:val="auto"/>
              </w:rPr>
            </w:pPr>
          </w:p>
        </w:tc>
        <w:tc>
          <w:tcPr>
            <w:tcW w:w="1100" w:type="dxa"/>
            <w:vAlign w:val="bottom"/>
          </w:tcPr>
          <w:p>
            <w:pPr>
              <w:jc w:val="right"/>
              <w:ind w:right="62"/>
              <w:spacing w:after="0"/>
              <w:rPr>
                <w:sz w:val="20"/>
                <w:szCs w:val="20"/>
                <w:color w:val="auto"/>
              </w:rPr>
            </w:pPr>
            <w:r>
              <w:rPr>
                <w:rFonts w:ascii="Arial" w:cs="Arial" w:eastAsia="Arial" w:hAnsi="Arial"/>
                <w:sz w:val="16"/>
                <w:szCs w:val="16"/>
                <w:color w:val="auto"/>
              </w:rPr>
              <w:t>64,543</w:t>
            </w:r>
          </w:p>
        </w:tc>
        <w:tc>
          <w:tcPr>
            <w:tcW w:w="680" w:type="dxa"/>
            <w:vAlign w:val="bottom"/>
          </w:tcPr>
          <w:p>
            <w:pPr>
              <w:spacing w:after="0"/>
              <w:rPr>
                <w:sz w:val="17"/>
                <w:szCs w:val="17"/>
                <w:color w:val="auto"/>
              </w:rPr>
            </w:pP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59,948</w:t>
            </w:r>
          </w:p>
        </w:tc>
        <w:tc>
          <w:tcPr>
            <w:tcW w:w="46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91,344</w:t>
            </w:r>
          </w:p>
        </w:tc>
        <w:tc>
          <w:tcPr>
            <w:tcW w:w="62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86,617</w:t>
            </w:r>
          </w:p>
        </w:tc>
        <w:tc>
          <w:tcPr>
            <w:tcW w:w="0" w:type="dxa"/>
            <w:vAlign w:val="bottom"/>
          </w:tcPr>
          <w:p>
            <w:pPr>
              <w:spacing w:after="0"/>
              <w:rPr>
                <w:sz w:val="1"/>
                <w:szCs w:val="1"/>
                <w:color w:val="auto"/>
              </w:rPr>
            </w:pPr>
          </w:p>
        </w:tc>
      </w:tr>
      <w:tr>
        <w:trPr>
          <w:trHeight w:val="244"/>
        </w:trPr>
        <w:tc>
          <w:tcPr>
            <w:tcW w:w="398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6"/>
                <w:szCs w:val="16"/>
                <w:color w:val="auto"/>
              </w:rPr>
              <w:t>Totals</w:t>
            </w:r>
          </w:p>
        </w:tc>
        <w:tc>
          <w:tcPr>
            <w:tcW w:w="880" w:type="dxa"/>
            <w:vAlign w:val="bottom"/>
            <w:tcBorders>
              <w:bottom w:val="single" w:sz="8" w:color="auto"/>
            </w:tcBorders>
            <w:shd w:val="clear" w:color="auto" w:fill="CFF0FC"/>
          </w:tcPr>
          <w:p>
            <w:pPr>
              <w:jc w:val="right"/>
              <w:ind w:right="16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198,470</w:t>
            </w:r>
          </w:p>
        </w:tc>
        <w:tc>
          <w:tcPr>
            <w:tcW w:w="680" w:type="dxa"/>
            <w:vAlign w:val="bottom"/>
            <w:tcBorders>
              <w:bottom w:val="single" w:sz="8" w:color="auto"/>
            </w:tcBorders>
            <w:shd w:val="clear" w:color="auto" w:fill="CFF0FC"/>
          </w:tcPr>
          <w:p>
            <w:pPr>
              <w:jc w:val="right"/>
              <w:ind w:right="38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185,616</w:t>
            </w:r>
          </w:p>
        </w:tc>
        <w:tc>
          <w:tcPr>
            <w:tcW w:w="460" w:type="dxa"/>
            <w:vAlign w:val="bottom"/>
            <w:tcBorders>
              <w:bottom w:val="single" w:sz="8" w:color="auto"/>
            </w:tcBorders>
            <w:shd w:val="clear" w:color="auto" w:fill="CFF0FC"/>
          </w:tcPr>
          <w:p>
            <w:pPr>
              <w:jc w:val="right"/>
              <w:ind w:right="16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195,924</w:t>
            </w:r>
          </w:p>
        </w:tc>
        <w:tc>
          <w:tcPr>
            <w:tcW w:w="620" w:type="dxa"/>
            <w:vAlign w:val="bottom"/>
            <w:tcBorders>
              <w:bottom w:val="single" w:sz="8" w:color="auto"/>
            </w:tcBorders>
            <w:shd w:val="clear" w:color="auto" w:fill="CFF0FC"/>
          </w:tcPr>
          <w:p>
            <w:pPr>
              <w:jc w:val="right"/>
              <w:ind w:right="34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181,378</w:t>
            </w:r>
          </w:p>
        </w:tc>
        <w:tc>
          <w:tcPr>
            <w:tcW w:w="0" w:type="dxa"/>
            <w:vAlign w:val="bottom"/>
          </w:tcPr>
          <w:p>
            <w:pPr>
              <w:spacing w:after="0"/>
              <w:rPr>
                <w:sz w:val="1"/>
                <w:szCs w:val="1"/>
                <w:color w:val="auto"/>
              </w:rPr>
            </w:pPr>
          </w:p>
        </w:tc>
      </w:tr>
      <w:tr>
        <w:trPr>
          <w:trHeight w:val="359"/>
        </w:trPr>
        <w:tc>
          <w:tcPr>
            <w:tcW w:w="3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jc w:val="right"/>
              <w:ind w:right="422"/>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14</w:t>
            </w:r>
            <w:r>
              <w:rPr>
                <w:rFonts w:ascii="Arial" w:cs="Arial" w:eastAsia="Arial" w:hAnsi="Arial"/>
                <w:sz w:val="16"/>
                <w:szCs w:val="16"/>
                <w:color w:val="auto"/>
              </w:rPr>
              <w:t xml:space="preserve"> -</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980" w:type="dxa"/>
            <w:vAlign w:val="bottom"/>
            <w:tcBorders>
              <w:bottom w:val="single" w:sz="8" w:color="EEEEEE"/>
            </w:tcBorders>
          </w:tcPr>
          <w:p>
            <w:pPr>
              <w:spacing w:after="0"/>
              <w:rPr>
                <w:sz w:val="7"/>
                <w:szCs w:val="7"/>
                <w:color w:val="auto"/>
              </w:rPr>
            </w:pPr>
          </w:p>
        </w:tc>
        <w:tc>
          <w:tcPr>
            <w:tcW w:w="880" w:type="dxa"/>
            <w:vAlign w:val="bottom"/>
            <w:tcBorders>
              <w:bottom w:val="single" w:sz="8" w:color="EEEEEE"/>
            </w:tcBorders>
          </w:tcPr>
          <w:p>
            <w:pPr>
              <w:spacing w:after="0"/>
              <w:rPr>
                <w:sz w:val="7"/>
                <w:szCs w:val="7"/>
                <w:color w:val="auto"/>
              </w:rPr>
            </w:pPr>
          </w:p>
        </w:tc>
        <w:tc>
          <w:tcPr>
            <w:tcW w:w="1100" w:type="dxa"/>
            <w:vAlign w:val="bottom"/>
            <w:tcBorders>
              <w:bottom w:val="single" w:sz="8" w:color="EEEEEE"/>
            </w:tcBorders>
          </w:tcPr>
          <w:p>
            <w:pPr>
              <w:spacing w:after="0"/>
              <w:rPr>
                <w:sz w:val="7"/>
                <w:szCs w:val="7"/>
                <w:color w:val="auto"/>
              </w:rPr>
            </w:pPr>
          </w:p>
        </w:tc>
        <w:tc>
          <w:tcPr>
            <w:tcW w:w="680" w:type="dxa"/>
            <w:vAlign w:val="bottom"/>
            <w:tcBorders>
              <w:bottom w:val="single" w:sz="8" w:color="EEEEEE"/>
            </w:tcBorders>
          </w:tcPr>
          <w:p>
            <w:pPr>
              <w:spacing w:after="0"/>
              <w:rPr>
                <w:sz w:val="7"/>
                <w:szCs w:val="7"/>
                <w:color w:val="auto"/>
              </w:rPr>
            </w:pPr>
          </w:p>
        </w:tc>
        <w:tc>
          <w:tcPr>
            <w:tcW w:w="900" w:type="dxa"/>
            <w:vAlign w:val="bottom"/>
            <w:tcBorders>
              <w:bottom w:val="single" w:sz="8" w:color="EEEEEE"/>
            </w:tcBorders>
          </w:tcPr>
          <w:p>
            <w:pPr>
              <w:spacing w:after="0"/>
              <w:rPr>
                <w:sz w:val="7"/>
                <w:szCs w:val="7"/>
                <w:color w:val="auto"/>
              </w:rPr>
            </w:pPr>
          </w:p>
        </w:tc>
        <w:tc>
          <w:tcPr>
            <w:tcW w:w="460" w:type="dxa"/>
            <w:vAlign w:val="bottom"/>
            <w:tcBorders>
              <w:bottom w:val="single" w:sz="8" w:color="EEEEEE"/>
            </w:tcBorders>
          </w:tcPr>
          <w:p>
            <w:pPr>
              <w:spacing w:after="0"/>
              <w:rPr>
                <w:sz w:val="7"/>
                <w:szCs w:val="7"/>
                <w:color w:val="auto"/>
              </w:rPr>
            </w:pPr>
          </w:p>
        </w:tc>
        <w:tc>
          <w:tcPr>
            <w:tcW w:w="1080" w:type="dxa"/>
            <w:vAlign w:val="bottom"/>
            <w:tcBorders>
              <w:bottom w:val="single" w:sz="8" w:color="EEEEEE"/>
            </w:tcBorders>
          </w:tcPr>
          <w:p>
            <w:pPr>
              <w:spacing w:after="0"/>
              <w:rPr>
                <w:sz w:val="7"/>
                <w:szCs w:val="7"/>
                <w:color w:val="auto"/>
              </w:rPr>
            </w:pPr>
          </w:p>
        </w:tc>
        <w:tc>
          <w:tcPr>
            <w:tcW w:w="620" w:type="dxa"/>
            <w:vAlign w:val="bottom"/>
            <w:tcBorders>
              <w:bottom w:val="single" w:sz="8" w:color="EEEEEE"/>
            </w:tcBorders>
          </w:tcPr>
          <w:p>
            <w:pPr>
              <w:spacing w:after="0"/>
              <w:rPr>
                <w:sz w:val="7"/>
                <w:szCs w:val="7"/>
                <w:color w:val="auto"/>
              </w:rPr>
            </w:pPr>
          </w:p>
        </w:tc>
        <w:tc>
          <w:tcPr>
            <w:tcW w:w="860" w:type="dxa"/>
            <w:vAlign w:val="bottom"/>
            <w:tcBorders>
              <w:bottom w:val="single" w:sz="8" w:color="EEEEEE"/>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8" w:right="680" w:bottom="1440" w:gutter="0" w:footer="0" w:header="0"/>
        </w:sectPr>
      </w:pPr>
    </w:p>
    <w:bookmarkStart w:id="14" w:name="page15"/>
    <w:bookmarkEnd w:id="14"/>
    <w:p>
      <w:pPr>
        <w:ind w:right="80"/>
        <w:spacing w:after="0" w:line="275" w:lineRule="auto"/>
        <w:rPr>
          <w:sz w:val="20"/>
          <w:szCs w:val="20"/>
          <w:color w:val="auto"/>
        </w:rPr>
      </w:pPr>
      <w:r>
        <w:rPr>
          <w:rFonts w:ascii="Arial" w:cs="Arial" w:eastAsia="Arial" w:hAnsi="Arial"/>
          <w:sz w:val="18"/>
          <w:szCs w:val="18"/>
          <w:color w:val="auto"/>
        </w:rPr>
        <w:t>The Company’s investment securities’ gross unrealized losses and fair value, aggregated by investment category and length of time that individual securities have been in a continuous unrealized loss position,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gridSpan w:val="2"/>
          </w:tcPr>
          <w:p>
            <w:pPr>
              <w:jc w:val="right"/>
              <w:ind w:right="134"/>
              <w:spacing w:after="0"/>
              <w:rPr>
                <w:sz w:val="20"/>
                <w:szCs w:val="20"/>
                <w:color w:val="auto"/>
              </w:rPr>
            </w:pPr>
            <w:r>
              <w:rPr>
                <w:rFonts w:ascii="Arial" w:cs="Arial" w:eastAsia="Arial" w:hAnsi="Arial"/>
                <w:sz w:val="13"/>
                <w:szCs w:val="13"/>
                <w:color w:val="auto"/>
              </w:rPr>
              <w:t>June 30, 2023</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2020" w:type="dxa"/>
            <w:vAlign w:val="bottom"/>
            <w:gridSpan w:val="4"/>
          </w:tcPr>
          <w:p>
            <w:pPr>
              <w:jc w:val="right"/>
              <w:spacing w:after="0"/>
              <w:rPr>
                <w:sz w:val="20"/>
                <w:szCs w:val="20"/>
                <w:color w:val="auto"/>
              </w:rPr>
            </w:pPr>
            <w:r>
              <w:rPr>
                <w:rFonts w:ascii="Arial" w:cs="Arial" w:eastAsia="Arial" w:hAnsi="Arial"/>
                <w:sz w:val="13"/>
                <w:szCs w:val="13"/>
                <w:color w:val="auto"/>
              </w:rPr>
              <w:t>Less than Twelve Months</w:t>
            </w:r>
          </w:p>
        </w:tc>
        <w:tc>
          <w:tcPr>
            <w:tcW w:w="640" w:type="dxa"/>
            <w:vAlign w:val="bottom"/>
          </w:tcPr>
          <w:p>
            <w:pPr>
              <w:spacing w:after="0"/>
              <w:rPr>
                <w:sz w:val="15"/>
                <w:szCs w:val="15"/>
                <w:color w:val="auto"/>
              </w:rPr>
            </w:pPr>
          </w:p>
        </w:tc>
        <w:tc>
          <w:tcPr>
            <w:tcW w:w="2020" w:type="dxa"/>
            <w:vAlign w:val="bottom"/>
            <w:gridSpan w:val="4"/>
          </w:tcPr>
          <w:p>
            <w:pPr>
              <w:jc w:val="right"/>
              <w:spacing w:after="0"/>
              <w:rPr>
                <w:sz w:val="20"/>
                <w:szCs w:val="20"/>
                <w:color w:val="auto"/>
              </w:rPr>
            </w:pPr>
            <w:r>
              <w:rPr>
                <w:rFonts w:ascii="Arial" w:cs="Arial" w:eastAsia="Arial" w:hAnsi="Arial"/>
                <w:sz w:val="13"/>
                <w:szCs w:val="13"/>
                <w:color w:val="auto"/>
              </w:rPr>
              <w:t>Twelve Months or More</w:t>
            </w: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274"/>
              <w:spacing w:after="0"/>
              <w:rPr>
                <w:sz w:val="20"/>
                <w:szCs w:val="20"/>
                <w:color w:val="auto"/>
              </w:rPr>
            </w:pPr>
            <w:r>
              <w:rPr>
                <w:rFonts w:ascii="Arial" w:cs="Arial" w:eastAsia="Arial" w:hAnsi="Arial"/>
                <w:sz w:val="13"/>
                <w:szCs w:val="13"/>
                <w:color w:val="auto"/>
              </w:rPr>
              <w:t>Total</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Number of</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Number of</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Number of</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Individual</w:t>
            </w:r>
          </w:p>
        </w:tc>
        <w:tc>
          <w:tcPr>
            <w:tcW w:w="940" w:type="dxa"/>
            <w:vAlign w:val="bottom"/>
            <w:gridSpan w:val="2"/>
          </w:tcPr>
          <w:p>
            <w:pPr>
              <w:jc w:val="right"/>
              <w:ind w:right="94"/>
              <w:spacing w:after="0"/>
              <w:rPr>
                <w:sz w:val="20"/>
                <w:szCs w:val="20"/>
                <w:color w:val="auto"/>
              </w:rPr>
            </w:pPr>
            <w:r>
              <w:rPr>
                <w:rFonts w:ascii="Arial" w:cs="Arial" w:eastAsia="Arial" w:hAnsi="Arial"/>
                <w:sz w:val="13"/>
                <w:szCs w:val="13"/>
                <w:color w:val="auto"/>
              </w:rPr>
              <w:t>Unrealized</w:t>
            </w:r>
          </w:p>
        </w:tc>
        <w:tc>
          <w:tcPr>
            <w:tcW w:w="22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Fair</w:t>
            </w:r>
          </w:p>
        </w:tc>
        <w:tc>
          <w:tcPr>
            <w:tcW w:w="820" w:type="dxa"/>
            <w:vAlign w:val="bottom"/>
          </w:tcPr>
          <w:p>
            <w:pPr>
              <w:jc w:val="right"/>
              <w:spacing w:after="0"/>
              <w:rPr>
                <w:sz w:val="20"/>
                <w:szCs w:val="20"/>
                <w:color w:val="auto"/>
              </w:rPr>
            </w:pPr>
            <w:r>
              <w:rPr>
                <w:rFonts w:ascii="Arial" w:cs="Arial" w:eastAsia="Arial" w:hAnsi="Arial"/>
                <w:sz w:val="13"/>
                <w:szCs w:val="13"/>
                <w:color w:val="auto"/>
              </w:rPr>
              <w:t>Individual</w:t>
            </w:r>
          </w:p>
        </w:tc>
        <w:tc>
          <w:tcPr>
            <w:tcW w:w="1060" w:type="dxa"/>
            <w:vAlign w:val="bottom"/>
            <w:gridSpan w:val="2"/>
          </w:tcPr>
          <w:p>
            <w:pPr>
              <w:jc w:val="right"/>
              <w:ind w:right="134"/>
              <w:spacing w:after="0"/>
              <w:rPr>
                <w:sz w:val="20"/>
                <w:szCs w:val="20"/>
                <w:color w:val="auto"/>
              </w:rPr>
            </w:pPr>
            <w:r>
              <w:rPr>
                <w:rFonts w:ascii="Arial" w:cs="Arial" w:eastAsia="Arial" w:hAnsi="Arial"/>
                <w:sz w:val="13"/>
                <w:szCs w:val="13"/>
                <w:color w:val="auto"/>
              </w:rPr>
              <w:t>Unrealized</w:t>
            </w:r>
          </w:p>
        </w:tc>
        <w:tc>
          <w:tcPr>
            <w:tcW w:w="140" w:type="dxa"/>
            <w:vAlign w:val="bottom"/>
          </w:tcPr>
          <w:p>
            <w:pPr>
              <w:spacing w:after="0"/>
              <w:rPr>
                <w:sz w:val="15"/>
                <w:szCs w:val="15"/>
                <w:color w:val="auto"/>
              </w:rPr>
            </w:pPr>
          </w:p>
        </w:tc>
        <w:tc>
          <w:tcPr>
            <w:tcW w:w="680" w:type="dxa"/>
            <w:vAlign w:val="bottom"/>
          </w:tcPr>
          <w:p>
            <w:pPr>
              <w:jc w:val="right"/>
              <w:ind w:right="94"/>
              <w:spacing w:after="0"/>
              <w:rPr>
                <w:sz w:val="20"/>
                <w:szCs w:val="20"/>
                <w:color w:val="auto"/>
              </w:rPr>
            </w:pPr>
            <w:r>
              <w:rPr>
                <w:rFonts w:ascii="Arial" w:cs="Arial" w:eastAsia="Arial" w:hAnsi="Arial"/>
                <w:sz w:val="13"/>
                <w:szCs w:val="13"/>
                <w:color w:val="auto"/>
              </w:rPr>
              <w:t>Fair</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Individual</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Unrealized</w:t>
            </w:r>
          </w:p>
        </w:tc>
        <w:tc>
          <w:tcPr>
            <w:tcW w:w="180" w:type="dxa"/>
            <w:vAlign w:val="bottom"/>
          </w:tcPr>
          <w:p>
            <w:pPr>
              <w:spacing w:after="0"/>
              <w:rPr>
                <w:sz w:val="15"/>
                <w:szCs w:val="15"/>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Fair</w:t>
            </w:r>
          </w:p>
        </w:tc>
        <w:tc>
          <w:tcPr>
            <w:tcW w:w="0" w:type="dxa"/>
            <w:vAlign w:val="bottom"/>
          </w:tcPr>
          <w:p>
            <w:pPr>
              <w:spacing w:after="0"/>
              <w:rPr>
                <w:sz w:val="1"/>
                <w:szCs w:val="1"/>
                <w:color w:val="auto"/>
              </w:rPr>
            </w:pPr>
          </w:p>
        </w:tc>
      </w:tr>
      <w:tr>
        <w:trPr>
          <w:trHeight w:val="185"/>
        </w:trPr>
        <w:tc>
          <w:tcPr>
            <w:tcW w:w="26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Securities</w:t>
            </w:r>
          </w:p>
        </w:tc>
        <w:tc>
          <w:tcPr>
            <w:tcW w:w="280" w:type="dxa"/>
            <w:vAlign w:val="bottom"/>
          </w:tcPr>
          <w:p>
            <w:pPr>
              <w:spacing w:after="0"/>
              <w:rPr>
                <w:sz w:val="16"/>
                <w:szCs w:val="16"/>
                <w:color w:val="auto"/>
              </w:rPr>
            </w:pPr>
          </w:p>
        </w:tc>
        <w:tc>
          <w:tcPr>
            <w:tcW w:w="660" w:type="dxa"/>
            <w:vAlign w:val="bottom"/>
          </w:tcPr>
          <w:p>
            <w:pPr>
              <w:jc w:val="right"/>
              <w:ind w:right="94"/>
              <w:spacing w:after="0"/>
              <w:rPr>
                <w:sz w:val="20"/>
                <w:szCs w:val="20"/>
                <w:color w:val="auto"/>
              </w:rPr>
            </w:pPr>
            <w:r>
              <w:rPr>
                <w:rFonts w:ascii="Arial" w:cs="Arial" w:eastAsia="Arial" w:hAnsi="Arial"/>
                <w:sz w:val="13"/>
                <w:szCs w:val="13"/>
                <w:color w:val="auto"/>
              </w:rPr>
              <w:t>Losses</w:t>
            </w:r>
          </w:p>
        </w:tc>
        <w:tc>
          <w:tcPr>
            <w:tcW w:w="220" w:type="dxa"/>
            <w:vAlign w:val="bottom"/>
          </w:tcPr>
          <w:p>
            <w:pPr>
              <w:spacing w:after="0"/>
              <w:rPr>
                <w:sz w:val="16"/>
                <w:szCs w:val="16"/>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Value</w:t>
            </w:r>
          </w:p>
        </w:tc>
        <w:tc>
          <w:tcPr>
            <w:tcW w:w="820" w:type="dxa"/>
            <w:vAlign w:val="bottom"/>
          </w:tcPr>
          <w:p>
            <w:pPr>
              <w:jc w:val="right"/>
              <w:spacing w:after="0"/>
              <w:rPr>
                <w:sz w:val="20"/>
                <w:szCs w:val="20"/>
                <w:color w:val="auto"/>
              </w:rPr>
            </w:pPr>
            <w:r>
              <w:rPr>
                <w:rFonts w:ascii="Arial" w:cs="Arial" w:eastAsia="Arial" w:hAnsi="Arial"/>
                <w:sz w:val="13"/>
                <w:szCs w:val="13"/>
                <w:color w:val="auto"/>
              </w:rPr>
              <w:t>Securities</w:t>
            </w:r>
          </w:p>
        </w:tc>
        <w:tc>
          <w:tcPr>
            <w:tcW w:w="340" w:type="dxa"/>
            <w:vAlign w:val="bottom"/>
          </w:tcPr>
          <w:p>
            <w:pPr>
              <w:spacing w:after="0"/>
              <w:rPr>
                <w:sz w:val="16"/>
                <w:szCs w:val="16"/>
                <w:color w:val="auto"/>
              </w:rPr>
            </w:pPr>
          </w:p>
        </w:tc>
        <w:tc>
          <w:tcPr>
            <w:tcW w:w="720" w:type="dxa"/>
            <w:vAlign w:val="bottom"/>
          </w:tcPr>
          <w:p>
            <w:pPr>
              <w:jc w:val="right"/>
              <w:ind w:right="134"/>
              <w:spacing w:after="0"/>
              <w:rPr>
                <w:sz w:val="20"/>
                <w:szCs w:val="20"/>
                <w:color w:val="auto"/>
              </w:rPr>
            </w:pPr>
            <w:r>
              <w:rPr>
                <w:rFonts w:ascii="Arial" w:cs="Arial" w:eastAsia="Arial" w:hAnsi="Arial"/>
                <w:sz w:val="13"/>
                <w:szCs w:val="13"/>
                <w:color w:val="auto"/>
              </w:rPr>
              <w:t>Losses</w:t>
            </w:r>
          </w:p>
        </w:tc>
        <w:tc>
          <w:tcPr>
            <w:tcW w:w="140" w:type="dxa"/>
            <w:vAlign w:val="bottom"/>
          </w:tcPr>
          <w:p>
            <w:pPr>
              <w:spacing w:after="0"/>
              <w:rPr>
                <w:sz w:val="16"/>
                <w:szCs w:val="16"/>
                <w:color w:val="auto"/>
              </w:rPr>
            </w:pPr>
          </w:p>
        </w:tc>
        <w:tc>
          <w:tcPr>
            <w:tcW w:w="680" w:type="dxa"/>
            <w:vAlign w:val="bottom"/>
          </w:tcPr>
          <w:p>
            <w:pPr>
              <w:jc w:val="right"/>
              <w:ind w:right="94"/>
              <w:spacing w:after="0"/>
              <w:rPr>
                <w:sz w:val="20"/>
                <w:szCs w:val="20"/>
                <w:color w:val="auto"/>
              </w:rPr>
            </w:pPr>
            <w:r>
              <w:rPr>
                <w:rFonts w:ascii="Arial" w:cs="Arial" w:eastAsia="Arial" w:hAnsi="Arial"/>
                <w:sz w:val="13"/>
                <w:szCs w:val="13"/>
                <w:color w:val="auto"/>
              </w:rPr>
              <w:t>Value</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Securities</w:t>
            </w:r>
          </w:p>
        </w:tc>
        <w:tc>
          <w:tcPr>
            <w:tcW w:w="220" w:type="dxa"/>
            <w:vAlign w:val="bottom"/>
          </w:tcPr>
          <w:p>
            <w:pPr>
              <w:spacing w:after="0"/>
              <w:rPr>
                <w:sz w:val="16"/>
                <w:szCs w:val="16"/>
                <w:color w:val="auto"/>
              </w:rPr>
            </w:pPr>
          </w:p>
        </w:tc>
        <w:tc>
          <w:tcPr>
            <w:tcW w:w="680" w:type="dxa"/>
            <w:vAlign w:val="bottom"/>
          </w:tcPr>
          <w:p>
            <w:pPr>
              <w:jc w:val="right"/>
              <w:ind w:right="94"/>
              <w:spacing w:after="0"/>
              <w:rPr>
                <w:sz w:val="20"/>
                <w:szCs w:val="20"/>
                <w:color w:val="auto"/>
              </w:rPr>
            </w:pPr>
            <w:r>
              <w:rPr>
                <w:rFonts w:ascii="Arial" w:cs="Arial" w:eastAsia="Arial" w:hAnsi="Arial"/>
                <w:sz w:val="13"/>
                <w:szCs w:val="13"/>
                <w:color w:val="auto"/>
              </w:rPr>
              <w:t>Losses</w:t>
            </w:r>
          </w:p>
        </w:tc>
        <w:tc>
          <w:tcPr>
            <w:tcW w:w="180" w:type="dxa"/>
            <w:vAlign w:val="bottom"/>
          </w:tcPr>
          <w:p>
            <w:pPr>
              <w:spacing w:after="0"/>
              <w:rPr>
                <w:sz w:val="16"/>
                <w:szCs w:val="16"/>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Value</w:t>
            </w:r>
          </w:p>
        </w:tc>
        <w:tc>
          <w:tcPr>
            <w:tcW w:w="0" w:type="dxa"/>
            <w:vAlign w:val="bottom"/>
          </w:tcPr>
          <w:p>
            <w:pPr>
              <w:spacing w:after="0"/>
              <w:rPr>
                <w:sz w:val="1"/>
                <w:szCs w:val="1"/>
                <w:color w:val="auto"/>
              </w:rPr>
            </w:pPr>
          </w:p>
        </w:tc>
      </w:tr>
      <w:tr>
        <w:trPr>
          <w:trHeight w:val="185"/>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b w:val="1"/>
                <w:bCs w:val="1"/>
                <w:i w:val="1"/>
                <w:iCs w:val="1"/>
                <w:color w:val="auto"/>
              </w:rPr>
              <w:t>Available-for-Sale Portfolio</w:t>
            </w:r>
          </w:p>
        </w:tc>
        <w:tc>
          <w:tcPr>
            <w:tcW w:w="8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Arial" w:cs="Arial" w:eastAsia="Arial" w:hAnsi="Arial"/>
                <w:sz w:val="13"/>
                <w:szCs w:val="13"/>
                <w:color w:val="auto"/>
              </w:rPr>
              <w:t>US Treasury, agencies and GSEs</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3</w:t>
            </w:r>
          </w:p>
        </w:tc>
        <w:tc>
          <w:tcPr>
            <w:tcW w:w="2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(45 )</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5,961</w:t>
            </w: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4"/>
              <w:spacing w:after="0"/>
              <w:rPr>
                <w:sz w:val="20"/>
                <w:szCs w:val="20"/>
                <w:color w:val="auto"/>
              </w:rPr>
            </w:pPr>
            <w:r>
              <w:rPr>
                <w:rFonts w:ascii="Arial" w:cs="Arial" w:eastAsia="Arial" w:hAnsi="Arial"/>
                <w:sz w:val="13"/>
                <w:szCs w:val="13"/>
                <w:color w:val="auto"/>
              </w:rPr>
              <w:t>(3,183 )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14"/>
              <w:spacing w:after="0"/>
              <w:rPr>
                <w:sz w:val="20"/>
                <w:szCs w:val="20"/>
                <w:color w:val="auto"/>
              </w:rPr>
            </w:pPr>
            <w:r>
              <w:rPr>
                <w:rFonts w:ascii="Arial" w:cs="Arial" w:eastAsia="Arial" w:hAnsi="Arial"/>
                <w:sz w:val="13"/>
                <w:szCs w:val="13"/>
                <w:color w:val="auto"/>
              </w:rPr>
              <w:t>25,875</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6</w:t>
            </w:r>
          </w:p>
        </w:tc>
        <w:tc>
          <w:tcPr>
            <w:tcW w:w="220" w:type="dxa"/>
            <w:vAlign w:val="bottom"/>
          </w:tcPr>
          <w:p>
            <w:pPr>
              <w:ind w:left="1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(3,228 )</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31,836</w:t>
            </w:r>
          </w:p>
        </w:tc>
        <w:tc>
          <w:tcPr>
            <w:tcW w:w="0" w:type="dxa"/>
            <w:vAlign w:val="bottom"/>
          </w:tcPr>
          <w:p>
            <w:pPr>
              <w:spacing w:after="0"/>
              <w:rPr>
                <w:sz w:val="1"/>
                <w:szCs w:val="1"/>
                <w:color w:val="auto"/>
              </w:rPr>
            </w:pPr>
          </w:p>
        </w:tc>
      </w:tr>
      <w:tr>
        <w:trPr>
          <w:trHeight w:val="185"/>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State and political subdivisions</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3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74"/>
              <w:spacing w:after="0"/>
              <w:rPr>
                <w:sz w:val="20"/>
                <w:szCs w:val="20"/>
                <w:color w:val="auto"/>
              </w:rPr>
            </w:pPr>
            <w:r>
              <w:rPr>
                <w:rFonts w:ascii="Arial" w:cs="Arial" w:eastAsia="Arial" w:hAnsi="Arial"/>
                <w:sz w:val="13"/>
                <w:szCs w:val="13"/>
                <w:color w:val="auto"/>
              </w:rPr>
              <w:t>(2,112 )</w:t>
            </w: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28,595</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23</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(2,112 )</w:t>
            </w: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28,595</w:t>
            </w: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Arial" w:cs="Arial" w:eastAsia="Arial" w:hAnsi="Arial"/>
                <w:sz w:val="13"/>
                <w:szCs w:val="13"/>
                <w:color w:val="auto"/>
              </w:rPr>
              <w:t>Corporate</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1</w:t>
            </w:r>
          </w:p>
        </w:tc>
        <w:tc>
          <w:tcPr>
            <w:tcW w:w="280" w:type="dxa"/>
            <w:vAlign w:val="bottom"/>
          </w:tcPr>
          <w:p>
            <w:pPr>
              <w:spacing w:after="0"/>
              <w:rPr>
                <w:sz w:val="15"/>
                <w:szCs w:val="15"/>
                <w:color w:val="auto"/>
              </w:rPr>
            </w:pP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(1 )</w:t>
            </w:r>
          </w:p>
        </w:tc>
        <w:tc>
          <w:tcPr>
            <w:tcW w:w="22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502</w:t>
            </w:r>
          </w:p>
        </w:tc>
        <w:tc>
          <w:tcPr>
            <w:tcW w:w="820" w:type="dxa"/>
            <w:vAlign w:val="bottom"/>
          </w:tcPr>
          <w:p>
            <w:pPr>
              <w:jc w:val="right"/>
              <w:spacing w:after="0"/>
              <w:rPr>
                <w:sz w:val="20"/>
                <w:szCs w:val="20"/>
                <w:color w:val="auto"/>
              </w:rPr>
            </w:pPr>
            <w:r>
              <w:rPr>
                <w:rFonts w:ascii="Arial" w:cs="Arial" w:eastAsia="Arial" w:hAnsi="Arial"/>
                <w:sz w:val="13"/>
                <w:szCs w:val="13"/>
                <w:color w:val="auto"/>
              </w:rPr>
              <w:t>5</w:t>
            </w:r>
          </w:p>
        </w:tc>
        <w:tc>
          <w:tcPr>
            <w:tcW w:w="340" w:type="dxa"/>
            <w:vAlign w:val="bottom"/>
          </w:tcPr>
          <w:p>
            <w:pPr>
              <w:spacing w:after="0"/>
              <w:rPr>
                <w:sz w:val="15"/>
                <w:szCs w:val="15"/>
                <w:color w:val="auto"/>
              </w:rPr>
            </w:pPr>
          </w:p>
        </w:tc>
        <w:tc>
          <w:tcPr>
            <w:tcW w:w="720" w:type="dxa"/>
            <w:vAlign w:val="bottom"/>
          </w:tcPr>
          <w:p>
            <w:pPr>
              <w:jc w:val="right"/>
              <w:ind w:right="74"/>
              <w:spacing w:after="0"/>
              <w:rPr>
                <w:sz w:val="20"/>
                <w:szCs w:val="20"/>
                <w:color w:val="auto"/>
              </w:rPr>
            </w:pPr>
            <w:r>
              <w:rPr>
                <w:rFonts w:ascii="Arial" w:cs="Arial" w:eastAsia="Arial" w:hAnsi="Arial"/>
                <w:sz w:val="13"/>
                <w:szCs w:val="13"/>
                <w:color w:val="auto"/>
              </w:rPr>
              <w:t>(470 )</w:t>
            </w:r>
          </w:p>
        </w:tc>
        <w:tc>
          <w:tcPr>
            <w:tcW w:w="140" w:type="dxa"/>
            <w:vAlign w:val="bottom"/>
          </w:tcPr>
          <w:p>
            <w:pPr>
              <w:spacing w:after="0"/>
              <w:rPr>
                <w:sz w:val="15"/>
                <w:szCs w:val="15"/>
                <w:color w:val="auto"/>
              </w:rPr>
            </w:pPr>
          </w:p>
        </w:tc>
        <w:tc>
          <w:tcPr>
            <w:tcW w:w="680" w:type="dxa"/>
            <w:vAlign w:val="bottom"/>
          </w:tcPr>
          <w:p>
            <w:pPr>
              <w:jc w:val="right"/>
              <w:ind w:right="94"/>
              <w:spacing w:after="0"/>
              <w:rPr>
                <w:sz w:val="20"/>
                <w:szCs w:val="20"/>
                <w:color w:val="auto"/>
              </w:rPr>
            </w:pPr>
            <w:r>
              <w:rPr>
                <w:rFonts w:ascii="Arial" w:cs="Arial" w:eastAsia="Arial" w:hAnsi="Arial"/>
                <w:sz w:val="13"/>
                <w:szCs w:val="13"/>
                <w:color w:val="auto"/>
              </w:rPr>
              <w:t>4,256</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6</w:t>
            </w:r>
          </w:p>
        </w:tc>
        <w:tc>
          <w:tcPr>
            <w:tcW w:w="220" w:type="dxa"/>
            <w:vAlign w:val="bottom"/>
          </w:tcPr>
          <w:p>
            <w:pPr>
              <w:spacing w:after="0"/>
              <w:rPr>
                <w:sz w:val="15"/>
                <w:szCs w:val="15"/>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(471 )</w:t>
            </w:r>
          </w:p>
        </w:tc>
        <w:tc>
          <w:tcPr>
            <w:tcW w:w="180" w:type="dxa"/>
            <w:vAlign w:val="bottom"/>
          </w:tcPr>
          <w:p>
            <w:pPr>
              <w:spacing w:after="0"/>
              <w:rPr>
                <w:sz w:val="15"/>
                <w:szCs w:val="15"/>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4,758</w:t>
            </w:r>
          </w:p>
        </w:tc>
        <w:tc>
          <w:tcPr>
            <w:tcW w:w="0" w:type="dxa"/>
            <w:vAlign w:val="bottom"/>
          </w:tcPr>
          <w:p>
            <w:pPr>
              <w:spacing w:after="0"/>
              <w:rPr>
                <w:sz w:val="1"/>
                <w:szCs w:val="1"/>
                <w:color w:val="auto"/>
              </w:rPr>
            </w:pPr>
          </w:p>
        </w:tc>
      </w:tr>
      <w:tr>
        <w:trPr>
          <w:trHeight w:val="185"/>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Asset backed securities</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(18 )</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947</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3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74"/>
              <w:spacing w:after="0"/>
              <w:rPr>
                <w:sz w:val="20"/>
                <w:szCs w:val="20"/>
                <w:color w:val="auto"/>
              </w:rPr>
            </w:pPr>
            <w:r>
              <w:rPr>
                <w:rFonts w:ascii="Arial" w:cs="Arial" w:eastAsia="Arial" w:hAnsi="Arial"/>
                <w:sz w:val="13"/>
                <w:szCs w:val="13"/>
                <w:color w:val="auto"/>
              </w:rPr>
              <w:t>(651 )</w:t>
            </w: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14,448</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11</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(669 )</w:t>
            </w: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15,395</w:t>
            </w: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Arial" w:cs="Arial" w:eastAsia="Arial" w:hAnsi="Arial"/>
                <w:sz w:val="13"/>
                <w:szCs w:val="13"/>
                <w:color w:val="auto"/>
              </w:rPr>
              <w:t>Residential mortgage-backed - US agency</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1</w:t>
            </w:r>
          </w:p>
        </w:tc>
        <w:tc>
          <w:tcPr>
            <w:tcW w:w="280" w:type="dxa"/>
            <w:vAlign w:val="bottom"/>
          </w:tcPr>
          <w:p>
            <w:pPr>
              <w:spacing w:after="0"/>
              <w:rPr>
                <w:sz w:val="15"/>
                <w:szCs w:val="15"/>
                <w:color w:val="auto"/>
              </w:rPr>
            </w:pP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(1 )</w:t>
            </w:r>
          </w:p>
        </w:tc>
        <w:tc>
          <w:tcPr>
            <w:tcW w:w="22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41</w:t>
            </w:r>
          </w:p>
        </w:tc>
        <w:tc>
          <w:tcPr>
            <w:tcW w:w="820" w:type="dxa"/>
            <w:vAlign w:val="bottom"/>
          </w:tcPr>
          <w:p>
            <w:pPr>
              <w:jc w:val="right"/>
              <w:spacing w:after="0"/>
              <w:rPr>
                <w:sz w:val="20"/>
                <w:szCs w:val="20"/>
                <w:color w:val="auto"/>
              </w:rPr>
            </w:pPr>
            <w:r>
              <w:rPr>
                <w:rFonts w:ascii="Arial" w:cs="Arial" w:eastAsia="Arial" w:hAnsi="Arial"/>
                <w:sz w:val="13"/>
                <w:szCs w:val="13"/>
                <w:color w:val="auto"/>
              </w:rPr>
              <w:t>14</w:t>
            </w:r>
          </w:p>
        </w:tc>
        <w:tc>
          <w:tcPr>
            <w:tcW w:w="340" w:type="dxa"/>
            <w:vAlign w:val="bottom"/>
          </w:tcPr>
          <w:p>
            <w:pPr>
              <w:spacing w:after="0"/>
              <w:rPr>
                <w:sz w:val="15"/>
                <w:szCs w:val="15"/>
                <w:color w:val="auto"/>
              </w:rPr>
            </w:pPr>
          </w:p>
        </w:tc>
        <w:tc>
          <w:tcPr>
            <w:tcW w:w="720" w:type="dxa"/>
            <w:vAlign w:val="bottom"/>
          </w:tcPr>
          <w:p>
            <w:pPr>
              <w:jc w:val="right"/>
              <w:ind w:right="74"/>
              <w:spacing w:after="0"/>
              <w:rPr>
                <w:sz w:val="20"/>
                <w:szCs w:val="20"/>
                <w:color w:val="auto"/>
              </w:rPr>
            </w:pPr>
            <w:r>
              <w:rPr>
                <w:rFonts w:ascii="Arial" w:cs="Arial" w:eastAsia="Arial" w:hAnsi="Arial"/>
                <w:sz w:val="13"/>
                <w:szCs w:val="13"/>
                <w:color w:val="auto"/>
              </w:rPr>
              <w:t>(1,430 )</w:t>
            </w:r>
          </w:p>
        </w:tc>
        <w:tc>
          <w:tcPr>
            <w:tcW w:w="140" w:type="dxa"/>
            <w:vAlign w:val="bottom"/>
          </w:tcPr>
          <w:p>
            <w:pPr>
              <w:spacing w:after="0"/>
              <w:rPr>
                <w:sz w:val="15"/>
                <w:szCs w:val="15"/>
                <w:color w:val="auto"/>
              </w:rPr>
            </w:pPr>
          </w:p>
        </w:tc>
        <w:tc>
          <w:tcPr>
            <w:tcW w:w="680" w:type="dxa"/>
            <w:vAlign w:val="bottom"/>
          </w:tcPr>
          <w:p>
            <w:pPr>
              <w:jc w:val="right"/>
              <w:ind w:right="114"/>
              <w:spacing w:after="0"/>
              <w:rPr>
                <w:sz w:val="20"/>
                <w:szCs w:val="20"/>
                <w:color w:val="auto"/>
              </w:rPr>
            </w:pPr>
            <w:r>
              <w:rPr>
                <w:rFonts w:ascii="Arial" w:cs="Arial" w:eastAsia="Arial" w:hAnsi="Arial"/>
                <w:sz w:val="13"/>
                <w:szCs w:val="13"/>
                <w:color w:val="auto"/>
              </w:rPr>
              <w:t>15,572</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15</w:t>
            </w:r>
          </w:p>
        </w:tc>
        <w:tc>
          <w:tcPr>
            <w:tcW w:w="220" w:type="dxa"/>
            <w:vAlign w:val="bottom"/>
          </w:tcPr>
          <w:p>
            <w:pPr>
              <w:spacing w:after="0"/>
              <w:rPr>
                <w:sz w:val="15"/>
                <w:szCs w:val="15"/>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(1,431 )</w:t>
            </w:r>
          </w:p>
        </w:tc>
        <w:tc>
          <w:tcPr>
            <w:tcW w:w="180" w:type="dxa"/>
            <w:vAlign w:val="bottom"/>
          </w:tcPr>
          <w:p>
            <w:pPr>
              <w:spacing w:after="0"/>
              <w:rPr>
                <w:sz w:val="15"/>
                <w:szCs w:val="15"/>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15,613</w:t>
            </w:r>
          </w:p>
        </w:tc>
        <w:tc>
          <w:tcPr>
            <w:tcW w:w="0" w:type="dxa"/>
            <w:vAlign w:val="bottom"/>
          </w:tcPr>
          <w:p>
            <w:pPr>
              <w:spacing w:after="0"/>
              <w:rPr>
                <w:sz w:val="1"/>
                <w:szCs w:val="1"/>
                <w:color w:val="auto"/>
              </w:rPr>
            </w:pPr>
          </w:p>
        </w:tc>
      </w:tr>
      <w:tr>
        <w:trPr>
          <w:trHeight w:val="166"/>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Collateralized mortgage obligations - US</w:t>
            </w: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agency</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w:t>
            </w: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(76 )</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1,559</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74"/>
              <w:spacing w:after="0"/>
              <w:rPr>
                <w:sz w:val="20"/>
                <w:szCs w:val="20"/>
                <w:color w:val="auto"/>
              </w:rPr>
            </w:pPr>
            <w:r>
              <w:rPr>
                <w:rFonts w:ascii="Arial" w:cs="Arial" w:eastAsia="Arial" w:hAnsi="Arial"/>
                <w:sz w:val="13"/>
                <w:szCs w:val="13"/>
                <w:color w:val="auto"/>
              </w:rPr>
              <w:t>(1,106 )</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7,176</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11</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(1,182 )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8,735</w:t>
            </w:r>
          </w:p>
        </w:tc>
        <w:tc>
          <w:tcPr>
            <w:tcW w:w="0" w:type="dxa"/>
            <w:vAlign w:val="bottom"/>
          </w:tcPr>
          <w:p>
            <w:pPr>
              <w:spacing w:after="0"/>
              <w:rPr>
                <w:sz w:val="1"/>
                <w:szCs w:val="1"/>
                <w:color w:val="auto"/>
              </w:rPr>
            </w:pPr>
          </w:p>
        </w:tc>
      </w:tr>
      <w:tr>
        <w:trPr>
          <w:trHeight w:val="161"/>
        </w:trPr>
        <w:tc>
          <w:tcPr>
            <w:tcW w:w="2640" w:type="dxa"/>
            <w:vAlign w:val="bottom"/>
          </w:tcPr>
          <w:p>
            <w:pPr>
              <w:ind w:left="20"/>
              <w:spacing w:after="0"/>
              <w:rPr>
                <w:sz w:val="20"/>
                <w:szCs w:val="20"/>
                <w:color w:val="auto"/>
              </w:rPr>
            </w:pPr>
            <w:r>
              <w:rPr>
                <w:rFonts w:ascii="Arial" w:cs="Arial" w:eastAsia="Arial" w:hAnsi="Arial"/>
                <w:sz w:val="13"/>
                <w:szCs w:val="13"/>
                <w:color w:val="auto"/>
              </w:rPr>
              <w:t>Collateralized mortgage obligations -</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40" w:type="dxa"/>
            <w:vAlign w:val="bottom"/>
          </w:tcPr>
          <w:p>
            <w:pPr>
              <w:ind w:left="20"/>
              <w:spacing w:after="0"/>
              <w:rPr>
                <w:sz w:val="20"/>
                <w:szCs w:val="20"/>
                <w:color w:val="auto"/>
              </w:rPr>
            </w:pPr>
            <w:r>
              <w:rPr>
                <w:rFonts w:ascii="Arial" w:cs="Arial" w:eastAsia="Arial" w:hAnsi="Arial"/>
                <w:sz w:val="13"/>
                <w:szCs w:val="13"/>
                <w:color w:val="auto"/>
              </w:rPr>
              <w:t>Private label</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3</w:t>
            </w:r>
          </w:p>
        </w:tc>
        <w:tc>
          <w:tcPr>
            <w:tcW w:w="280" w:type="dxa"/>
            <w:vAlign w:val="bottom"/>
          </w:tcPr>
          <w:p>
            <w:pPr>
              <w:spacing w:after="0"/>
              <w:rPr>
                <w:sz w:val="14"/>
                <w:szCs w:val="14"/>
                <w:color w:val="auto"/>
              </w:rPr>
            </w:pP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(93 )</w:t>
            </w:r>
          </w:p>
        </w:tc>
        <w:tc>
          <w:tcPr>
            <w:tcW w:w="22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5,180</w:t>
            </w:r>
          </w:p>
        </w:tc>
        <w:tc>
          <w:tcPr>
            <w:tcW w:w="820" w:type="dxa"/>
            <w:vAlign w:val="bottom"/>
          </w:tcPr>
          <w:p>
            <w:pPr>
              <w:jc w:val="right"/>
              <w:spacing w:after="0"/>
              <w:rPr>
                <w:sz w:val="20"/>
                <w:szCs w:val="20"/>
                <w:color w:val="auto"/>
              </w:rPr>
            </w:pPr>
            <w:r>
              <w:rPr>
                <w:rFonts w:ascii="Arial" w:cs="Arial" w:eastAsia="Arial" w:hAnsi="Arial"/>
                <w:sz w:val="13"/>
                <w:szCs w:val="13"/>
                <w:color w:val="auto"/>
              </w:rPr>
              <w:t>32</w:t>
            </w:r>
          </w:p>
        </w:tc>
        <w:tc>
          <w:tcPr>
            <w:tcW w:w="340" w:type="dxa"/>
            <w:vAlign w:val="bottom"/>
          </w:tcPr>
          <w:p>
            <w:pPr>
              <w:spacing w:after="0"/>
              <w:rPr>
                <w:sz w:val="14"/>
                <w:szCs w:val="14"/>
                <w:color w:val="auto"/>
              </w:rPr>
            </w:pPr>
          </w:p>
        </w:tc>
        <w:tc>
          <w:tcPr>
            <w:tcW w:w="720" w:type="dxa"/>
            <w:vAlign w:val="bottom"/>
          </w:tcPr>
          <w:p>
            <w:pPr>
              <w:jc w:val="right"/>
              <w:ind w:right="74"/>
              <w:spacing w:after="0"/>
              <w:rPr>
                <w:sz w:val="20"/>
                <w:szCs w:val="20"/>
                <w:color w:val="auto"/>
              </w:rPr>
            </w:pPr>
            <w:r>
              <w:rPr>
                <w:rFonts w:ascii="Arial" w:cs="Arial" w:eastAsia="Arial" w:hAnsi="Arial"/>
                <w:sz w:val="13"/>
                <w:szCs w:val="13"/>
                <w:color w:val="auto"/>
              </w:rPr>
              <w:t>(4,507 )</w:t>
            </w:r>
          </w:p>
        </w:tc>
        <w:tc>
          <w:tcPr>
            <w:tcW w:w="14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3"/>
                <w:szCs w:val="13"/>
                <w:color w:val="auto"/>
              </w:rPr>
              <w:t>49,388</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35</w:t>
            </w:r>
          </w:p>
        </w:tc>
        <w:tc>
          <w:tcPr>
            <w:tcW w:w="220" w:type="dxa"/>
            <w:vAlign w:val="bottom"/>
          </w:tcPr>
          <w:p>
            <w:pPr>
              <w:spacing w:after="0"/>
              <w:rPr>
                <w:sz w:val="14"/>
                <w:szCs w:val="14"/>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(4,600 )</w:t>
            </w:r>
          </w:p>
        </w:tc>
        <w:tc>
          <w:tcPr>
            <w:tcW w:w="180" w:type="dxa"/>
            <w:vAlign w:val="bottom"/>
          </w:tcPr>
          <w:p>
            <w:pPr>
              <w:spacing w:after="0"/>
              <w:rPr>
                <w:sz w:val="14"/>
                <w:szCs w:val="14"/>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54,568</w:t>
            </w:r>
          </w:p>
        </w:tc>
        <w:tc>
          <w:tcPr>
            <w:tcW w:w="0" w:type="dxa"/>
            <w:vAlign w:val="bottom"/>
          </w:tcPr>
          <w:p>
            <w:pPr>
              <w:spacing w:after="0"/>
              <w:rPr>
                <w:sz w:val="1"/>
                <w:szCs w:val="1"/>
                <w:color w:val="auto"/>
              </w:rPr>
            </w:pPr>
          </w:p>
        </w:tc>
      </w:tr>
      <w:tr>
        <w:trPr>
          <w:trHeight w:val="220"/>
        </w:trPr>
        <w:tc>
          <w:tcPr>
            <w:tcW w:w="26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Totals</w:t>
            </w:r>
          </w:p>
        </w:tc>
        <w:tc>
          <w:tcPr>
            <w:tcW w:w="8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3"/>
                <w:szCs w:val="13"/>
                <w:color w:val="auto"/>
              </w:rPr>
              <w:t>10</w:t>
            </w:r>
          </w:p>
        </w:tc>
        <w:tc>
          <w:tcPr>
            <w:tcW w:w="2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3"/>
                <w:szCs w:val="13"/>
                <w:color w:val="auto"/>
              </w:rPr>
              <w:t>(234 )</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FF0FC"/>
          </w:tcPr>
          <w:p>
            <w:pPr>
              <w:jc w:val="right"/>
              <w:ind w:right="94"/>
              <w:spacing w:after="0"/>
              <w:rPr>
                <w:sz w:val="20"/>
                <w:szCs w:val="20"/>
                <w:color w:val="auto"/>
              </w:rPr>
            </w:pPr>
            <w:r>
              <w:rPr>
                <w:rFonts w:ascii="Arial" w:cs="Arial" w:eastAsia="Arial" w:hAnsi="Arial"/>
                <w:sz w:val="13"/>
                <w:szCs w:val="13"/>
                <w:color w:val="auto"/>
              </w:rPr>
              <w:t>14,190</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97</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3"/>
                <w:szCs w:val="13"/>
                <w:color w:val="auto"/>
              </w:rPr>
              <w:t>(13,459 )</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3"/>
                <w:szCs w:val="13"/>
                <w:color w:val="auto"/>
              </w:rPr>
              <w:t>145,310</w:t>
            </w: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3"/>
                <w:szCs w:val="13"/>
                <w:color w:val="auto"/>
              </w:rPr>
              <w:t>107</w:t>
            </w:r>
          </w:p>
        </w:tc>
        <w:tc>
          <w:tcPr>
            <w:tcW w:w="2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3"/>
                <w:szCs w:val="13"/>
                <w:color w:val="auto"/>
              </w:rPr>
              <w:t>(13,693 )</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3"/>
                <w:szCs w:val="13"/>
                <w:color w:val="auto"/>
              </w:rPr>
              <w:t>159,500</w:t>
            </w:r>
          </w:p>
        </w:tc>
        <w:tc>
          <w:tcPr>
            <w:tcW w:w="0" w:type="dxa"/>
            <w:vAlign w:val="bottom"/>
          </w:tcPr>
          <w:p>
            <w:pPr>
              <w:spacing w:after="0"/>
              <w:rPr>
                <w:sz w:val="1"/>
                <w:szCs w:val="1"/>
                <w:color w:val="auto"/>
              </w:rPr>
            </w:pPr>
          </w:p>
        </w:tc>
      </w:tr>
      <w:tr>
        <w:trPr>
          <w:trHeight w:val="161"/>
        </w:trPr>
        <w:tc>
          <w:tcPr>
            <w:tcW w:w="264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Held-to-Maturity Portfolio</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b w:val="1"/>
                <w:bCs w:val="1"/>
                <w:i w:val="1"/>
                <w:iCs w:val="1"/>
                <w:color w:val="auto"/>
              </w:rPr>
              <w:t>US Treasury, agencies and GSEs</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w:t>
            </w:r>
          </w:p>
        </w:tc>
        <w:tc>
          <w:tcPr>
            <w:tcW w:w="2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(85 )</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1,412</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ind w:right="74"/>
              <w:spacing w:after="0"/>
              <w:rPr>
                <w:sz w:val="20"/>
                <w:szCs w:val="20"/>
                <w:color w:val="auto"/>
              </w:rPr>
            </w:pPr>
            <w:r>
              <w:rPr>
                <w:rFonts w:ascii="Arial" w:cs="Arial" w:eastAsia="Arial" w:hAnsi="Arial"/>
                <w:sz w:val="13"/>
                <w:szCs w:val="13"/>
                <w:color w:val="auto"/>
              </w:rPr>
              <w:t>(237 )</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2,097</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w:t>
            </w:r>
          </w:p>
        </w:tc>
        <w:tc>
          <w:tcPr>
            <w:tcW w:w="2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(322 )</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3,509</w:t>
            </w: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Arial" w:cs="Arial" w:eastAsia="Arial" w:hAnsi="Arial"/>
                <w:sz w:val="13"/>
                <w:szCs w:val="13"/>
                <w:color w:val="auto"/>
              </w:rPr>
              <w:t>State and political subdivisions</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5</w:t>
            </w:r>
          </w:p>
        </w:tc>
        <w:tc>
          <w:tcPr>
            <w:tcW w:w="280" w:type="dxa"/>
            <w:vAlign w:val="bottom"/>
          </w:tcPr>
          <w:p>
            <w:pPr>
              <w:spacing w:after="0"/>
              <w:rPr>
                <w:sz w:val="15"/>
                <w:szCs w:val="15"/>
                <w:color w:val="auto"/>
              </w:rPr>
            </w:pP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(7 )</w:t>
            </w:r>
          </w:p>
        </w:tc>
        <w:tc>
          <w:tcPr>
            <w:tcW w:w="22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701</w:t>
            </w:r>
          </w:p>
        </w:tc>
        <w:tc>
          <w:tcPr>
            <w:tcW w:w="820" w:type="dxa"/>
            <w:vAlign w:val="bottom"/>
          </w:tcPr>
          <w:p>
            <w:pPr>
              <w:jc w:val="right"/>
              <w:spacing w:after="0"/>
              <w:rPr>
                <w:sz w:val="20"/>
                <w:szCs w:val="20"/>
                <w:color w:val="auto"/>
              </w:rPr>
            </w:pPr>
            <w:r>
              <w:rPr>
                <w:rFonts w:ascii="Arial" w:cs="Arial" w:eastAsia="Arial" w:hAnsi="Arial"/>
                <w:sz w:val="13"/>
                <w:szCs w:val="13"/>
                <w:color w:val="auto"/>
              </w:rPr>
              <w:t>14</w:t>
            </w:r>
          </w:p>
        </w:tc>
        <w:tc>
          <w:tcPr>
            <w:tcW w:w="340" w:type="dxa"/>
            <w:vAlign w:val="bottom"/>
          </w:tcPr>
          <w:p>
            <w:pPr>
              <w:spacing w:after="0"/>
              <w:rPr>
                <w:sz w:val="15"/>
                <w:szCs w:val="15"/>
                <w:color w:val="auto"/>
              </w:rPr>
            </w:pPr>
          </w:p>
        </w:tc>
        <w:tc>
          <w:tcPr>
            <w:tcW w:w="720" w:type="dxa"/>
            <w:vAlign w:val="bottom"/>
          </w:tcPr>
          <w:p>
            <w:pPr>
              <w:jc w:val="right"/>
              <w:ind w:right="74"/>
              <w:spacing w:after="0"/>
              <w:rPr>
                <w:sz w:val="20"/>
                <w:szCs w:val="20"/>
                <w:color w:val="auto"/>
              </w:rPr>
            </w:pPr>
            <w:r>
              <w:rPr>
                <w:rFonts w:ascii="Arial" w:cs="Arial" w:eastAsia="Arial" w:hAnsi="Arial"/>
                <w:sz w:val="13"/>
                <w:szCs w:val="13"/>
                <w:color w:val="auto"/>
              </w:rPr>
              <w:t>(2,032 )</w:t>
            </w:r>
          </w:p>
        </w:tc>
        <w:tc>
          <w:tcPr>
            <w:tcW w:w="140" w:type="dxa"/>
            <w:vAlign w:val="bottom"/>
          </w:tcPr>
          <w:p>
            <w:pPr>
              <w:spacing w:after="0"/>
              <w:rPr>
                <w:sz w:val="15"/>
                <w:szCs w:val="15"/>
                <w:color w:val="auto"/>
              </w:rPr>
            </w:pPr>
          </w:p>
        </w:tc>
        <w:tc>
          <w:tcPr>
            <w:tcW w:w="680" w:type="dxa"/>
            <w:vAlign w:val="bottom"/>
          </w:tcPr>
          <w:p>
            <w:pPr>
              <w:jc w:val="right"/>
              <w:ind w:right="114"/>
              <w:spacing w:after="0"/>
              <w:rPr>
                <w:sz w:val="20"/>
                <w:szCs w:val="20"/>
                <w:color w:val="auto"/>
              </w:rPr>
            </w:pPr>
            <w:r>
              <w:rPr>
                <w:rFonts w:ascii="Arial" w:cs="Arial" w:eastAsia="Arial" w:hAnsi="Arial"/>
                <w:sz w:val="13"/>
                <w:szCs w:val="13"/>
                <w:color w:val="auto"/>
              </w:rPr>
              <w:t>12,587</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19</w:t>
            </w:r>
          </w:p>
        </w:tc>
        <w:tc>
          <w:tcPr>
            <w:tcW w:w="220" w:type="dxa"/>
            <w:vAlign w:val="bottom"/>
          </w:tcPr>
          <w:p>
            <w:pPr>
              <w:spacing w:after="0"/>
              <w:rPr>
                <w:sz w:val="15"/>
                <w:szCs w:val="15"/>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(2,039 )</w:t>
            </w:r>
          </w:p>
        </w:tc>
        <w:tc>
          <w:tcPr>
            <w:tcW w:w="180" w:type="dxa"/>
            <w:vAlign w:val="bottom"/>
          </w:tcPr>
          <w:p>
            <w:pPr>
              <w:spacing w:after="0"/>
              <w:rPr>
                <w:sz w:val="15"/>
                <w:szCs w:val="15"/>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13,288</w:t>
            </w:r>
          </w:p>
        </w:tc>
        <w:tc>
          <w:tcPr>
            <w:tcW w:w="0" w:type="dxa"/>
            <w:vAlign w:val="bottom"/>
          </w:tcPr>
          <w:p>
            <w:pPr>
              <w:spacing w:after="0"/>
              <w:rPr>
                <w:sz w:val="1"/>
                <w:szCs w:val="1"/>
                <w:color w:val="auto"/>
              </w:rPr>
            </w:pPr>
          </w:p>
        </w:tc>
      </w:tr>
      <w:tr>
        <w:trPr>
          <w:trHeight w:val="185"/>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Corporate</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6</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(440 )</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4,559</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w:t>
            </w:r>
          </w:p>
        </w:tc>
        <w:tc>
          <w:tcPr>
            <w:tcW w:w="3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74"/>
              <w:spacing w:after="0"/>
              <w:rPr>
                <w:sz w:val="20"/>
                <w:szCs w:val="20"/>
                <w:color w:val="auto"/>
              </w:rPr>
            </w:pPr>
            <w:r>
              <w:rPr>
                <w:rFonts w:ascii="Arial" w:cs="Arial" w:eastAsia="Arial" w:hAnsi="Arial"/>
                <w:sz w:val="13"/>
                <w:szCs w:val="13"/>
                <w:color w:val="auto"/>
              </w:rPr>
              <w:t>(3,635 )</w:t>
            </w: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28,758</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40</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(4,075 )</w:t>
            </w: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33,317</w:t>
            </w: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Arial" w:cs="Arial" w:eastAsia="Arial" w:hAnsi="Arial"/>
                <w:sz w:val="13"/>
                <w:szCs w:val="13"/>
                <w:color w:val="auto"/>
              </w:rPr>
              <w:t>Asset backed securities</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3</w:t>
            </w:r>
          </w:p>
        </w:tc>
        <w:tc>
          <w:tcPr>
            <w:tcW w:w="280" w:type="dxa"/>
            <w:vAlign w:val="bottom"/>
          </w:tcPr>
          <w:p>
            <w:pPr>
              <w:spacing w:after="0"/>
              <w:rPr>
                <w:sz w:val="15"/>
                <w:szCs w:val="15"/>
                <w:color w:val="auto"/>
              </w:rPr>
            </w:pP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(260 )</w:t>
            </w:r>
          </w:p>
        </w:tc>
        <w:tc>
          <w:tcPr>
            <w:tcW w:w="22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5,644</w:t>
            </w:r>
          </w:p>
        </w:tc>
        <w:tc>
          <w:tcPr>
            <w:tcW w:w="820" w:type="dxa"/>
            <w:vAlign w:val="bottom"/>
          </w:tcPr>
          <w:p>
            <w:pPr>
              <w:jc w:val="right"/>
              <w:spacing w:after="0"/>
              <w:rPr>
                <w:sz w:val="20"/>
                <w:szCs w:val="20"/>
                <w:color w:val="auto"/>
              </w:rPr>
            </w:pPr>
            <w:r>
              <w:rPr>
                <w:rFonts w:ascii="Arial" w:cs="Arial" w:eastAsia="Arial" w:hAnsi="Arial"/>
                <w:sz w:val="13"/>
                <w:szCs w:val="13"/>
                <w:color w:val="auto"/>
              </w:rPr>
              <w:t>5</w:t>
            </w:r>
          </w:p>
        </w:tc>
        <w:tc>
          <w:tcPr>
            <w:tcW w:w="340" w:type="dxa"/>
            <w:vAlign w:val="bottom"/>
          </w:tcPr>
          <w:p>
            <w:pPr>
              <w:spacing w:after="0"/>
              <w:rPr>
                <w:sz w:val="15"/>
                <w:szCs w:val="15"/>
                <w:color w:val="auto"/>
              </w:rPr>
            </w:pPr>
          </w:p>
        </w:tc>
        <w:tc>
          <w:tcPr>
            <w:tcW w:w="720" w:type="dxa"/>
            <w:vAlign w:val="bottom"/>
          </w:tcPr>
          <w:p>
            <w:pPr>
              <w:jc w:val="right"/>
              <w:ind w:right="74"/>
              <w:spacing w:after="0"/>
              <w:rPr>
                <w:sz w:val="20"/>
                <w:szCs w:val="20"/>
                <w:color w:val="auto"/>
              </w:rPr>
            </w:pPr>
            <w:r>
              <w:rPr>
                <w:rFonts w:ascii="Arial" w:cs="Arial" w:eastAsia="Arial" w:hAnsi="Arial"/>
                <w:sz w:val="13"/>
                <w:szCs w:val="13"/>
                <w:color w:val="auto"/>
              </w:rPr>
              <w:t>(994 )</w:t>
            </w:r>
          </w:p>
        </w:tc>
        <w:tc>
          <w:tcPr>
            <w:tcW w:w="140" w:type="dxa"/>
            <w:vAlign w:val="bottom"/>
          </w:tcPr>
          <w:p>
            <w:pPr>
              <w:spacing w:after="0"/>
              <w:rPr>
                <w:sz w:val="15"/>
                <w:szCs w:val="15"/>
                <w:color w:val="auto"/>
              </w:rPr>
            </w:pPr>
          </w:p>
        </w:tc>
        <w:tc>
          <w:tcPr>
            <w:tcW w:w="680" w:type="dxa"/>
            <w:vAlign w:val="bottom"/>
          </w:tcPr>
          <w:p>
            <w:pPr>
              <w:jc w:val="right"/>
              <w:ind w:right="94"/>
              <w:spacing w:after="0"/>
              <w:rPr>
                <w:sz w:val="20"/>
                <w:szCs w:val="20"/>
                <w:color w:val="auto"/>
              </w:rPr>
            </w:pPr>
            <w:r>
              <w:rPr>
                <w:rFonts w:ascii="Arial" w:cs="Arial" w:eastAsia="Arial" w:hAnsi="Arial"/>
                <w:sz w:val="13"/>
                <w:szCs w:val="13"/>
                <w:color w:val="auto"/>
              </w:rPr>
              <w:t>6,188</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8</w:t>
            </w:r>
          </w:p>
        </w:tc>
        <w:tc>
          <w:tcPr>
            <w:tcW w:w="220" w:type="dxa"/>
            <w:vAlign w:val="bottom"/>
          </w:tcPr>
          <w:p>
            <w:pPr>
              <w:spacing w:after="0"/>
              <w:rPr>
                <w:sz w:val="15"/>
                <w:szCs w:val="15"/>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(1,254 )</w:t>
            </w:r>
          </w:p>
        </w:tc>
        <w:tc>
          <w:tcPr>
            <w:tcW w:w="180" w:type="dxa"/>
            <w:vAlign w:val="bottom"/>
          </w:tcPr>
          <w:p>
            <w:pPr>
              <w:spacing w:after="0"/>
              <w:rPr>
                <w:sz w:val="15"/>
                <w:szCs w:val="15"/>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11,832</w:t>
            </w:r>
          </w:p>
        </w:tc>
        <w:tc>
          <w:tcPr>
            <w:tcW w:w="0" w:type="dxa"/>
            <w:vAlign w:val="bottom"/>
          </w:tcPr>
          <w:p>
            <w:pPr>
              <w:spacing w:after="0"/>
              <w:rPr>
                <w:sz w:val="1"/>
                <w:szCs w:val="1"/>
                <w:color w:val="auto"/>
              </w:rPr>
            </w:pPr>
          </w:p>
        </w:tc>
      </w:tr>
      <w:tr>
        <w:trPr>
          <w:trHeight w:val="185"/>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Residential mortgage-backed - US agency</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(7 )</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662</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3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74"/>
              <w:spacing w:after="0"/>
              <w:rPr>
                <w:sz w:val="20"/>
                <w:szCs w:val="20"/>
                <w:color w:val="auto"/>
              </w:rPr>
            </w:pPr>
            <w:r>
              <w:rPr>
                <w:rFonts w:ascii="Arial" w:cs="Arial" w:eastAsia="Arial" w:hAnsi="Arial"/>
                <w:sz w:val="13"/>
                <w:szCs w:val="13"/>
                <w:color w:val="auto"/>
              </w:rPr>
              <w:t>(736 )</w:t>
            </w: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5,061</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11</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(743 )</w:t>
            </w: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5,723</w:t>
            </w:r>
          </w:p>
        </w:tc>
        <w:tc>
          <w:tcPr>
            <w:tcW w:w="0" w:type="dxa"/>
            <w:vAlign w:val="bottom"/>
          </w:tcPr>
          <w:p>
            <w:pPr>
              <w:spacing w:after="0"/>
              <w:rPr>
                <w:sz w:val="1"/>
                <w:szCs w:val="1"/>
                <w:color w:val="auto"/>
              </w:rPr>
            </w:pPr>
          </w:p>
        </w:tc>
      </w:tr>
      <w:tr>
        <w:trPr>
          <w:trHeight w:val="161"/>
        </w:trPr>
        <w:tc>
          <w:tcPr>
            <w:tcW w:w="2640" w:type="dxa"/>
            <w:vAlign w:val="bottom"/>
          </w:tcPr>
          <w:p>
            <w:pPr>
              <w:ind w:left="20"/>
              <w:spacing w:after="0"/>
              <w:rPr>
                <w:sz w:val="20"/>
                <w:szCs w:val="20"/>
                <w:color w:val="auto"/>
              </w:rPr>
            </w:pPr>
            <w:r>
              <w:rPr>
                <w:rFonts w:ascii="Arial" w:cs="Arial" w:eastAsia="Arial" w:hAnsi="Arial"/>
                <w:sz w:val="13"/>
                <w:szCs w:val="13"/>
                <w:color w:val="auto"/>
              </w:rPr>
              <w:t>Collateralized mortgage obligations - US</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640" w:type="dxa"/>
            <w:vAlign w:val="bottom"/>
          </w:tcPr>
          <w:p>
            <w:pPr>
              <w:ind w:left="20"/>
              <w:spacing w:after="0"/>
              <w:rPr>
                <w:sz w:val="20"/>
                <w:szCs w:val="20"/>
                <w:color w:val="auto"/>
              </w:rPr>
            </w:pPr>
            <w:r>
              <w:rPr>
                <w:rFonts w:ascii="Arial" w:cs="Arial" w:eastAsia="Arial" w:hAnsi="Arial"/>
                <w:sz w:val="13"/>
                <w:szCs w:val="13"/>
                <w:color w:val="auto"/>
              </w:rPr>
              <w:t>agency</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1</w:t>
            </w:r>
          </w:p>
        </w:tc>
        <w:tc>
          <w:tcPr>
            <w:tcW w:w="280" w:type="dxa"/>
            <w:vAlign w:val="bottom"/>
          </w:tcPr>
          <w:p>
            <w:pPr>
              <w:spacing w:after="0"/>
              <w:rPr>
                <w:sz w:val="14"/>
                <w:szCs w:val="14"/>
                <w:color w:val="auto"/>
              </w:rPr>
            </w:pP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(46 )</w:t>
            </w:r>
          </w:p>
        </w:tc>
        <w:tc>
          <w:tcPr>
            <w:tcW w:w="22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1,308</w:t>
            </w:r>
          </w:p>
        </w:tc>
        <w:tc>
          <w:tcPr>
            <w:tcW w:w="820" w:type="dxa"/>
            <w:vAlign w:val="bottom"/>
          </w:tcPr>
          <w:p>
            <w:pPr>
              <w:jc w:val="right"/>
              <w:spacing w:after="0"/>
              <w:rPr>
                <w:sz w:val="20"/>
                <w:szCs w:val="20"/>
                <w:color w:val="auto"/>
              </w:rPr>
            </w:pPr>
            <w:r>
              <w:rPr>
                <w:rFonts w:ascii="Arial" w:cs="Arial" w:eastAsia="Arial" w:hAnsi="Arial"/>
                <w:sz w:val="13"/>
                <w:szCs w:val="13"/>
                <w:color w:val="auto"/>
              </w:rPr>
              <w:t>9</w:t>
            </w:r>
          </w:p>
        </w:tc>
        <w:tc>
          <w:tcPr>
            <w:tcW w:w="340" w:type="dxa"/>
            <w:vAlign w:val="bottom"/>
          </w:tcPr>
          <w:p>
            <w:pPr>
              <w:spacing w:after="0"/>
              <w:rPr>
                <w:sz w:val="14"/>
                <w:szCs w:val="14"/>
                <w:color w:val="auto"/>
              </w:rPr>
            </w:pPr>
          </w:p>
        </w:tc>
        <w:tc>
          <w:tcPr>
            <w:tcW w:w="720" w:type="dxa"/>
            <w:vAlign w:val="bottom"/>
          </w:tcPr>
          <w:p>
            <w:pPr>
              <w:jc w:val="right"/>
              <w:ind w:right="74"/>
              <w:spacing w:after="0"/>
              <w:rPr>
                <w:sz w:val="20"/>
                <w:szCs w:val="20"/>
                <w:color w:val="auto"/>
              </w:rPr>
            </w:pPr>
            <w:r>
              <w:rPr>
                <w:rFonts w:ascii="Arial" w:cs="Arial" w:eastAsia="Arial" w:hAnsi="Arial"/>
                <w:sz w:val="13"/>
                <w:szCs w:val="13"/>
                <w:color w:val="auto"/>
              </w:rPr>
              <w:t>(1,357 )</w:t>
            </w:r>
          </w:p>
        </w:tc>
        <w:tc>
          <w:tcPr>
            <w:tcW w:w="14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3"/>
                <w:szCs w:val="13"/>
                <w:color w:val="auto"/>
              </w:rPr>
              <w:t>10,923</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10</w:t>
            </w:r>
          </w:p>
        </w:tc>
        <w:tc>
          <w:tcPr>
            <w:tcW w:w="220" w:type="dxa"/>
            <w:vAlign w:val="bottom"/>
          </w:tcPr>
          <w:p>
            <w:pPr>
              <w:spacing w:after="0"/>
              <w:rPr>
                <w:sz w:val="14"/>
                <w:szCs w:val="14"/>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(1,403 )</w:t>
            </w:r>
          </w:p>
        </w:tc>
        <w:tc>
          <w:tcPr>
            <w:tcW w:w="180" w:type="dxa"/>
            <w:vAlign w:val="bottom"/>
          </w:tcPr>
          <w:p>
            <w:pPr>
              <w:spacing w:after="0"/>
              <w:rPr>
                <w:sz w:val="14"/>
                <w:szCs w:val="14"/>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12,231</w:t>
            </w:r>
          </w:p>
        </w:tc>
        <w:tc>
          <w:tcPr>
            <w:tcW w:w="0" w:type="dxa"/>
            <w:vAlign w:val="bottom"/>
          </w:tcPr>
          <w:p>
            <w:pPr>
              <w:spacing w:after="0"/>
              <w:rPr>
                <w:sz w:val="1"/>
                <w:szCs w:val="1"/>
                <w:color w:val="auto"/>
              </w:rPr>
            </w:pPr>
          </w:p>
        </w:tc>
      </w:tr>
      <w:tr>
        <w:trPr>
          <w:trHeight w:val="166"/>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Collateralized mortgage obligations -</w:t>
            </w: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Private label</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18</w:t>
            </w: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(1,312 )</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27,765</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w:t>
            </w: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74"/>
              <w:spacing w:after="0"/>
              <w:rPr>
                <w:sz w:val="20"/>
                <w:szCs w:val="20"/>
                <w:color w:val="auto"/>
              </w:rPr>
            </w:pPr>
            <w:r>
              <w:rPr>
                <w:rFonts w:ascii="Arial" w:cs="Arial" w:eastAsia="Arial" w:hAnsi="Arial"/>
                <w:sz w:val="13"/>
                <w:szCs w:val="13"/>
                <w:color w:val="auto"/>
              </w:rPr>
              <w:t>(3,451 )</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48,623</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52</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(4,763 )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76,388</w:t>
            </w:r>
          </w:p>
        </w:tc>
        <w:tc>
          <w:tcPr>
            <w:tcW w:w="0" w:type="dxa"/>
            <w:vAlign w:val="bottom"/>
          </w:tcPr>
          <w:p>
            <w:pPr>
              <w:spacing w:after="0"/>
              <w:rPr>
                <w:sz w:val="1"/>
                <w:szCs w:val="1"/>
                <w:color w:val="auto"/>
              </w:rPr>
            </w:pPr>
          </w:p>
        </w:tc>
      </w:tr>
      <w:tr>
        <w:trPr>
          <w:trHeight w:val="175"/>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Totals</w:t>
            </w: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36</w:t>
            </w:r>
          </w:p>
        </w:tc>
        <w:tc>
          <w:tcPr>
            <w:tcW w:w="2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(2,157 )</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42,051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(12,442 )</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114,237</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142</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(14,599 )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156,288</w:t>
            </w:r>
          </w:p>
        </w:tc>
        <w:tc>
          <w:tcPr>
            <w:tcW w:w="0" w:type="dxa"/>
            <w:vAlign w:val="bottom"/>
          </w:tcPr>
          <w:p>
            <w:pPr>
              <w:spacing w:after="0"/>
              <w:rPr>
                <w:sz w:val="1"/>
                <w:szCs w:val="1"/>
                <w:color w:val="auto"/>
              </w:rPr>
            </w:pPr>
          </w:p>
        </w:tc>
      </w:tr>
      <w:tr>
        <w:trPr>
          <w:trHeight w:val="20"/>
        </w:trPr>
        <w:tc>
          <w:tcPr>
            <w:tcW w:w="2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2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3"/>
                <w:szCs w:val="13"/>
                <w:color w:val="auto"/>
              </w:rPr>
              <w:t>December 31, 2022</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2020" w:type="dxa"/>
            <w:vAlign w:val="bottom"/>
            <w:gridSpan w:val="4"/>
          </w:tcPr>
          <w:p>
            <w:pPr>
              <w:jc w:val="right"/>
              <w:spacing w:after="0"/>
              <w:rPr>
                <w:sz w:val="20"/>
                <w:szCs w:val="20"/>
                <w:color w:val="auto"/>
              </w:rPr>
            </w:pPr>
            <w:r>
              <w:rPr>
                <w:rFonts w:ascii="Arial" w:cs="Arial" w:eastAsia="Arial" w:hAnsi="Arial"/>
                <w:sz w:val="13"/>
                <w:szCs w:val="13"/>
                <w:color w:val="auto"/>
              </w:rPr>
              <w:t>Less than Twelve Months</w:t>
            </w:r>
          </w:p>
        </w:tc>
        <w:tc>
          <w:tcPr>
            <w:tcW w:w="640" w:type="dxa"/>
            <w:vAlign w:val="bottom"/>
          </w:tcPr>
          <w:p>
            <w:pPr>
              <w:spacing w:after="0"/>
              <w:rPr>
                <w:sz w:val="15"/>
                <w:szCs w:val="15"/>
                <w:color w:val="auto"/>
              </w:rPr>
            </w:pPr>
          </w:p>
        </w:tc>
        <w:tc>
          <w:tcPr>
            <w:tcW w:w="2020" w:type="dxa"/>
            <w:vAlign w:val="bottom"/>
            <w:gridSpan w:val="4"/>
          </w:tcPr>
          <w:p>
            <w:pPr>
              <w:jc w:val="right"/>
              <w:spacing w:after="0"/>
              <w:rPr>
                <w:sz w:val="20"/>
                <w:szCs w:val="20"/>
                <w:color w:val="auto"/>
              </w:rPr>
            </w:pPr>
            <w:r>
              <w:rPr>
                <w:rFonts w:ascii="Arial" w:cs="Arial" w:eastAsia="Arial" w:hAnsi="Arial"/>
                <w:sz w:val="13"/>
                <w:szCs w:val="13"/>
                <w:color w:val="auto"/>
              </w:rPr>
              <w:t>Twelve Months or More</w:t>
            </w: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274"/>
              <w:spacing w:after="0"/>
              <w:rPr>
                <w:sz w:val="20"/>
                <w:szCs w:val="20"/>
                <w:color w:val="auto"/>
              </w:rPr>
            </w:pPr>
            <w:r>
              <w:rPr>
                <w:rFonts w:ascii="Arial" w:cs="Arial" w:eastAsia="Arial" w:hAnsi="Arial"/>
                <w:sz w:val="13"/>
                <w:szCs w:val="13"/>
                <w:color w:val="auto"/>
              </w:rPr>
              <w:t>Total</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Number of</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Number of</w:t>
            </w: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Number of</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Individual</w:t>
            </w:r>
          </w:p>
        </w:tc>
        <w:tc>
          <w:tcPr>
            <w:tcW w:w="940" w:type="dxa"/>
            <w:vAlign w:val="bottom"/>
            <w:gridSpan w:val="2"/>
          </w:tcPr>
          <w:p>
            <w:pPr>
              <w:jc w:val="right"/>
              <w:ind w:right="94"/>
              <w:spacing w:after="0"/>
              <w:rPr>
                <w:sz w:val="20"/>
                <w:szCs w:val="20"/>
                <w:color w:val="auto"/>
              </w:rPr>
            </w:pPr>
            <w:r>
              <w:rPr>
                <w:rFonts w:ascii="Arial" w:cs="Arial" w:eastAsia="Arial" w:hAnsi="Arial"/>
                <w:sz w:val="13"/>
                <w:szCs w:val="13"/>
                <w:color w:val="auto"/>
              </w:rPr>
              <w:t>Unrealized</w:t>
            </w:r>
          </w:p>
        </w:tc>
        <w:tc>
          <w:tcPr>
            <w:tcW w:w="22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Fair</w:t>
            </w:r>
          </w:p>
        </w:tc>
        <w:tc>
          <w:tcPr>
            <w:tcW w:w="820" w:type="dxa"/>
            <w:vAlign w:val="bottom"/>
          </w:tcPr>
          <w:p>
            <w:pPr>
              <w:jc w:val="right"/>
              <w:spacing w:after="0"/>
              <w:rPr>
                <w:sz w:val="20"/>
                <w:szCs w:val="20"/>
                <w:color w:val="auto"/>
              </w:rPr>
            </w:pPr>
            <w:r>
              <w:rPr>
                <w:rFonts w:ascii="Arial" w:cs="Arial" w:eastAsia="Arial" w:hAnsi="Arial"/>
                <w:sz w:val="13"/>
                <w:szCs w:val="13"/>
                <w:color w:val="auto"/>
              </w:rPr>
              <w:t>Individual</w:t>
            </w:r>
          </w:p>
        </w:tc>
        <w:tc>
          <w:tcPr>
            <w:tcW w:w="1060" w:type="dxa"/>
            <w:vAlign w:val="bottom"/>
            <w:gridSpan w:val="2"/>
          </w:tcPr>
          <w:p>
            <w:pPr>
              <w:jc w:val="right"/>
              <w:ind w:right="134"/>
              <w:spacing w:after="0"/>
              <w:rPr>
                <w:sz w:val="20"/>
                <w:szCs w:val="20"/>
                <w:color w:val="auto"/>
              </w:rPr>
            </w:pPr>
            <w:r>
              <w:rPr>
                <w:rFonts w:ascii="Arial" w:cs="Arial" w:eastAsia="Arial" w:hAnsi="Arial"/>
                <w:sz w:val="13"/>
                <w:szCs w:val="13"/>
                <w:color w:val="auto"/>
              </w:rPr>
              <w:t>Unrealized</w:t>
            </w:r>
          </w:p>
        </w:tc>
        <w:tc>
          <w:tcPr>
            <w:tcW w:w="140" w:type="dxa"/>
            <w:vAlign w:val="bottom"/>
          </w:tcPr>
          <w:p>
            <w:pPr>
              <w:spacing w:after="0"/>
              <w:rPr>
                <w:sz w:val="15"/>
                <w:szCs w:val="15"/>
                <w:color w:val="auto"/>
              </w:rPr>
            </w:pPr>
          </w:p>
        </w:tc>
        <w:tc>
          <w:tcPr>
            <w:tcW w:w="680" w:type="dxa"/>
            <w:vAlign w:val="bottom"/>
          </w:tcPr>
          <w:p>
            <w:pPr>
              <w:jc w:val="right"/>
              <w:ind w:right="94"/>
              <w:spacing w:after="0"/>
              <w:rPr>
                <w:sz w:val="20"/>
                <w:szCs w:val="20"/>
                <w:color w:val="auto"/>
              </w:rPr>
            </w:pPr>
            <w:r>
              <w:rPr>
                <w:rFonts w:ascii="Arial" w:cs="Arial" w:eastAsia="Arial" w:hAnsi="Arial"/>
                <w:sz w:val="13"/>
                <w:szCs w:val="13"/>
                <w:color w:val="auto"/>
              </w:rPr>
              <w:t>Fair</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Individual</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Unrealized</w:t>
            </w:r>
          </w:p>
        </w:tc>
        <w:tc>
          <w:tcPr>
            <w:tcW w:w="180" w:type="dxa"/>
            <w:vAlign w:val="bottom"/>
          </w:tcPr>
          <w:p>
            <w:pPr>
              <w:spacing w:after="0"/>
              <w:rPr>
                <w:sz w:val="15"/>
                <w:szCs w:val="15"/>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Fair</w:t>
            </w:r>
          </w:p>
        </w:tc>
        <w:tc>
          <w:tcPr>
            <w:tcW w:w="0" w:type="dxa"/>
            <w:vAlign w:val="bottom"/>
          </w:tcPr>
          <w:p>
            <w:pPr>
              <w:spacing w:after="0"/>
              <w:rPr>
                <w:sz w:val="1"/>
                <w:szCs w:val="1"/>
                <w:color w:val="auto"/>
              </w:rPr>
            </w:pPr>
          </w:p>
        </w:tc>
      </w:tr>
      <w:tr>
        <w:trPr>
          <w:trHeight w:val="185"/>
        </w:trPr>
        <w:tc>
          <w:tcPr>
            <w:tcW w:w="26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Securities</w:t>
            </w:r>
          </w:p>
        </w:tc>
        <w:tc>
          <w:tcPr>
            <w:tcW w:w="280" w:type="dxa"/>
            <w:vAlign w:val="bottom"/>
          </w:tcPr>
          <w:p>
            <w:pPr>
              <w:spacing w:after="0"/>
              <w:rPr>
                <w:sz w:val="16"/>
                <w:szCs w:val="16"/>
                <w:color w:val="auto"/>
              </w:rPr>
            </w:pPr>
          </w:p>
        </w:tc>
        <w:tc>
          <w:tcPr>
            <w:tcW w:w="660" w:type="dxa"/>
            <w:vAlign w:val="bottom"/>
          </w:tcPr>
          <w:p>
            <w:pPr>
              <w:jc w:val="right"/>
              <w:ind w:right="94"/>
              <w:spacing w:after="0"/>
              <w:rPr>
                <w:sz w:val="20"/>
                <w:szCs w:val="20"/>
                <w:color w:val="auto"/>
              </w:rPr>
            </w:pPr>
            <w:r>
              <w:rPr>
                <w:rFonts w:ascii="Arial" w:cs="Arial" w:eastAsia="Arial" w:hAnsi="Arial"/>
                <w:sz w:val="13"/>
                <w:szCs w:val="13"/>
                <w:color w:val="auto"/>
              </w:rPr>
              <w:t>Losses</w:t>
            </w:r>
          </w:p>
        </w:tc>
        <w:tc>
          <w:tcPr>
            <w:tcW w:w="220" w:type="dxa"/>
            <w:vAlign w:val="bottom"/>
          </w:tcPr>
          <w:p>
            <w:pPr>
              <w:spacing w:after="0"/>
              <w:rPr>
                <w:sz w:val="16"/>
                <w:szCs w:val="16"/>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Value</w:t>
            </w:r>
          </w:p>
        </w:tc>
        <w:tc>
          <w:tcPr>
            <w:tcW w:w="820" w:type="dxa"/>
            <w:vAlign w:val="bottom"/>
          </w:tcPr>
          <w:p>
            <w:pPr>
              <w:jc w:val="right"/>
              <w:spacing w:after="0"/>
              <w:rPr>
                <w:sz w:val="20"/>
                <w:szCs w:val="20"/>
                <w:color w:val="auto"/>
              </w:rPr>
            </w:pPr>
            <w:r>
              <w:rPr>
                <w:rFonts w:ascii="Arial" w:cs="Arial" w:eastAsia="Arial" w:hAnsi="Arial"/>
                <w:sz w:val="13"/>
                <w:szCs w:val="13"/>
                <w:color w:val="auto"/>
              </w:rPr>
              <w:t>Securities</w:t>
            </w:r>
          </w:p>
        </w:tc>
        <w:tc>
          <w:tcPr>
            <w:tcW w:w="340" w:type="dxa"/>
            <w:vAlign w:val="bottom"/>
          </w:tcPr>
          <w:p>
            <w:pPr>
              <w:spacing w:after="0"/>
              <w:rPr>
                <w:sz w:val="16"/>
                <w:szCs w:val="16"/>
                <w:color w:val="auto"/>
              </w:rPr>
            </w:pPr>
          </w:p>
        </w:tc>
        <w:tc>
          <w:tcPr>
            <w:tcW w:w="720" w:type="dxa"/>
            <w:vAlign w:val="bottom"/>
          </w:tcPr>
          <w:p>
            <w:pPr>
              <w:jc w:val="right"/>
              <w:ind w:right="134"/>
              <w:spacing w:after="0"/>
              <w:rPr>
                <w:sz w:val="20"/>
                <w:szCs w:val="20"/>
                <w:color w:val="auto"/>
              </w:rPr>
            </w:pPr>
            <w:r>
              <w:rPr>
                <w:rFonts w:ascii="Arial" w:cs="Arial" w:eastAsia="Arial" w:hAnsi="Arial"/>
                <w:sz w:val="13"/>
                <w:szCs w:val="13"/>
                <w:color w:val="auto"/>
              </w:rPr>
              <w:t>Losses</w:t>
            </w:r>
          </w:p>
        </w:tc>
        <w:tc>
          <w:tcPr>
            <w:tcW w:w="140" w:type="dxa"/>
            <w:vAlign w:val="bottom"/>
          </w:tcPr>
          <w:p>
            <w:pPr>
              <w:spacing w:after="0"/>
              <w:rPr>
                <w:sz w:val="16"/>
                <w:szCs w:val="16"/>
                <w:color w:val="auto"/>
              </w:rPr>
            </w:pPr>
          </w:p>
        </w:tc>
        <w:tc>
          <w:tcPr>
            <w:tcW w:w="680" w:type="dxa"/>
            <w:vAlign w:val="bottom"/>
          </w:tcPr>
          <w:p>
            <w:pPr>
              <w:jc w:val="right"/>
              <w:ind w:right="94"/>
              <w:spacing w:after="0"/>
              <w:rPr>
                <w:sz w:val="20"/>
                <w:szCs w:val="20"/>
                <w:color w:val="auto"/>
              </w:rPr>
            </w:pPr>
            <w:r>
              <w:rPr>
                <w:rFonts w:ascii="Arial" w:cs="Arial" w:eastAsia="Arial" w:hAnsi="Arial"/>
                <w:sz w:val="13"/>
                <w:szCs w:val="13"/>
                <w:color w:val="auto"/>
              </w:rPr>
              <w:t>Value</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Securities</w:t>
            </w:r>
          </w:p>
        </w:tc>
        <w:tc>
          <w:tcPr>
            <w:tcW w:w="220" w:type="dxa"/>
            <w:vAlign w:val="bottom"/>
          </w:tcPr>
          <w:p>
            <w:pPr>
              <w:spacing w:after="0"/>
              <w:rPr>
                <w:sz w:val="16"/>
                <w:szCs w:val="16"/>
                <w:color w:val="auto"/>
              </w:rPr>
            </w:pPr>
          </w:p>
        </w:tc>
        <w:tc>
          <w:tcPr>
            <w:tcW w:w="680" w:type="dxa"/>
            <w:vAlign w:val="bottom"/>
          </w:tcPr>
          <w:p>
            <w:pPr>
              <w:jc w:val="right"/>
              <w:ind w:right="94"/>
              <w:spacing w:after="0"/>
              <w:rPr>
                <w:sz w:val="20"/>
                <w:szCs w:val="20"/>
                <w:color w:val="auto"/>
              </w:rPr>
            </w:pPr>
            <w:r>
              <w:rPr>
                <w:rFonts w:ascii="Arial" w:cs="Arial" w:eastAsia="Arial" w:hAnsi="Arial"/>
                <w:sz w:val="13"/>
                <w:szCs w:val="13"/>
                <w:color w:val="auto"/>
              </w:rPr>
              <w:t>Losses</w:t>
            </w:r>
          </w:p>
        </w:tc>
        <w:tc>
          <w:tcPr>
            <w:tcW w:w="180" w:type="dxa"/>
            <w:vAlign w:val="bottom"/>
          </w:tcPr>
          <w:p>
            <w:pPr>
              <w:spacing w:after="0"/>
              <w:rPr>
                <w:sz w:val="16"/>
                <w:szCs w:val="16"/>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Value</w:t>
            </w:r>
          </w:p>
        </w:tc>
        <w:tc>
          <w:tcPr>
            <w:tcW w:w="0" w:type="dxa"/>
            <w:vAlign w:val="bottom"/>
          </w:tcPr>
          <w:p>
            <w:pPr>
              <w:spacing w:after="0"/>
              <w:rPr>
                <w:sz w:val="1"/>
                <w:szCs w:val="1"/>
                <w:color w:val="auto"/>
              </w:rPr>
            </w:pPr>
          </w:p>
        </w:tc>
      </w:tr>
      <w:tr>
        <w:trPr>
          <w:trHeight w:val="185"/>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b w:val="1"/>
                <w:bCs w:val="1"/>
                <w:i w:val="1"/>
                <w:iCs w:val="1"/>
                <w:color w:val="auto"/>
              </w:rPr>
              <w:t>Available-for-Sale Portfolio</w:t>
            </w:r>
          </w:p>
        </w:tc>
        <w:tc>
          <w:tcPr>
            <w:tcW w:w="8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Arial" w:cs="Arial" w:eastAsia="Arial" w:hAnsi="Arial"/>
                <w:sz w:val="13"/>
                <w:szCs w:val="13"/>
                <w:color w:val="auto"/>
              </w:rPr>
              <w:t>US Treasury, agencies and GSEs</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4"/>
              <w:spacing w:after="0"/>
              <w:rPr>
                <w:sz w:val="20"/>
                <w:szCs w:val="20"/>
                <w:color w:val="auto"/>
              </w:rPr>
            </w:pPr>
            <w:r>
              <w:rPr>
                <w:rFonts w:ascii="Arial" w:cs="Arial" w:eastAsia="Arial" w:hAnsi="Arial"/>
                <w:sz w:val="13"/>
                <w:szCs w:val="13"/>
                <w:color w:val="auto"/>
              </w:rPr>
              <w:t>(3,206 )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14"/>
              <w:spacing w:after="0"/>
              <w:rPr>
                <w:sz w:val="20"/>
                <w:szCs w:val="20"/>
                <w:color w:val="auto"/>
              </w:rPr>
            </w:pPr>
            <w:r>
              <w:rPr>
                <w:rFonts w:ascii="Arial" w:cs="Arial" w:eastAsia="Arial" w:hAnsi="Arial"/>
                <w:sz w:val="13"/>
                <w:szCs w:val="13"/>
                <w:color w:val="auto"/>
              </w:rPr>
              <w:t>26,167</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3</w:t>
            </w:r>
          </w:p>
        </w:tc>
        <w:tc>
          <w:tcPr>
            <w:tcW w:w="220" w:type="dxa"/>
            <w:vAlign w:val="bottom"/>
          </w:tcPr>
          <w:p>
            <w:pPr>
              <w:ind w:left="1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(3,206 )</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26,167</w:t>
            </w:r>
          </w:p>
        </w:tc>
        <w:tc>
          <w:tcPr>
            <w:tcW w:w="0" w:type="dxa"/>
            <w:vAlign w:val="bottom"/>
          </w:tcPr>
          <w:p>
            <w:pPr>
              <w:spacing w:after="0"/>
              <w:rPr>
                <w:sz w:val="1"/>
                <w:szCs w:val="1"/>
                <w:color w:val="auto"/>
              </w:rPr>
            </w:pPr>
          </w:p>
        </w:tc>
      </w:tr>
      <w:tr>
        <w:trPr>
          <w:trHeight w:val="185"/>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State and political subdivisions</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10</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(830 )</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12,601</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3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74"/>
              <w:spacing w:after="0"/>
              <w:rPr>
                <w:sz w:val="20"/>
                <w:szCs w:val="20"/>
                <w:color w:val="auto"/>
              </w:rPr>
            </w:pPr>
            <w:r>
              <w:rPr>
                <w:rFonts w:ascii="Arial" w:cs="Arial" w:eastAsia="Arial" w:hAnsi="Arial"/>
                <w:sz w:val="13"/>
                <w:szCs w:val="13"/>
                <w:color w:val="auto"/>
              </w:rPr>
              <w:t>(2,171 )</w:t>
            </w: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20,128</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27</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(3,001 )</w:t>
            </w: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32,729</w:t>
            </w: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Arial" w:cs="Arial" w:eastAsia="Arial" w:hAnsi="Arial"/>
                <w:sz w:val="13"/>
                <w:szCs w:val="13"/>
                <w:color w:val="auto"/>
              </w:rPr>
              <w:t>Corporate</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7</w:t>
            </w:r>
          </w:p>
        </w:tc>
        <w:tc>
          <w:tcPr>
            <w:tcW w:w="280" w:type="dxa"/>
            <w:vAlign w:val="bottom"/>
          </w:tcPr>
          <w:p>
            <w:pPr>
              <w:spacing w:after="0"/>
              <w:rPr>
                <w:sz w:val="15"/>
                <w:szCs w:val="15"/>
                <w:color w:val="auto"/>
              </w:rPr>
            </w:pP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(269 )</w:t>
            </w:r>
          </w:p>
        </w:tc>
        <w:tc>
          <w:tcPr>
            <w:tcW w:w="22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5,720</w:t>
            </w:r>
          </w:p>
        </w:tc>
        <w:tc>
          <w:tcPr>
            <w:tcW w:w="820" w:type="dxa"/>
            <w:vAlign w:val="bottom"/>
          </w:tcPr>
          <w:p>
            <w:pPr>
              <w:jc w:val="right"/>
              <w:spacing w:after="0"/>
              <w:rPr>
                <w:sz w:val="20"/>
                <w:szCs w:val="20"/>
                <w:color w:val="auto"/>
              </w:rPr>
            </w:pPr>
            <w:r>
              <w:rPr>
                <w:rFonts w:ascii="Arial" w:cs="Arial" w:eastAsia="Arial" w:hAnsi="Arial"/>
                <w:sz w:val="13"/>
                <w:szCs w:val="13"/>
                <w:color w:val="auto"/>
              </w:rPr>
              <w:t>2</w:t>
            </w:r>
          </w:p>
        </w:tc>
        <w:tc>
          <w:tcPr>
            <w:tcW w:w="340" w:type="dxa"/>
            <w:vAlign w:val="bottom"/>
          </w:tcPr>
          <w:p>
            <w:pPr>
              <w:spacing w:after="0"/>
              <w:rPr>
                <w:sz w:val="15"/>
                <w:szCs w:val="15"/>
                <w:color w:val="auto"/>
              </w:rPr>
            </w:pPr>
          </w:p>
        </w:tc>
        <w:tc>
          <w:tcPr>
            <w:tcW w:w="720" w:type="dxa"/>
            <w:vAlign w:val="bottom"/>
          </w:tcPr>
          <w:p>
            <w:pPr>
              <w:jc w:val="right"/>
              <w:ind w:right="74"/>
              <w:spacing w:after="0"/>
              <w:rPr>
                <w:sz w:val="20"/>
                <w:szCs w:val="20"/>
                <w:color w:val="auto"/>
              </w:rPr>
            </w:pPr>
            <w:r>
              <w:rPr>
                <w:rFonts w:ascii="Arial" w:cs="Arial" w:eastAsia="Arial" w:hAnsi="Arial"/>
                <w:sz w:val="13"/>
                <w:szCs w:val="13"/>
                <w:color w:val="auto"/>
              </w:rPr>
              <w:t>(381 )</w:t>
            </w:r>
          </w:p>
        </w:tc>
        <w:tc>
          <w:tcPr>
            <w:tcW w:w="140" w:type="dxa"/>
            <w:vAlign w:val="bottom"/>
          </w:tcPr>
          <w:p>
            <w:pPr>
              <w:spacing w:after="0"/>
              <w:rPr>
                <w:sz w:val="15"/>
                <w:szCs w:val="15"/>
                <w:color w:val="auto"/>
              </w:rPr>
            </w:pPr>
          </w:p>
        </w:tc>
        <w:tc>
          <w:tcPr>
            <w:tcW w:w="680" w:type="dxa"/>
            <w:vAlign w:val="bottom"/>
          </w:tcPr>
          <w:p>
            <w:pPr>
              <w:jc w:val="right"/>
              <w:ind w:right="94"/>
              <w:spacing w:after="0"/>
              <w:rPr>
                <w:sz w:val="20"/>
                <w:szCs w:val="20"/>
                <w:color w:val="auto"/>
              </w:rPr>
            </w:pPr>
            <w:r>
              <w:rPr>
                <w:rFonts w:ascii="Arial" w:cs="Arial" w:eastAsia="Arial" w:hAnsi="Arial"/>
                <w:sz w:val="13"/>
                <w:szCs w:val="13"/>
                <w:color w:val="auto"/>
              </w:rPr>
              <w:t>1,319</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9</w:t>
            </w:r>
          </w:p>
        </w:tc>
        <w:tc>
          <w:tcPr>
            <w:tcW w:w="220" w:type="dxa"/>
            <w:vAlign w:val="bottom"/>
          </w:tcPr>
          <w:p>
            <w:pPr>
              <w:spacing w:after="0"/>
              <w:rPr>
                <w:sz w:val="15"/>
                <w:szCs w:val="15"/>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(650 )</w:t>
            </w:r>
          </w:p>
        </w:tc>
        <w:tc>
          <w:tcPr>
            <w:tcW w:w="180" w:type="dxa"/>
            <w:vAlign w:val="bottom"/>
          </w:tcPr>
          <w:p>
            <w:pPr>
              <w:spacing w:after="0"/>
              <w:rPr>
                <w:sz w:val="15"/>
                <w:szCs w:val="15"/>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7,039</w:t>
            </w:r>
          </w:p>
        </w:tc>
        <w:tc>
          <w:tcPr>
            <w:tcW w:w="0" w:type="dxa"/>
            <w:vAlign w:val="bottom"/>
          </w:tcPr>
          <w:p>
            <w:pPr>
              <w:spacing w:after="0"/>
              <w:rPr>
                <w:sz w:val="1"/>
                <w:szCs w:val="1"/>
                <w:color w:val="auto"/>
              </w:rPr>
            </w:pPr>
          </w:p>
        </w:tc>
      </w:tr>
      <w:tr>
        <w:trPr>
          <w:trHeight w:val="185"/>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Asset backed securities</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5</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(148 )</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5,473</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3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74"/>
              <w:spacing w:after="0"/>
              <w:rPr>
                <w:sz w:val="20"/>
                <w:szCs w:val="20"/>
                <w:color w:val="auto"/>
              </w:rPr>
            </w:pPr>
            <w:r>
              <w:rPr>
                <w:rFonts w:ascii="Arial" w:cs="Arial" w:eastAsia="Arial" w:hAnsi="Arial"/>
                <w:sz w:val="13"/>
                <w:szCs w:val="13"/>
                <w:color w:val="auto"/>
              </w:rPr>
              <w:t>(511 )</w:t>
            </w: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9,926</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10</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(659 )</w:t>
            </w: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15,399</w:t>
            </w: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Arial" w:cs="Arial" w:eastAsia="Arial" w:hAnsi="Arial"/>
                <w:sz w:val="13"/>
                <w:szCs w:val="13"/>
                <w:color w:val="auto"/>
              </w:rPr>
              <w:t>Residential mortgage-backed - US agency</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10</w:t>
            </w:r>
          </w:p>
        </w:tc>
        <w:tc>
          <w:tcPr>
            <w:tcW w:w="280" w:type="dxa"/>
            <w:vAlign w:val="bottom"/>
          </w:tcPr>
          <w:p>
            <w:pPr>
              <w:spacing w:after="0"/>
              <w:rPr>
                <w:sz w:val="15"/>
                <w:szCs w:val="15"/>
                <w:color w:val="auto"/>
              </w:rPr>
            </w:pP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(131 )</w:t>
            </w:r>
          </w:p>
        </w:tc>
        <w:tc>
          <w:tcPr>
            <w:tcW w:w="22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2,747</w:t>
            </w:r>
          </w:p>
        </w:tc>
        <w:tc>
          <w:tcPr>
            <w:tcW w:w="820" w:type="dxa"/>
            <w:vAlign w:val="bottom"/>
          </w:tcPr>
          <w:p>
            <w:pPr>
              <w:jc w:val="right"/>
              <w:spacing w:after="0"/>
              <w:rPr>
                <w:sz w:val="20"/>
                <w:szCs w:val="20"/>
                <w:color w:val="auto"/>
              </w:rPr>
            </w:pPr>
            <w:r>
              <w:rPr>
                <w:rFonts w:ascii="Arial" w:cs="Arial" w:eastAsia="Arial" w:hAnsi="Arial"/>
                <w:sz w:val="13"/>
                <w:szCs w:val="13"/>
                <w:color w:val="auto"/>
              </w:rPr>
              <w:t>5</w:t>
            </w:r>
          </w:p>
        </w:tc>
        <w:tc>
          <w:tcPr>
            <w:tcW w:w="340" w:type="dxa"/>
            <w:vAlign w:val="bottom"/>
          </w:tcPr>
          <w:p>
            <w:pPr>
              <w:spacing w:after="0"/>
              <w:rPr>
                <w:sz w:val="15"/>
                <w:szCs w:val="15"/>
                <w:color w:val="auto"/>
              </w:rPr>
            </w:pPr>
          </w:p>
        </w:tc>
        <w:tc>
          <w:tcPr>
            <w:tcW w:w="720" w:type="dxa"/>
            <w:vAlign w:val="bottom"/>
          </w:tcPr>
          <w:p>
            <w:pPr>
              <w:jc w:val="right"/>
              <w:ind w:right="74"/>
              <w:spacing w:after="0"/>
              <w:rPr>
                <w:sz w:val="20"/>
                <w:szCs w:val="20"/>
                <w:color w:val="auto"/>
              </w:rPr>
            </w:pPr>
            <w:r>
              <w:rPr>
                <w:rFonts w:ascii="Arial" w:cs="Arial" w:eastAsia="Arial" w:hAnsi="Arial"/>
                <w:sz w:val="13"/>
                <w:szCs w:val="13"/>
                <w:color w:val="auto"/>
              </w:rPr>
              <w:t>(1,451 )</w:t>
            </w:r>
          </w:p>
        </w:tc>
        <w:tc>
          <w:tcPr>
            <w:tcW w:w="140" w:type="dxa"/>
            <w:vAlign w:val="bottom"/>
          </w:tcPr>
          <w:p>
            <w:pPr>
              <w:spacing w:after="0"/>
              <w:rPr>
                <w:sz w:val="15"/>
                <w:szCs w:val="15"/>
                <w:color w:val="auto"/>
              </w:rPr>
            </w:pPr>
          </w:p>
        </w:tc>
        <w:tc>
          <w:tcPr>
            <w:tcW w:w="680" w:type="dxa"/>
            <w:vAlign w:val="bottom"/>
          </w:tcPr>
          <w:p>
            <w:pPr>
              <w:jc w:val="right"/>
              <w:ind w:right="114"/>
              <w:spacing w:after="0"/>
              <w:rPr>
                <w:sz w:val="20"/>
                <w:szCs w:val="20"/>
                <w:color w:val="auto"/>
              </w:rPr>
            </w:pPr>
            <w:r>
              <w:rPr>
                <w:rFonts w:ascii="Arial" w:cs="Arial" w:eastAsia="Arial" w:hAnsi="Arial"/>
                <w:sz w:val="13"/>
                <w:szCs w:val="13"/>
                <w:color w:val="auto"/>
              </w:rPr>
              <w:t>13,653</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15</w:t>
            </w:r>
          </w:p>
        </w:tc>
        <w:tc>
          <w:tcPr>
            <w:tcW w:w="220" w:type="dxa"/>
            <w:vAlign w:val="bottom"/>
          </w:tcPr>
          <w:p>
            <w:pPr>
              <w:spacing w:after="0"/>
              <w:rPr>
                <w:sz w:val="15"/>
                <w:szCs w:val="15"/>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(1,582 )</w:t>
            </w:r>
          </w:p>
        </w:tc>
        <w:tc>
          <w:tcPr>
            <w:tcW w:w="180" w:type="dxa"/>
            <w:vAlign w:val="bottom"/>
          </w:tcPr>
          <w:p>
            <w:pPr>
              <w:spacing w:after="0"/>
              <w:rPr>
                <w:sz w:val="15"/>
                <w:szCs w:val="15"/>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16,400</w:t>
            </w:r>
          </w:p>
        </w:tc>
        <w:tc>
          <w:tcPr>
            <w:tcW w:w="0" w:type="dxa"/>
            <w:vAlign w:val="bottom"/>
          </w:tcPr>
          <w:p>
            <w:pPr>
              <w:spacing w:after="0"/>
              <w:rPr>
                <w:sz w:val="1"/>
                <w:szCs w:val="1"/>
                <w:color w:val="auto"/>
              </w:rPr>
            </w:pPr>
          </w:p>
        </w:tc>
      </w:tr>
      <w:tr>
        <w:trPr>
          <w:trHeight w:val="166"/>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Collateralized mortgage obligations - US</w:t>
            </w: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agency</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6</w:t>
            </w: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(238 )</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4,009</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74"/>
              <w:spacing w:after="0"/>
              <w:rPr>
                <w:sz w:val="20"/>
                <w:szCs w:val="20"/>
                <w:color w:val="auto"/>
              </w:rPr>
            </w:pPr>
            <w:r>
              <w:rPr>
                <w:rFonts w:ascii="Arial" w:cs="Arial" w:eastAsia="Arial" w:hAnsi="Arial"/>
                <w:sz w:val="13"/>
                <w:szCs w:val="13"/>
                <w:color w:val="auto"/>
              </w:rPr>
              <w:t>(1,124 )</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7,700</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12</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(1,362 )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11,709</w:t>
            </w:r>
          </w:p>
        </w:tc>
        <w:tc>
          <w:tcPr>
            <w:tcW w:w="0" w:type="dxa"/>
            <w:vAlign w:val="bottom"/>
          </w:tcPr>
          <w:p>
            <w:pPr>
              <w:spacing w:after="0"/>
              <w:rPr>
                <w:sz w:val="1"/>
                <w:szCs w:val="1"/>
                <w:color w:val="auto"/>
              </w:rPr>
            </w:pPr>
          </w:p>
        </w:tc>
      </w:tr>
      <w:tr>
        <w:trPr>
          <w:trHeight w:val="161"/>
        </w:trPr>
        <w:tc>
          <w:tcPr>
            <w:tcW w:w="2640" w:type="dxa"/>
            <w:vAlign w:val="bottom"/>
          </w:tcPr>
          <w:p>
            <w:pPr>
              <w:ind w:left="20"/>
              <w:spacing w:after="0"/>
              <w:rPr>
                <w:sz w:val="20"/>
                <w:szCs w:val="20"/>
                <w:color w:val="auto"/>
              </w:rPr>
            </w:pPr>
            <w:r>
              <w:rPr>
                <w:rFonts w:ascii="Arial" w:cs="Arial" w:eastAsia="Arial" w:hAnsi="Arial"/>
                <w:sz w:val="13"/>
                <w:szCs w:val="13"/>
                <w:color w:val="auto"/>
              </w:rPr>
              <w:t>Collateralized mortgage obligations -</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40" w:type="dxa"/>
            <w:vAlign w:val="bottom"/>
          </w:tcPr>
          <w:p>
            <w:pPr>
              <w:ind w:left="20"/>
              <w:spacing w:after="0"/>
              <w:rPr>
                <w:sz w:val="20"/>
                <w:szCs w:val="20"/>
                <w:color w:val="auto"/>
              </w:rPr>
            </w:pPr>
            <w:r>
              <w:rPr>
                <w:rFonts w:ascii="Arial" w:cs="Arial" w:eastAsia="Arial" w:hAnsi="Arial"/>
                <w:sz w:val="13"/>
                <w:szCs w:val="13"/>
                <w:color w:val="auto"/>
              </w:rPr>
              <w:t>Private label</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15</w:t>
            </w:r>
          </w:p>
        </w:tc>
        <w:tc>
          <w:tcPr>
            <w:tcW w:w="280" w:type="dxa"/>
            <w:vAlign w:val="bottom"/>
          </w:tcPr>
          <w:p>
            <w:pPr>
              <w:spacing w:after="0"/>
              <w:rPr>
                <w:sz w:val="14"/>
                <w:szCs w:val="14"/>
                <w:color w:val="auto"/>
              </w:rPr>
            </w:pP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(1,684 )</w:t>
            </w:r>
          </w:p>
        </w:tc>
        <w:tc>
          <w:tcPr>
            <w:tcW w:w="22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20,429</w:t>
            </w:r>
          </w:p>
        </w:tc>
        <w:tc>
          <w:tcPr>
            <w:tcW w:w="820" w:type="dxa"/>
            <w:vAlign w:val="bottom"/>
          </w:tcPr>
          <w:p>
            <w:pPr>
              <w:jc w:val="right"/>
              <w:spacing w:after="0"/>
              <w:rPr>
                <w:sz w:val="20"/>
                <w:szCs w:val="20"/>
                <w:color w:val="auto"/>
              </w:rPr>
            </w:pPr>
            <w:r>
              <w:rPr>
                <w:rFonts w:ascii="Arial" w:cs="Arial" w:eastAsia="Arial" w:hAnsi="Arial"/>
                <w:sz w:val="13"/>
                <w:szCs w:val="13"/>
                <w:color w:val="auto"/>
              </w:rPr>
              <w:t>19</w:t>
            </w:r>
          </w:p>
        </w:tc>
        <w:tc>
          <w:tcPr>
            <w:tcW w:w="340" w:type="dxa"/>
            <w:vAlign w:val="bottom"/>
          </w:tcPr>
          <w:p>
            <w:pPr>
              <w:spacing w:after="0"/>
              <w:rPr>
                <w:sz w:val="14"/>
                <w:szCs w:val="14"/>
                <w:color w:val="auto"/>
              </w:rPr>
            </w:pPr>
          </w:p>
        </w:tc>
        <w:tc>
          <w:tcPr>
            <w:tcW w:w="720" w:type="dxa"/>
            <w:vAlign w:val="bottom"/>
          </w:tcPr>
          <w:p>
            <w:pPr>
              <w:jc w:val="right"/>
              <w:ind w:right="74"/>
              <w:spacing w:after="0"/>
              <w:rPr>
                <w:sz w:val="20"/>
                <w:szCs w:val="20"/>
                <w:color w:val="auto"/>
              </w:rPr>
            </w:pPr>
            <w:r>
              <w:rPr>
                <w:rFonts w:ascii="Arial" w:cs="Arial" w:eastAsia="Arial" w:hAnsi="Arial"/>
                <w:sz w:val="13"/>
                <w:szCs w:val="13"/>
                <w:color w:val="auto"/>
              </w:rPr>
              <w:t>(2,671 )</w:t>
            </w:r>
          </w:p>
        </w:tc>
        <w:tc>
          <w:tcPr>
            <w:tcW w:w="14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3"/>
                <w:szCs w:val="13"/>
                <w:color w:val="auto"/>
              </w:rPr>
              <w:t>33,707</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34</w:t>
            </w:r>
          </w:p>
        </w:tc>
        <w:tc>
          <w:tcPr>
            <w:tcW w:w="220" w:type="dxa"/>
            <w:vAlign w:val="bottom"/>
          </w:tcPr>
          <w:p>
            <w:pPr>
              <w:spacing w:after="0"/>
              <w:rPr>
                <w:sz w:val="14"/>
                <w:szCs w:val="14"/>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(4,355 )</w:t>
            </w:r>
          </w:p>
        </w:tc>
        <w:tc>
          <w:tcPr>
            <w:tcW w:w="180" w:type="dxa"/>
            <w:vAlign w:val="bottom"/>
          </w:tcPr>
          <w:p>
            <w:pPr>
              <w:spacing w:after="0"/>
              <w:rPr>
                <w:sz w:val="14"/>
                <w:szCs w:val="14"/>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54,136</w:t>
            </w:r>
          </w:p>
        </w:tc>
        <w:tc>
          <w:tcPr>
            <w:tcW w:w="0" w:type="dxa"/>
            <w:vAlign w:val="bottom"/>
          </w:tcPr>
          <w:p>
            <w:pPr>
              <w:spacing w:after="0"/>
              <w:rPr>
                <w:sz w:val="1"/>
                <w:szCs w:val="1"/>
                <w:color w:val="auto"/>
              </w:rPr>
            </w:pPr>
          </w:p>
        </w:tc>
      </w:tr>
      <w:tr>
        <w:trPr>
          <w:trHeight w:val="220"/>
        </w:trPr>
        <w:tc>
          <w:tcPr>
            <w:tcW w:w="26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Totals</w:t>
            </w:r>
          </w:p>
        </w:tc>
        <w:tc>
          <w:tcPr>
            <w:tcW w:w="8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3"/>
                <w:szCs w:val="13"/>
                <w:color w:val="auto"/>
              </w:rPr>
              <w:t>53</w:t>
            </w:r>
          </w:p>
        </w:tc>
        <w:tc>
          <w:tcPr>
            <w:tcW w:w="2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3"/>
                <w:szCs w:val="13"/>
                <w:color w:val="auto"/>
              </w:rPr>
              <w:t>(3,300 )</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FF0FC"/>
          </w:tcPr>
          <w:p>
            <w:pPr>
              <w:jc w:val="right"/>
              <w:ind w:right="94"/>
              <w:spacing w:after="0"/>
              <w:rPr>
                <w:sz w:val="20"/>
                <w:szCs w:val="20"/>
                <w:color w:val="auto"/>
              </w:rPr>
            </w:pPr>
            <w:r>
              <w:rPr>
                <w:rFonts w:ascii="Arial" w:cs="Arial" w:eastAsia="Arial" w:hAnsi="Arial"/>
                <w:sz w:val="13"/>
                <w:szCs w:val="13"/>
                <w:color w:val="auto"/>
              </w:rPr>
              <w:t>50,979</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57</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3"/>
                <w:szCs w:val="13"/>
                <w:color w:val="auto"/>
              </w:rPr>
              <w:t>(11,515 )</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3"/>
                <w:szCs w:val="13"/>
                <w:color w:val="auto"/>
              </w:rPr>
              <w:t>112,600</w:t>
            </w: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3"/>
                <w:szCs w:val="13"/>
                <w:color w:val="auto"/>
              </w:rPr>
              <w:t>110</w:t>
            </w:r>
          </w:p>
        </w:tc>
        <w:tc>
          <w:tcPr>
            <w:tcW w:w="2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3"/>
                <w:szCs w:val="13"/>
                <w:color w:val="auto"/>
              </w:rPr>
              <w:t>(14,815 )</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3"/>
                <w:szCs w:val="13"/>
                <w:color w:val="auto"/>
              </w:rPr>
              <w:t>163,579</w:t>
            </w:r>
          </w:p>
        </w:tc>
        <w:tc>
          <w:tcPr>
            <w:tcW w:w="0" w:type="dxa"/>
            <w:vAlign w:val="bottom"/>
          </w:tcPr>
          <w:p>
            <w:pPr>
              <w:spacing w:after="0"/>
              <w:rPr>
                <w:sz w:val="1"/>
                <w:szCs w:val="1"/>
                <w:color w:val="auto"/>
              </w:rPr>
            </w:pPr>
          </w:p>
        </w:tc>
      </w:tr>
      <w:tr>
        <w:trPr>
          <w:trHeight w:val="161"/>
        </w:trPr>
        <w:tc>
          <w:tcPr>
            <w:tcW w:w="264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Held-to-Maturity Portfolio</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US Treasury, agencies and GSE's</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w:t>
            </w:r>
          </w:p>
        </w:tc>
        <w:tc>
          <w:tcPr>
            <w:tcW w:w="2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(280 )</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3,573</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134"/>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w:t>
            </w:r>
          </w:p>
        </w:tc>
        <w:tc>
          <w:tcPr>
            <w:tcW w:w="2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(280 )</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3,573</w:t>
            </w:r>
          </w:p>
        </w:tc>
        <w:tc>
          <w:tcPr>
            <w:tcW w:w="0" w:type="dxa"/>
            <w:vAlign w:val="bottom"/>
          </w:tcPr>
          <w:p>
            <w:pPr>
              <w:spacing w:after="0"/>
              <w:rPr>
                <w:sz w:val="1"/>
                <w:szCs w:val="1"/>
                <w:color w:val="auto"/>
              </w:rPr>
            </w:pPr>
          </w:p>
        </w:tc>
      </w:tr>
      <w:tr>
        <w:trPr>
          <w:trHeight w:val="170"/>
        </w:trPr>
        <w:tc>
          <w:tcPr>
            <w:tcW w:w="2640" w:type="dxa"/>
            <w:vAlign w:val="bottom"/>
          </w:tcPr>
          <w:p>
            <w:pPr>
              <w:ind w:left="20"/>
              <w:spacing w:after="0"/>
              <w:rPr>
                <w:sz w:val="20"/>
                <w:szCs w:val="20"/>
                <w:color w:val="auto"/>
              </w:rPr>
            </w:pPr>
            <w:r>
              <w:rPr>
                <w:rFonts w:ascii="Arial" w:cs="Arial" w:eastAsia="Arial" w:hAnsi="Arial"/>
                <w:sz w:val="13"/>
                <w:szCs w:val="13"/>
                <w:color w:val="auto"/>
              </w:rPr>
              <w:t>State and political subdivisions</w:t>
            </w:r>
          </w:p>
        </w:tc>
        <w:tc>
          <w:tcPr>
            <w:tcW w:w="860" w:type="dxa"/>
            <w:vAlign w:val="bottom"/>
            <w:vMerge w:val="restart"/>
          </w:tcPr>
          <w:p>
            <w:pPr>
              <w:jc w:val="right"/>
              <w:ind w:right="54"/>
              <w:spacing w:after="0"/>
              <w:rPr>
                <w:sz w:val="20"/>
                <w:szCs w:val="20"/>
                <w:color w:val="auto"/>
              </w:rPr>
            </w:pPr>
            <w:r>
              <w:rPr>
                <w:rFonts w:ascii="Arial" w:cs="Arial" w:eastAsia="Arial" w:hAnsi="Arial"/>
                <w:sz w:val="13"/>
                <w:szCs w:val="13"/>
                <w:color w:val="auto"/>
              </w:rPr>
              <w:t>7</w:t>
            </w:r>
          </w:p>
        </w:tc>
        <w:tc>
          <w:tcPr>
            <w:tcW w:w="280" w:type="dxa"/>
            <w:vAlign w:val="bottom"/>
            <w:vMerge w:val="restart"/>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14"/>
              <w:spacing w:after="0"/>
              <w:rPr>
                <w:sz w:val="20"/>
                <w:szCs w:val="20"/>
                <w:color w:val="auto"/>
              </w:rPr>
            </w:pPr>
            <w:r>
              <w:rPr>
                <w:rFonts w:ascii="Arial" w:cs="Arial" w:eastAsia="Arial" w:hAnsi="Arial"/>
                <w:sz w:val="13"/>
                <w:szCs w:val="13"/>
                <w:color w:val="auto"/>
              </w:rPr>
              <w:t>(871 )</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ind w:right="94"/>
              <w:spacing w:after="0"/>
              <w:rPr>
                <w:sz w:val="20"/>
                <w:szCs w:val="20"/>
                <w:color w:val="auto"/>
              </w:rPr>
            </w:pPr>
            <w:r>
              <w:rPr>
                <w:rFonts w:ascii="Arial" w:cs="Arial" w:eastAsia="Arial" w:hAnsi="Arial"/>
                <w:sz w:val="13"/>
                <w:szCs w:val="13"/>
                <w:color w:val="auto"/>
              </w:rPr>
              <w:t>7,277</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74"/>
              <w:spacing w:after="0"/>
              <w:rPr>
                <w:sz w:val="20"/>
                <w:szCs w:val="20"/>
                <w:color w:val="auto"/>
              </w:rPr>
            </w:pPr>
            <w:r>
              <w:rPr>
                <w:rFonts w:ascii="Arial" w:cs="Arial" w:eastAsia="Arial" w:hAnsi="Arial"/>
                <w:sz w:val="13"/>
                <w:szCs w:val="13"/>
                <w:color w:val="auto"/>
              </w:rPr>
              <w:t>(1,469 )</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94"/>
              <w:spacing w:after="0"/>
              <w:rPr>
                <w:sz w:val="20"/>
                <w:szCs w:val="20"/>
                <w:color w:val="auto"/>
              </w:rPr>
            </w:pPr>
            <w:r>
              <w:rPr>
                <w:rFonts w:ascii="Arial" w:cs="Arial" w:eastAsia="Arial" w:hAnsi="Arial"/>
                <w:sz w:val="13"/>
                <w:szCs w:val="13"/>
                <w:color w:val="auto"/>
              </w:rPr>
              <w:t>5,077</w:t>
            </w:r>
          </w:p>
        </w:tc>
        <w:tc>
          <w:tcPr>
            <w:tcW w:w="860" w:type="dxa"/>
            <w:vAlign w:val="bottom"/>
            <w:vMerge w:val="restart"/>
          </w:tcPr>
          <w:p>
            <w:pPr>
              <w:jc w:val="right"/>
              <w:ind w:right="34"/>
              <w:spacing w:after="0"/>
              <w:rPr>
                <w:sz w:val="20"/>
                <w:szCs w:val="20"/>
                <w:color w:val="auto"/>
              </w:rPr>
            </w:pPr>
            <w:r>
              <w:rPr>
                <w:rFonts w:ascii="Arial" w:cs="Arial" w:eastAsia="Arial" w:hAnsi="Arial"/>
                <w:sz w:val="13"/>
                <w:szCs w:val="13"/>
                <w:color w:val="auto"/>
              </w:rPr>
              <w:t>14</w:t>
            </w:r>
          </w:p>
        </w:tc>
        <w:tc>
          <w:tcPr>
            <w:tcW w:w="220" w:type="dxa"/>
            <w:vAlign w:val="bottom"/>
            <w:vMerge w:val="restart"/>
          </w:tcPr>
          <w:p>
            <w:pPr>
              <w:ind w:left="12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14"/>
              <w:spacing w:after="0"/>
              <w:rPr>
                <w:sz w:val="20"/>
                <w:szCs w:val="20"/>
                <w:color w:val="auto"/>
              </w:rPr>
            </w:pPr>
            <w:r>
              <w:rPr>
                <w:rFonts w:ascii="Arial" w:cs="Arial" w:eastAsia="Arial" w:hAnsi="Arial"/>
                <w:sz w:val="13"/>
                <w:szCs w:val="13"/>
                <w:color w:val="auto"/>
              </w:rPr>
              <w:t>(2,340 )</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34"/>
              <w:spacing w:after="0"/>
              <w:rPr>
                <w:sz w:val="20"/>
                <w:szCs w:val="20"/>
                <w:color w:val="auto"/>
              </w:rPr>
            </w:pPr>
            <w:r>
              <w:rPr>
                <w:rFonts w:ascii="Arial" w:cs="Arial" w:eastAsia="Arial" w:hAnsi="Arial"/>
                <w:sz w:val="13"/>
                <w:szCs w:val="13"/>
                <w:color w:val="auto"/>
              </w:rPr>
              <w:t>12,354</w:t>
            </w:r>
          </w:p>
        </w:tc>
        <w:tc>
          <w:tcPr>
            <w:tcW w:w="0" w:type="dxa"/>
            <w:vAlign w:val="bottom"/>
          </w:tcPr>
          <w:p>
            <w:pPr>
              <w:spacing w:after="0"/>
              <w:rPr>
                <w:sz w:val="1"/>
                <w:szCs w:val="1"/>
                <w:color w:val="auto"/>
              </w:rPr>
            </w:pPr>
          </w:p>
        </w:tc>
      </w:tr>
      <w:tr>
        <w:trPr>
          <w:trHeight w:val="125"/>
        </w:trPr>
        <w:tc>
          <w:tcPr>
            <w:tcW w:w="26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Corporate</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31</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(1,786 )</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29,213</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3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74"/>
              <w:spacing w:after="0"/>
              <w:rPr>
                <w:sz w:val="20"/>
                <w:szCs w:val="20"/>
                <w:color w:val="auto"/>
              </w:rPr>
            </w:pPr>
            <w:r>
              <w:rPr>
                <w:rFonts w:ascii="Arial" w:cs="Arial" w:eastAsia="Arial" w:hAnsi="Arial"/>
                <w:sz w:val="13"/>
                <w:szCs w:val="13"/>
                <w:color w:val="auto"/>
              </w:rPr>
              <w:t>(800 )</w:t>
            </w: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6,803</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40</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(2,586 )</w:t>
            </w: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36,016</w:t>
            </w: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rPr>
                <w:sz w:val="20"/>
                <w:szCs w:val="20"/>
                <w:color w:val="auto"/>
              </w:rPr>
            </w:pPr>
            <w:r>
              <w:rPr>
                <w:rFonts w:ascii="Arial" w:cs="Arial" w:eastAsia="Arial" w:hAnsi="Arial"/>
                <w:sz w:val="13"/>
                <w:szCs w:val="13"/>
                <w:color w:val="auto"/>
              </w:rPr>
              <w:t>Asset backed securities</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6</w:t>
            </w:r>
          </w:p>
        </w:tc>
        <w:tc>
          <w:tcPr>
            <w:tcW w:w="280" w:type="dxa"/>
            <w:vAlign w:val="bottom"/>
          </w:tcPr>
          <w:p>
            <w:pPr>
              <w:spacing w:after="0"/>
              <w:rPr>
                <w:sz w:val="15"/>
                <w:szCs w:val="15"/>
                <w:color w:val="auto"/>
              </w:rPr>
            </w:pP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(625 )</w:t>
            </w:r>
          </w:p>
        </w:tc>
        <w:tc>
          <w:tcPr>
            <w:tcW w:w="22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9,742</w:t>
            </w: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340" w:type="dxa"/>
            <w:vAlign w:val="bottom"/>
          </w:tcPr>
          <w:p>
            <w:pPr>
              <w:spacing w:after="0"/>
              <w:rPr>
                <w:sz w:val="15"/>
                <w:szCs w:val="15"/>
                <w:color w:val="auto"/>
              </w:rPr>
            </w:pPr>
          </w:p>
        </w:tc>
        <w:tc>
          <w:tcPr>
            <w:tcW w:w="720" w:type="dxa"/>
            <w:vAlign w:val="bottom"/>
          </w:tcPr>
          <w:p>
            <w:pPr>
              <w:jc w:val="right"/>
              <w:ind w:right="74"/>
              <w:spacing w:after="0"/>
              <w:rPr>
                <w:sz w:val="20"/>
                <w:szCs w:val="20"/>
                <w:color w:val="auto"/>
              </w:rPr>
            </w:pPr>
            <w:r>
              <w:rPr>
                <w:rFonts w:ascii="Arial" w:cs="Arial" w:eastAsia="Arial" w:hAnsi="Arial"/>
                <w:sz w:val="13"/>
                <w:szCs w:val="13"/>
                <w:color w:val="auto"/>
              </w:rPr>
              <w:t>(666 )</w:t>
            </w:r>
          </w:p>
        </w:tc>
        <w:tc>
          <w:tcPr>
            <w:tcW w:w="140" w:type="dxa"/>
            <w:vAlign w:val="bottom"/>
          </w:tcPr>
          <w:p>
            <w:pPr>
              <w:spacing w:after="0"/>
              <w:rPr>
                <w:sz w:val="15"/>
                <w:szCs w:val="15"/>
                <w:color w:val="auto"/>
              </w:rPr>
            </w:pPr>
          </w:p>
        </w:tc>
        <w:tc>
          <w:tcPr>
            <w:tcW w:w="680" w:type="dxa"/>
            <w:vAlign w:val="bottom"/>
          </w:tcPr>
          <w:p>
            <w:pPr>
              <w:jc w:val="right"/>
              <w:ind w:right="94"/>
              <w:spacing w:after="0"/>
              <w:rPr>
                <w:sz w:val="20"/>
                <w:szCs w:val="20"/>
                <w:color w:val="auto"/>
              </w:rPr>
            </w:pPr>
            <w:r>
              <w:rPr>
                <w:rFonts w:ascii="Arial" w:cs="Arial" w:eastAsia="Arial" w:hAnsi="Arial"/>
                <w:sz w:val="13"/>
                <w:szCs w:val="13"/>
                <w:color w:val="auto"/>
              </w:rPr>
              <w:t>3,674</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9</w:t>
            </w:r>
          </w:p>
        </w:tc>
        <w:tc>
          <w:tcPr>
            <w:tcW w:w="220" w:type="dxa"/>
            <w:vAlign w:val="bottom"/>
          </w:tcPr>
          <w:p>
            <w:pPr>
              <w:spacing w:after="0"/>
              <w:rPr>
                <w:sz w:val="15"/>
                <w:szCs w:val="15"/>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(1,291 )</w:t>
            </w:r>
          </w:p>
        </w:tc>
        <w:tc>
          <w:tcPr>
            <w:tcW w:w="180" w:type="dxa"/>
            <w:vAlign w:val="bottom"/>
          </w:tcPr>
          <w:p>
            <w:pPr>
              <w:spacing w:after="0"/>
              <w:rPr>
                <w:sz w:val="15"/>
                <w:szCs w:val="15"/>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13,416</w:t>
            </w:r>
          </w:p>
        </w:tc>
        <w:tc>
          <w:tcPr>
            <w:tcW w:w="0" w:type="dxa"/>
            <w:vAlign w:val="bottom"/>
          </w:tcPr>
          <w:p>
            <w:pPr>
              <w:spacing w:after="0"/>
              <w:rPr>
                <w:sz w:val="1"/>
                <w:szCs w:val="1"/>
                <w:color w:val="auto"/>
              </w:rPr>
            </w:pPr>
          </w:p>
        </w:tc>
      </w:tr>
      <w:tr>
        <w:trPr>
          <w:trHeight w:val="185"/>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Residential mortgage-backed - US agency</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10</w:t>
            </w: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(736 )</w:t>
            </w: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6,577</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3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74"/>
              <w:spacing w:after="0"/>
              <w:rPr>
                <w:sz w:val="20"/>
                <w:szCs w:val="20"/>
                <w:color w:val="auto"/>
              </w:rPr>
            </w:pPr>
            <w:r>
              <w:rPr>
                <w:rFonts w:ascii="Arial" w:cs="Arial" w:eastAsia="Arial" w:hAnsi="Arial"/>
                <w:sz w:val="13"/>
                <w:szCs w:val="13"/>
                <w:color w:val="auto"/>
              </w:rPr>
              <w:t>(3 )</w:t>
            </w: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107</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11</w:t>
            </w: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(739 )</w:t>
            </w: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6,684</w:t>
            </w:r>
          </w:p>
        </w:tc>
        <w:tc>
          <w:tcPr>
            <w:tcW w:w="0" w:type="dxa"/>
            <w:vAlign w:val="bottom"/>
          </w:tcPr>
          <w:p>
            <w:pPr>
              <w:spacing w:after="0"/>
              <w:rPr>
                <w:sz w:val="1"/>
                <w:szCs w:val="1"/>
                <w:color w:val="auto"/>
              </w:rPr>
            </w:pPr>
          </w:p>
        </w:tc>
      </w:tr>
      <w:tr>
        <w:trPr>
          <w:trHeight w:val="161"/>
        </w:trPr>
        <w:tc>
          <w:tcPr>
            <w:tcW w:w="2640" w:type="dxa"/>
            <w:vAlign w:val="bottom"/>
          </w:tcPr>
          <w:p>
            <w:pPr>
              <w:ind w:left="20"/>
              <w:spacing w:after="0"/>
              <w:rPr>
                <w:sz w:val="20"/>
                <w:szCs w:val="20"/>
                <w:color w:val="auto"/>
              </w:rPr>
            </w:pPr>
            <w:r>
              <w:rPr>
                <w:rFonts w:ascii="Arial" w:cs="Arial" w:eastAsia="Arial" w:hAnsi="Arial"/>
                <w:sz w:val="13"/>
                <w:szCs w:val="13"/>
                <w:color w:val="auto"/>
              </w:rPr>
              <w:t>Collateralized mortgage obligations - US</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40" w:type="dxa"/>
            <w:vAlign w:val="bottom"/>
          </w:tcPr>
          <w:p>
            <w:pPr>
              <w:ind w:left="20"/>
              <w:spacing w:after="0"/>
              <w:rPr>
                <w:sz w:val="20"/>
                <w:szCs w:val="20"/>
                <w:color w:val="auto"/>
              </w:rPr>
            </w:pPr>
            <w:r>
              <w:rPr>
                <w:rFonts w:ascii="Arial" w:cs="Arial" w:eastAsia="Arial" w:hAnsi="Arial"/>
                <w:sz w:val="13"/>
                <w:szCs w:val="13"/>
                <w:color w:val="auto"/>
              </w:rPr>
              <w:t>agency</w:t>
            </w:r>
          </w:p>
        </w:tc>
        <w:tc>
          <w:tcPr>
            <w:tcW w:w="860" w:type="dxa"/>
            <w:vAlign w:val="bottom"/>
          </w:tcPr>
          <w:p>
            <w:pPr>
              <w:jc w:val="right"/>
              <w:ind w:right="54"/>
              <w:spacing w:after="0"/>
              <w:rPr>
                <w:sz w:val="20"/>
                <w:szCs w:val="20"/>
                <w:color w:val="auto"/>
              </w:rPr>
            </w:pPr>
            <w:r>
              <w:rPr>
                <w:rFonts w:ascii="Arial" w:cs="Arial" w:eastAsia="Arial" w:hAnsi="Arial"/>
                <w:sz w:val="13"/>
                <w:szCs w:val="13"/>
                <w:color w:val="auto"/>
              </w:rPr>
              <w:t>10</w:t>
            </w:r>
          </w:p>
        </w:tc>
        <w:tc>
          <w:tcPr>
            <w:tcW w:w="280" w:type="dxa"/>
            <w:vAlign w:val="bottom"/>
          </w:tcPr>
          <w:p>
            <w:pPr>
              <w:spacing w:after="0"/>
              <w:rPr>
                <w:sz w:val="14"/>
                <w:szCs w:val="14"/>
                <w:color w:val="auto"/>
              </w:rPr>
            </w:pP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(1,236 )</w:t>
            </w:r>
          </w:p>
        </w:tc>
        <w:tc>
          <w:tcPr>
            <w:tcW w:w="22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3"/>
                <w:szCs w:val="13"/>
                <w:color w:val="auto"/>
              </w:rPr>
              <w:t>12,965</w:t>
            </w: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340" w:type="dxa"/>
            <w:vAlign w:val="bottom"/>
          </w:tcPr>
          <w:p>
            <w:pPr>
              <w:spacing w:after="0"/>
              <w:rPr>
                <w:sz w:val="14"/>
                <w:szCs w:val="14"/>
                <w:color w:val="auto"/>
              </w:rPr>
            </w:pPr>
          </w:p>
        </w:tc>
        <w:tc>
          <w:tcPr>
            <w:tcW w:w="720" w:type="dxa"/>
            <w:vAlign w:val="bottom"/>
          </w:tcPr>
          <w:p>
            <w:pPr>
              <w:jc w:val="right"/>
              <w:ind w:right="74"/>
              <w:spacing w:after="0"/>
              <w:rPr>
                <w:sz w:val="20"/>
                <w:szCs w:val="20"/>
                <w:color w:val="auto"/>
              </w:rPr>
            </w:pPr>
            <w:r>
              <w:rPr>
                <w:rFonts w:ascii="Arial" w:cs="Arial" w:eastAsia="Arial" w:hAnsi="Arial"/>
                <w:sz w:val="13"/>
                <w:szCs w:val="13"/>
                <w:color w:val="auto"/>
              </w:rPr>
              <w:t>(15 )</w:t>
            </w:r>
          </w:p>
        </w:tc>
        <w:tc>
          <w:tcPr>
            <w:tcW w:w="140" w:type="dxa"/>
            <w:vAlign w:val="bottom"/>
          </w:tcPr>
          <w:p>
            <w:pPr>
              <w:spacing w:after="0"/>
              <w:rPr>
                <w:sz w:val="14"/>
                <w:szCs w:val="14"/>
                <w:color w:val="auto"/>
              </w:rPr>
            </w:pPr>
          </w:p>
        </w:tc>
        <w:tc>
          <w:tcPr>
            <w:tcW w:w="680" w:type="dxa"/>
            <w:vAlign w:val="bottom"/>
          </w:tcPr>
          <w:p>
            <w:pPr>
              <w:jc w:val="right"/>
              <w:ind w:right="94"/>
              <w:spacing w:after="0"/>
              <w:rPr>
                <w:sz w:val="20"/>
                <w:szCs w:val="20"/>
                <w:color w:val="auto"/>
              </w:rPr>
            </w:pPr>
            <w:r>
              <w:rPr>
                <w:rFonts w:ascii="Arial" w:cs="Arial" w:eastAsia="Arial" w:hAnsi="Arial"/>
                <w:sz w:val="13"/>
                <w:szCs w:val="13"/>
                <w:color w:val="auto"/>
              </w:rPr>
              <w:t>892</w:t>
            </w: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11</w:t>
            </w:r>
          </w:p>
        </w:tc>
        <w:tc>
          <w:tcPr>
            <w:tcW w:w="220" w:type="dxa"/>
            <w:vAlign w:val="bottom"/>
          </w:tcPr>
          <w:p>
            <w:pPr>
              <w:spacing w:after="0"/>
              <w:rPr>
                <w:sz w:val="14"/>
                <w:szCs w:val="14"/>
                <w:color w:val="auto"/>
              </w:rPr>
            </w:pPr>
          </w:p>
        </w:tc>
        <w:tc>
          <w:tcPr>
            <w:tcW w:w="680" w:type="dxa"/>
            <w:vAlign w:val="bottom"/>
          </w:tcPr>
          <w:p>
            <w:pPr>
              <w:jc w:val="right"/>
              <w:ind w:right="14"/>
              <w:spacing w:after="0"/>
              <w:rPr>
                <w:sz w:val="20"/>
                <w:szCs w:val="20"/>
                <w:color w:val="auto"/>
              </w:rPr>
            </w:pPr>
            <w:r>
              <w:rPr>
                <w:rFonts w:ascii="Arial" w:cs="Arial" w:eastAsia="Arial" w:hAnsi="Arial"/>
                <w:sz w:val="13"/>
                <w:szCs w:val="13"/>
                <w:color w:val="auto"/>
              </w:rPr>
              <w:t>(1,251 )</w:t>
            </w:r>
          </w:p>
        </w:tc>
        <w:tc>
          <w:tcPr>
            <w:tcW w:w="180" w:type="dxa"/>
            <w:vAlign w:val="bottom"/>
          </w:tcPr>
          <w:p>
            <w:pPr>
              <w:spacing w:after="0"/>
              <w:rPr>
                <w:sz w:val="14"/>
                <w:szCs w:val="14"/>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13,857</w:t>
            </w:r>
          </w:p>
        </w:tc>
        <w:tc>
          <w:tcPr>
            <w:tcW w:w="0" w:type="dxa"/>
            <w:vAlign w:val="bottom"/>
          </w:tcPr>
          <w:p>
            <w:pPr>
              <w:spacing w:after="0"/>
              <w:rPr>
                <w:sz w:val="1"/>
                <w:szCs w:val="1"/>
                <w:color w:val="auto"/>
              </w:rPr>
            </w:pPr>
          </w:p>
        </w:tc>
      </w:tr>
      <w:tr>
        <w:trPr>
          <w:trHeight w:val="166"/>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Collateralized mortgage obligations -</w:t>
            </w: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Private label</w:t>
            </w:r>
          </w:p>
        </w:tc>
        <w:tc>
          <w:tcPr>
            <w:tcW w:w="86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38</w:t>
            </w: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(2,719 )</w:t>
            </w: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58,061</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3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74"/>
              <w:spacing w:after="0"/>
              <w:rPr>
                <w:sz w:val="20"/>
                <w:szCs w:val="20"/>
                <w:color w:val="auto"/>
              </w:rPr>
            </w:pPr>
            <w:r>
              <w:rPr>
                <w:rFonts w:ascii="Arial" w:cs="Arial" w:eastAsia="Arial" w:hAnsi="Arial"/>
                <w:sz w:val="13"/>
                <w:szCs w:val="13"/>
                <w:color w:val="auto"/>
              </w:rPr>
              <w:t>(1,711 )</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12,532</w:t>
            </w:r>
          </w:p>
        </w:tc>
        <w:tc>
          <w:tcPr>
            <w:tcW w:w="8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46</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(4,430 )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70,593</w:t>
            </w:r>
          </w:p>
        </w:tc>
        <w:tc>
          <w:tcPr>
            <w:tcW w:w="0" w:type="dxa"/>
            <w:vAlign w:val="bottom"/>
          </w:tcPr>
          <w:p>
            <w:pPr>
              <w:spacing w:after="0"/>
              <w:rPr>
                <w:sz w:val="1"/>
                <w:szCs w:val="1"/>
                <w:color w:val="auto"/>
              </w:rPr>
            </w:pPr>
          </w:p>
        </w:tc>
      </w:tr>
      <w:tr>
        <w:trPr>
          <w:trHeight w:val="175"/>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Totals</w:t>
            </w: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104</w:t>
            </w:r>
          </w:p>
        </w:tc>
        <w:tc>
          <w:tcPr>
            <w:tcW w:w="2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(8,253 )</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w w:val="97"/>
              </w:rPr>
              <w:t>127,408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color w:val="auto"/>
              </w:rPr>
              <w:t>(4,664 )</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29,085</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133</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(12,917 )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156,493</w:t>
            </w:r>
          </w:p>
        </w:tc>
        <w:tc>
          <w:tcPr>
            <w:tcW w:w="0" w:type="dxa"/>
            <w:vAlign w:val="bottom"/>
          </w:tcPr>
          <w:p>
            <w:pPr>
              <w:spacing w:after="0"/>
              <w:rPr>
                <w:sz w:val="1"/>
                <w:szCs w:val="1"/>
                <w:color w:val="auto"/>
              </w:rPr>
            </w:pPr>
          </w:p>
        </w:tc>
      </w:tr>
      <w:tr>
        <w:trPr>
          <w:trHeight w:val="20"/>
        </w:trPr>
        <w:tc>
          <w:tcPr>
            <w:tcW w:w="2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Excluding the effects of changes in the characteristics of individual debt securities that potentially give rise to credit losses, as described below, the fair market value of a debt security as of a particular measurement date is highly dependent upon prevailing market and economic environmental factors at the measurement date relative to the prevailing market and economic environmental factors present at the time the debt security was acquired. The most significant market and environmental factors include, but are not limited to (1) the general level of interest rates, (2) the relationship between shorter-term interest rates and longer-term interest rates (referred to as the “slope” or "shape" of the interest rate yield curve),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15</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87" w:right="680" w:bottom="1440" w:gutter="0" w:footer="0" w:header="0"/>
        </w:sectPr>
      </w:pPr>
    </w:p>
    <w:bookmarkStart w:id="15" w:name="page16"/>
    <w:bookmarkEnd w:id="15"/>
    <w:p>
      <w:pPr>
        <w:ind w:firstLine="6"/>
        <w:spacing w:after="0" w:line="253"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bond market liquidity, (4) the recent and expected near-term volume of new issuances of similar debt securities, and (5) changes in the market values of individual loan collateral underlying mortgage-backed an asset-backed debt securities. Changes in interest rates affect the fair market values of debt securities by influencing the discount rate applied to the securities’ future expected cash flows. The higher the discount rate, the lower the resultant security fair value at the measurement date. Conversely, the lower the discount rate, the higher the resultant security fair value at the measurement date. In addition, the cumulative amount and timing of undiscounted cash flows of debt securities may also be affected by changes in interest rates. For any given level of movement in the general market and economic environmental factors described above, the magnitude of any particular debt security’s price changes will also depend heavily upon security-specific factors such as (1) the duration of the security, (2) imbedded optionality contractually granted to the issuer of the security with respect to principal prepayments, and (3) changes in the level of market premiums demanded by investors for securities with imbedded credit risk (where applicable).</w:t>
      </w:r>
    </w:p>
    <w:p>
      <w:pPr>
        <w:spacing w:after="0" w:line="26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When the fair value of any individual security categorized as available-for-sale ("AFS") or held-to-maturity ("HTM") is less than its amortized cost basis, an assessment is made as to whether or not a charge to current earnings for credit loss is required. In assessing potential credit losses, management also makes a quantitative determination of potential credit loss for all HTM securities even if the risk of credit loss is considered remote and uses a best estimate threshold for securities categorized as AFS. The Company considers numerous factors when determining whether a potential credit loss exists. The principal factors considered are</w:t>
      </w:r>
    </w:p>
    <w:p>
      <w:pPr>
        <w:spacing w:after="0" w:line="1" w:lineRule="exact"/>
        <w:rPr>
          <w:sz w:val="20"/>
          <w:szCs w:val="20"/>
          <w:color w:val="auto"/>
        </w:rPr>
      </w:pPr>
    </w:p>
    <w:p>
      <w:pPr>
        <w:ind w:right="160" w:firstLine="6"/>
        <w:spacing w:after="0" w:line="254"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condition of the issue and (guarantor, if any) any adverse conditions specifically related to the security, industry or geographic area, (2) failure of the issuer of the security to make scheduled interest or principal payments, (3) any changes to the rating of the security by a nationally recognized statistical rating organization (“NRSRO”), and (4) the presence of contractual credit enhancements, if any, including the guarantee of the federal government or any of its agencies.</w:t>
      </w:r>
    </w:p>
    <w:p>
      <w:pPr>
        <w:spacing w:after="0" w:line="2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carries all of its AFS investments at fair value with any unrealized gains or losses reported, net of income tax effects, as an adjustment to shareholders' equity and included in accumulated other comprehensive income (loss), except for the credit-related portion of debt securities’ impairment losses, if any, which are charged to earnings. The Company's ability to fully realize the value of its investments in various securities, including corporate debt securities, is dependent on the underlying creditworthiness of the issuing organization. In evaluating the debt securities portfolio (both AFS and HTM) for credit losses, management considers (1) if we intend to sell the security; (2) if it is “more likely than not” we will be required to sell the security before recovery of its amortized cost basis; or (3) if the present value of expected cash flows is insufficient to recover the entire amortized cost basis.</w:t>
      </w:r>
    </w:p>
    <w:p>
      <w:pPr>
        <w:spacing w:after="0" w:line="24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portion of the investment securities portfolio, categorized as AFS, with an aggregate amortized historical cost of $198.7 million, had an aggregate fair value that was less than its aggregate amortized historical cost by $13.7 million, or -6.9%, at June 30, 2023. The AFS securities portfolio, with an aggregate amortized historical cost of $205.4 million, had an aggregate fair value that was less than its aggregate amortized historical cost by $14.8 million, or -7.2%, at December 31, 2022. The resultant $1.1 million total improvement in the fair value of the AFS investment portfolio's aggregate fair value relative to its aggregate amortized historical cost, in the six months ended June 30, 2023, was primarily due to changes in the interest rate environment (the general interest rate level and the relationships between shorter-term and longer-term interest rates, known as the 'yield curve') that occurred in that period. These changes in aggregate fair value relative to aggregate amortized historical cost that occurred in the six months ended June 30, 2023 did not represent any changes in credit loss estimations within the portfolio. Management evaluated the individual securities within the AFS securities portfolio and determined that there was no material credit loss in that portfolio at the adoption date of the CECL methodology on January 1, 2023 or at the reporting date of June 30, 2023. Accordingly, no transition adjustment related to the adoption of ASU 2016-13 was recorded on January 1, 2023 and no impairment charges related to this portfolio were taken in the three and six months ended June 30, 2023.</w:t>
      </w:r>
    </w:p>
    <w:p>
      <w:pPr>
        <w:spacing w:after="0" w:line="22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portion of the investment securities portfolio, categorized as HTM, with an aggregate amortized historical cost of $195.9 million, had an aggregate fair value that was less than its aggregate amortized historical cost by $14.6 million, or -7.4%, at June 30, 2023. The portion of the investment securities portfolio, categorized as HTM, with an aggregate amortized historical cost of $194.4 million, had an aggregate fair value that was less than its aggregate amortized historical cost by $12.9 million, or -6.6%, at December 31, 2023. The resultant $1.6 million reduction in the aggregate fair value of the HTM investment portfolio, relative to its aggregate amortized historical cost, during the six months ended June 30, 2023, was primarily due to changes in the interest rate environment (the general interest rate level and the relationships between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16</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887" w:right="700" w:bottom="1440" w:gutter="0" w:footer="0" w:header="0"/>
        </w:sectPr>
      </w:pPr>
    </w:p>
    <w:bookmarkStart w:id="16" w:name="page17"/>
    <w:bookmarkEnd w:id="16"/>
    <w:p>
      <w:pPr>
        <w:ind w:right="60"/>
        <w:spacing w:after="0" w:line="259" w:lineRule="auto"/>
        <w:rPr>
          <w:sz w:val="20"/>
          <w:szCs w:val="20"/>
          <w:color w:val="auto"/>
        </w:rPr>
      </w:pPr>
      <w:r>
        <w:rPr>
          <w:rFonts w:ascii="Arial" w:cs="Arial" w:eastAsia="Arial" w:hAnsi="Arial"/>
          <w:sz w:val="18"/>
          <w:szCs w:val="18"/>
          <w:color w:val="auto"/>
        </w:rPr>
        <w:t>shorter-term and longer-term interest rates, known as the 'yield curve') that occurred in that period. These changes in aggregate fair value relative to aggregate amortized historical cost that occurred in the six months ended June 30, 2023 did not represent any changes in credit loss estimations within the portfolio. The Company does not intend to sell these securities, nor is it more likely than not that the Company will be required to sell these securities prior to the recovery of the amortized cost.</w:t>
      </w:r>
    </w:p>
    <w:p>
      <w:pPr>
        <w:spacing w:after="0" w:line="21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a result of the Company's adoption of ASU 2016-13, the Company established a reserve against the recorded aggregate value of the HTM investment securities portfolio in the amount of $450,000 at January 1, 2023. The reserve was determined using a discounted probability of default ("PD") - loss given default ("LGD") model consistent with the methodologies used to calculate the Company's allowance for credit losses ("ACL"). This calculation, applied in the second quarter of 2023, resulted in a $29,000 reduction the allowance for credit losses to $ 421,000 at June 30, 2023, reflected as a reduction to the total periodic provision for credit losses recorded in the second quarter of 2023, related to the portion of the investment securities portfolio categorized as HTM.</w:t>
      </w:r>
    </w:p>
    <w:p>
      <w:pPr>
        <w:spacing w:after="0" w:line="17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The following table depicts a rollforward of the allowance for credit losses on investment securities classified as held-to-maturity for the three months ended June 30,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17"/>
              <w:spacing w:after="0"/>
              <w:rPr>
                <w:sz w:val="20"/>
                <w:szCs w:val="20"/>
                <w:color w:val="auto"/>
              </w:rPr>
            </w:pPr>
            <w:r>
              <w:rPr>
                <w:rFonts w:ascii="Arial" w:cs="Arial" w:eastAsia="Arial" w:hAnsi="Arial"/>
                <w:sz w:val="18"/>
                <w:szCs w:val="18"/>
                <w:color w:val="auto"/>
              </w:rPr>
              <w:t>Securities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Government Issued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17"/>
              <w:spacing w:after="0"/>
              <w:rPr>
                <w:sz w:val="20"/>
                <w:szCs w:val="20"/>
                <w:color w:val="auto"/>
              </w:rPr>
            </w:pPr>
            <w:r>
              <w:rPr>
                <w:rFonts w:ascii="Arial" w:cs="Arial" w:eastAsia="Arial" w:hAnsi="Arial"/>
                <w:sz w:val="18"/>
                <w:szCs w:val="18"/>
                <w:color w:val="auto"/>
              </w:rPr>
              <w:t>Issued By</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and Government</w:t>
            </w:r>
          </w:p>
        </w:tc>
        <w:tc>
          <w:tcPr>
            <w:tcW w:w="12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rPr>
              <w:t>Mortgage and</w:t>
            </w:r>
          </w:p>
        </w:tc>
        <w:tc>
          <w:tcPr>
            <w:tcW w:w="160" w:type="dxa"/>
            <w:vAlign w:val="bottom"/>
          </w:tcPr>
          <w:p>
            <w:pPr>
              <w:spacing w:after="0"/>
              <w:rPr>
                <w:sz w:val="18"/>
                <w:szCs w:val="18"/>
                <w:color w:val="auto"/>
              </w:rPr>
            </w:pPr>
          </w:p>
        </w:tc>
        <w:tc>
          <w:tcPr>
            <w:tcW w:w="1080" w:type="dxa"/>
            <w:vAlign w:val="bottom"/>
          </w:tcPr>
          <w:p>
            <w:pPr>
              <w:jc w:val="center"/>
              <w:ind w:right="117"/>
              <w:spacing w:after="0"/>
              <w:rPr>
                <w:sz w:val="20"/>
                <w:szCs w:val="20"/>
                <w:color w:val="auto"/>
              </w:rPr>
            </w:pPr>
            <w:r>
              <w:rPr>
                <w:rFonts w:ascii="Arial" w:cs="Arial" w:eastAsia="Arial" w:hAnsi="Arial"/>
                <w:sz w:val="18"/>
                <w:szCs w:val="18"/>
                <w:color w:val="auto"/>
                <w:w w:val="98"/>
              </w:rPr>
              <w:t>State and</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8"/>
              </w:rPr>
              <w:t>Sponsored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119"/>
              <w:spacing w:after="0"/>
              <w:rPr>
                <w:sz w:val="20"/>
                <w:szCs w:val="20"/>
                <w:color w:val="auto"/>
              </w:rPr>
            </w:pPr>
            <w:r>
              <w:rPr>
                <w:rFonts w:ascii="Arial" w:cs="Arial" w:eastAsia="Arial" w:hAnsi="Arial"/>
                <w:sz w:val="18"/>
                <w:szCs w:val="18"/>
                <w:color w:val="auto"/>
              </w:rPr>
              <w:t>Asset-backed</w:t>
            </w:r>
          </w:p>
        </w:tc>
        <w:tc>
          <w:tcPr>
            <w:tcW w:w="160" w:type="dxa"/>
            <w:vAlign w:val="bottom"/>
          </w:tcPr>
          <w:p>
            <w:pPr>
              <w:spacing w:after="0"/>
              <w:rPr>
                <w:sz w:val="18"/>
                <w:szCs w:val="18"/>
                <w:color w:val="auto"/>
              </w:rPr>
            </w:pPr>
          </w:p>
        </w:tc>
        <w:tc>
          <w:tcPr>
            <w:tcW w:w="1080" w:type="dxa"/>
            <w:vAlign w:val="bottom"/>
          </w:tcPr>
          <w:p>
            <w:pPr>
              <w:jc w:val="center"/>
              <w:ind w:right="137"/>
              <w:spacing w:after="0"/>
              <w:rPr>
                <w:sz w:val="20"/>
                <w:szCs w:val="20"/>
                <w:color w:val="auto"/>
              </w:rPr>
            </w:pPr>
            <w:r>
              <w:rPr>
                <w:rFonts w:ascii="Arial" w:cs="Arial" w:eastAsia="Arial" w:hAnsi="Arial"/>
                <w:sz w:val="18"/>
                <w:szCs w:val="18"/>
                <w:color w:val="auto"/>
                <w:w w:val="99"/>
              </w:rPr>
              <w:t>Political</w:t>
            </w:r>
          </w:p>
        </w:tc>
        <w:tc>
          <w:tcPr>
            <w:tcW w:w="260" w:type="dxa"/>
            <w:vAlign w:val="bottom"/>
          </w:tcPr>
          <w:p>
            <w:pPr>
              <w:spacing w:after="0"/>
              <w:rPr>
                <w:sz w:val="18"/>
                <w:szCs w:val="18"/>
                <w:color w:val="auto"/>
              </w:rPr>
            </w:pPr>
          </w:p>
        </w:tc>
        <w:tc>
          <w:tcPr>
            <w:tcW w:w="1280" w:type="dxa"/>
            <w:vAlign w:val="bottom"/>
          </w:tcPr>
          <w:p>
            <w:pPr>
              <w:jc w:val="right"/>
              <w:ind w:right="299"/>
              <w:spacing w:after="0"/>
              <w:rPr>
                <w:sz w:val="20"/>
                <w:szCs w:val="20"/>
                <w:color w:val="auto"/>
              </w:rPr>
            </w:pPr>
            <w:r>
              <w:rPr>
                <w:rFonts w:ascii="Arial" w:cs="Arial" w:eastAsia="Arial" w:hAnsi="Arial"/>
                <w:sz w:val="18"/>
                <w:szCs w:val="18"/>
                <w:color w:val="auto"/>
              </w:rPr>
              <w:t>Corporate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3"/>
        </w:trPr>
        <w:tc>
          <w:tcPr>
            <w:tcW w:w="31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780" w:type="dxa"/>
            <w:vAlign w:val="bottom"/>
            <w:gridSpan w:val="2"/>
          </w:tcPr>
          <w:p>
            <w:pPr>
              <w:jc w:val="center"/>
              <w:spacing w:after="0"/>
              <w:rPr>
                <w:sz w:val="20"/>
                <w:szCs w:val="20"/>
                <w:color w:val="auto"/>
              </w:rPr>
            </w:pPr>
            <w:r>
              <w:rPr>
                <w:rFonts w:ascii="Arial" w:cs="Arial" w:eastAsia="Arial" w:hAnsi="Arial"/>
                <w:sz w:val="18"/>
                <w:szCs w:val="18"/>
                <w:color w:val="auto"/>
                <w:w w:val="99"/>
              </w:rPr>
              <w:t>Enterprise Securities</w:t>
            </w:r>
          </w:p>
        </w:tc>
        <w:tc>
          <w:tcPr>
            <w:tcW w:w="140" w:type="dxa"/>
            <w:vAlign w:val="bottom"/>
          </w:tcPr>
          <w:p>
            <w:pPr>
              <w:spacing w:after="0"/>
              <w:rPr>
                <w:sz w:val="20"/>
                <w:szCs w:val="20"/>
                <w:color w:val="auto"/>
              </w:rPr>
            </w:pPr>
          </w:p>
        </w:tc>
        <w:tc>
          <w:tcPr>
            <w:tcW w:w="1300" w:type="dxa"/>
            <w:vAlign w:val="bottom"/>
          </w:tcPr>
          <w:p>
            <w:pPr>
              <w:jc w:val="center"/>
              <w:ind w:right="119"/>
              <w:spacing w:after="0"/>
              <w:rPr>
                <w:sz w:val="20"/>
                <w:szCs w:val="20"/>
                <w:color w:val="auto"/>
              </w:rPr>
            </w:pPr>
            <w:r>
              <w:rPr>
                <w:rFonts w:ascii="Arial" w:cs="Arial" w:eastAsia="Arial" w:hAnsi="Arial"/>
                <w:sz w:val="18"/>
                <w:szCs w:val="18"/>
                <w:color w:val="auto"/>
                <w:w w:val="98"/>
              </w:rPr>
              <w:t>Securities</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8"/>
              </w:rPr>
              <w:t>Subdivisions</w:t>
            </w:r>
          </w:p>
        </w:tc>
        <w:tc>
          <w:tcPr>
            <w:tcW w:w="260" w:type="dxa"/>
            <w:vAlign w:val="bottom"/>
          </w:tcPr>
          <w:p>
            <w:pPr>
              <w:spacing w:after="0"/>
              <w:rPr>
                <w:sz w:val="20"/>
                <w:szCs w:val="20"/>
                <w:color w:val="auto"/>
              </w:rPr>
            </w:pPr>
          </w:p>
        </w:tc>
        <w:tc>
          <w:tcPr>
            <w:tcW w:w="1280" w:type="dxa"/>
            <w:vAlign w:val="bottom"/>
          </w:tcPr>
          <w:p>
            <w:pPr>
              <w:jc w:val="right"/>
              <w:ind w:right="299"/>
              <w:spacing w:after="0"/>
              <w:rPr>
                <w:sz w:val="20"/>
                <w:szCs w:val="20"/>
                <w:color w:val="auto"/>
              </w:rPr>
            </w:pPr>
            <w:r>
              <w:rPr>
                <w:rFonts w:ascii="Arial" w:cs="Arial" w:eastAsia="Arial" w:hAnsi="Arial"/>
                <w:sz w:val="18"/>
                <w:szCs w:val="18"/>
                <w:color w:val="auto"/>
              </w:rPr>
              <w:t>Securities</w:t>
            </w:r>
          </w:p>
        </w:tc>
        <w:tc>
          <w:tcPr>
            <w:tcW w:w="300" w:type="dxa"/>
            <w:vAlign w:val="bottom"/>
          </w:tcPr>
          <w:p>
            <w:pPr>
              <w:spacing w:after="0"/>
              <w:rPr>
                <w:sz w:val="20"/>
                <w:szCs w:val="20"/>
                <w:color w:val="auto"/>
              </w:rPr>
            </w:pPr>
          </w:p>
        </w:tc>
        <w:tc>
          <w:tcPr>
            <w:tcW w:w="1100" w:type="dxa"/>
            <w:vAlign w:val="bottom"/>
          </w:tcPr>
          <w:p>
            <w:pPr>
              <w:jc w:val="right"/>
              <w:ind w:right="460"/>
              <w:spacing w:after="0"/>
              <w:rPr>
                <w:sz w:val="20"/>
                <w:szCs w:val="20"/>
                <w:color w:val="auto"/>
              </w:rPr>
            </w:pPr>
            <w:r>
              <w:rPr>
                <w:rFonts w:ascii="Arial" w:cs="Arial" w:eastAsia="Arial" w:hAnsi="Arial"/>
                <w:sz w:val="18"/>
                <w:szCs w:val="18"/>
                <w:color w:val="auto"/>
              </w:rPr>
              <w:t>Total</w:t>
            </w:r>
          </w:p>
        </w:tc>
      </w:tr>
      <w:tr>
        <w:trPr>
          <w:trHeight w:val="205"/>
        </w:trPr>
        <w:tc>
          <w:tcPr>
            <w:tcW w:w="3160" w:type="dxa"/>
            <w:vAlign w:val="bottom"/>
          </w:tcPr>
          <w:p>
            <w:pPr>
              <w:ind w:left="20"/>
              <w:spacing w:after="0"/>
              <w:rPr>
                <w:sz w:val="20"/>
                <w:szCs w:val="20"/>
                <w:color w:val="auto"/>
              </w:rPr>
            </w:pPr>
            <w:r>
              <w:rPr>
                <w:rFonts w:ascii="Arial" w:cs="Arial" w:eastAsia="Arial" w:hAnsi="Arial"/>
                <w:sz w:val="16"/>
                <w:szCs w:val="16"/>
                <w:color w:val="auto"/>
              </w:rPr>
              <w:t>Balance, March 31, 2023</w:t>
            </w:r>
          </w:p>
        </w:tc>
        <w:tc>
          <w:tcPr>
            <w:tcW w:w="1660" w:type="dxa"/>
            <w:vAlign w:val="bottom"/>
          </w:tcPr>
          <w:p>
            <w:pPr>
              <w:jc w:val="right"/>
              <w:ind w:right="1454"/>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409</w:t>
            </w:r>
          </w:p>
        </w:tc>
        <w:tc>
          <w:tcPr>
            <w:tcW w:w="3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450</w:t>
            </w:r>
          </w:p>
        </w:tc>
      </w:tr>
      <w:tr>
        <w:trPr>
          <w:trHeight w:val="205"/>
        </w:trPr>
        <w:tc>
          <w:tcPr>
            <w:tcW w:w="3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Provision for credit losses</w:t>
            </w:r>
          </w:p>
        </w:tc>
        <w:tc>
          <w:tcPr>
            <w:tcW w:w="16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r>
      <w:tr>
        <w:trPr>
          <w:trHeight w:val="185"/>
        </w:trPr>
        <w:tc>
          <w:tcPr>
            <w:tcW w:w="3160" w:type="dxa"/>
            <w:vAlign w:val="bottom"/>
          </w:tcPr>
          <w:p>
            <w:pPr>
              <w:ind w:left="20"/>
              <w:spacing w:after="0"/>
              <w:rPr>
                <w:sz w:val="20"/>
                <w:szCs w:val="20"/>
                <w:color w:val="auto"/>
              </w:rPr>
            </w:pPr>
            <w:r>
              <w:rPr>
                <w:rFonts w:ascii="Arial" w:cs="Arial" w:eastAsia="Arial" w:hAnsi="Arial"/>
                <w:sz w:val="16"/>
                <w:szCs w:val="16"/>
                <w:color w:val="auto"/>
                <w:w w:val="97"/>
              </w:rPr>
              <w:t>Allowance on purchased financial assets with</w:t>
            </w: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3160" w:type="dxa"/>
            <w:vAlign w:val="bottom"/>
          </w:tcPr>
          <w:p>
            <w:pPr>
              <w:ind w:left="20"/>
              <w:spacing w:after="0"/>
              <w:rPr>
                <w:sz w:val="20"/>
                <w:szCs w:val="20"/>
                <w:color w:val="auto"/>
              </w:rPr>
            </w:pPr>
            <w:r>
              <w:rPr>
                <w:rFonts w:ascii="Arial" w:cs="Arial" w:eastAsia="Arial" w:hAnsi="Arial"/>
                <w:sz w:val="16"/>
                <w:szCs w:val="16"/>
                <w:color w:val="auto"/>
              </w:rPr>
              <w:t>credit deterioration</w:t>
            </w:r>
          </w:p>
        </w:tc>
        <w:tc>
          <w:tcPr>
            <w:tcW w:w="16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05"/>
        </w:trPr>
        <w:tc>
          <w:tcPr>
            <w:tcW w:w="3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Charge-offs of securities</w:t>
            </w:r>
          </w:p>
        </w:tc>
        <w:tc>
          <w:tcPr>
            <w:tcW w:w="16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r>
      <w:tr>
        <w:trPr>
          <w:trHeight w:val="203"/>
        </w:trPr>
        <w:tc>
          <w:tcPr>
            <w:tcW w:w="3160" w:type="dxa"/>
            <w:vAlign w:val="bottom"/>
          </w:tcPr>
          <w:p>
            <w:pPr>
              <w:ind w:left="20"/>
              <w:spacing w:after="0"/>
              <w:rPr>
                <w:sz w:val="20"/>
                <w:szCs w:val="20"/>
                <w:color w:val="auto"/>
              </w:rPr>
            </w:pPr>
            <w:r>
              <w:rPr>
                <w:rFonts w:ascii="Arial" w:cs="Arial" w:eastAsia="Arial" w:hAnsi="Arial"/>
                <w:sz w:val="16"/>
                <w:szCs w:val="16"/>
                <w:color w:val="auto"/>
              </w:rPr>
              <w:t>Recoveries</w:t>
            </w:r>
          </w:p>
        </w:tc>
        <w:tc>
          <w:tcPr>
            <w:tcW w:w="16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44"/>
        </w:trPr>
        <w:tc>
          <w:tcPr>
            <w:tcW w:w="3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Balance, June 30, 2023</w:t>
            </w:r>
          </w:p>
        </w:tc>
        <w:tc>
          <w:tcPr>
            <w:tcW w:w="1660" w:type="dxa"/>
            <w:vAlign w:val="bottom"/>
            <w:tcBorders>
              <w:bottom w:val="single" w:sz="8" w:color="auto"/>
            </w:tcBorders>
            <w:shd w:val="clear" w:color="auto" w:fill="CFF0FC"/>
          </w:tcPr>
          <w:p>
            <w:pPr>
              <w:jc w:val="right"/>
              <w:ind w:right="1454"/>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22</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397</w:t>
            </w:r>
          </w:p>
        </w:tc>
        <w:tc>
          <w:tcPr>
            <w:tcW w:w="30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421</w:t>
            </w:r>
          </w:p>
        </w:tc>
      </w:tr>
    </w:tbl>
    <w:p>
      <w:pPr>
        <w:spacing w:after="0" w:line="209"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The following table depicts a rollforward of the allowance for credit losses on investment securities classified as held-to-maturity for the six months ended June 30, 2023:</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18"/>
              <w:spacing w:after="0"/>
              <w:rPr>
                <w:sz w:val="20"/>
                <w:szCs w:val="20"/>
                <w:color w:val="auto"/>
              </w:rPr>
            </w:pPr>
            <w:r>
              <w:rPr>
                <w:rFonts w:ascii="Arial" w:cs="Arial" w:eastAsia="Arial" w:hAnsi="Arial"/>
                <w:sz w:val="18"/>
                <w:szCs w:val="18"/>
                <w:color w:val="auto"/>
              </w:rPr>
              <w:t>Securities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Government Issued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18"/>
              <w:spacing w:after="0"/>
              <w:rPr>
                <w:sz w:val="20"/>
                <w:szCs w:val="20"/>
                <w:color w:val="auto"/>
              </w:rPr>
            </w:pPr>
            <w:r>
              <w:rPr>
                <w:rFonts w:ascii="Arial" w:cs="Arial" w:eastAsia="Arial" w:hAnsi="Arial"/>
                <w:sz w:val="18"/>
                <w:szCs w:val="18"/>
                <w:color w:val="auto"/>
              </w:rPr>
              <w:t>Issued By</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and Government</w:t>
            </w:r>
          </w:p>
        </w:tc>
        <w:tc>
          <w:tcPr>
            <w:tcW w:w="12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rPr>
              <w:t>Mortgage and</w:t>
            </w:r>
          </w:p>
        </w:tc>
        <w:tc>
          <w:tcPr>
            <w:tcW w:w="160" w:type="dxa"/>
            <w:vAlign w:val="bottom"/>
          </w:tcPr>
          <w:p>
            <w:pPr>
              <w:spacing w:after="0"/>
              <w:rPr>
                <w:sz w:val="18"/>
                <w:szCs w:val="18"/>
                <w:color w:val="auto"/>
              </w:rPr>
            </w:pPr>
          </w:p>
        </w:tc>
        <w:tc>
          <w:tcPr>
            <w:tcW w:w="1080" w:type="dxa"/>
            <w:vAlign w:val="bottom"/>
          </w:tcPr>
          <w:p>
            <w:pPr>
              <w:jc w:val="center"/>
              <w:ind w:right="118"/>
              <w:spacing w:after="0"/>
              <w:rPr>
                <w:sz w:val="20"/>
                <w:szCs w:val="20"/>
                <w:color w:val="auto"/>
              </w:rPr>
            </w:pPr>
            <w:r>
              <w:rPr>
                <w:rFonts w:ascii="Arial" w:cs="Arial" w:eastAsia="Arial" w:hAnsi="Arial"/>
                <w:sz w:val="18"/>
                <w:szCs w:val="18"/>
                <w:color w:val="auto"/>
                <w:w w:val="98"/>
              </w:rPr>
              <w:t>State and</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8"/>
              </w:rPr>
              <w:t>Sponsored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119"/>
              <w:spacing w:after="0"/>
              <w:rPr>
                <w:sz w:val="20"/>
                <w:szCs w:val="20"/>
                <w:color w:val="auto"/>
              </w:rPr>
            </w:pPr>
            <w:r>
              <w:rPr>
                <w:rFonts w:ascii="Arial" w:cs="Arial" w:eastAsia="Arial" w:hAnsi="Arial"/>
                <w:sz w:val="18"/>
                <w:szCs w:val="18"/>
                <w:color w:val="auto"/>
              </w:rPr>
              <w:t>Asset-backed</w:t>
            </w:r>
          </w:p>
        </w:tc>
        <w:tc>
          <w:tcPr>
            <w:tcW w:w="160" w:type="dxa"/>
            <w:vAlign w:val="bottom"/>
          </w:tcPr>
          <w:p>
            <w:pPr>
              <w:spacing w:after="0"/>
              <w:rPr>
                <w:sz w:val="18"/>
                <w:szCs w:val="18"/>
                <w:color w:val="auto"/>
              </w:rPr>
            </w:pPr>
          </w:p>
        </w:tc>
        <w:tc>
          <w:tcPr>
            <w:tcW w:w="1080" w:type="dxa"/>
            <w:vAlign w:val="bottom"/>
          </w:tcPr>
          <w:p>
            <w:pPr>
              <w:jc w:val="center"/>
              <w:ind w:right="138"/>
              <w:spacing w:after="0"/>
              <w:rPr>
                <w:sz w:val="20"/>
                <w:szCs w:val="20"/>
                <w:color w:val="auto"/>
              </w:rPr>
            </w:pPr>
            <w:r>
              <w:rPr>
                <w:rFonts w:ascii="Arial" w:cs="Arial" w:eastAsia="Arial" w:hAnsi="Arial"/>
                <w:sz w:val="18"/>
                <w:szCs w:val="18"/>
                <w:color w:val="auto"/>
                <w:w w:val="99"/>
              </w:rPr>
              <w:t>Political</w:t>
            </w:r>
          </w:p>
        </w:tc>
        <w:tc>
          <w:tcPr>
            <w:tcW w:w="260" w:type="dxa"/>
            <w:vAlign w:val="bottom"/>
          </w:tcPr>
          <w:p>
            <w:pPr>
              <w:spacing w:after="0"/>
              <w:rPr>
                <w:sz w:val="18"/>
                <w:szCs w:val="18"/>
                <w:color w:val="auto"/>
              </w:rPr>
            </w:pPr>
          </w:p>
        </w:tc>
        <w:tc>
          <w:tcPr>
            <w:tcW w:w="1280" w:type="dxa"/>
            <w:vAlign w:val="bottom"/>
          </w:tcPr>
          <w:p>
            <w:pPr>
              <w:jc w:val="right"/>
              <w:ind w:right="299"/>
              <w:spacing w:after="0"/>
              <w:rPr>
                <w:sz w:val="20"/>
                <w:szCs w:val="20"/>
                <w:color w:val="auto"/>
              </w:rPr>
            </w:pPr>
            <w:r>
              <w:rPr>
                <w:rFonts w:ascii="Arial" w:cs="Arial" w:eastAsia="Arial" w:hAnsi="Arial"/>
                <w:sz w:val="18"/>
                <w:szCs w:val="18"/>
                <w:color w:val="auto"/>
              </w:rPr>
              <w:t>Corporate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1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780" w:type="dxa"/>
            <w:vAlign w:val="bottom"/>
            <w:gridSpan w:val="2"/>
          </w:tcPr>
          <w:p>
            <w:pPr>
              <w:jc w:val="center"/>
              <w:spacing w:after="0"/>
              <w:rPr>
                <w:sz w:val="20"/>
                <w:szCs w:val="20"/>
                <w:color w:val="auto"/>
              </w:rPr>
            </w:pPr>
            <w:r>
              <w:rPr>
                <w:rFonts w:ascii="Arial" w:cs="Arial" w:eastAsia="Arial" w:hAnsi="Arial"/>
                <w:sz w:val="18"/>
                <w:szCs w:val="18"/>
                <w:color w:val="auto"/>
                <w:w w:val="99"/>
              </w:rPr>
              <w:t>Enterprise Securities</w:t>
            </w:r>
          </w:p>
        </w:tc>
        <w:tc>
          <w:tcPr>
            <w:tcW w:w="140" w:type="dxa"/>
            <w:vAlign w:val="bottom"/>
          </w:tcPr>
          <w:p>
            <w:pPr>
              <w:spacing w:after="0"/>
              <w:rPr>
                <w:sz w:val="20"/>
                <w:szCs w:val="20"/>
                <w:color w:val="auto"/>
              </w:rPr>
            </w:pPr>
          </w:p>
        </w:tc>
        <w:tc>
          <w:tcPr>
            <w:tcW w:w="1300" w:type="dxa"/>
            <w:vAlign w:val="bottom"/>
          </w:tcPr>
          <w:p>
            <w:pPr>
              <w:jc w:val="center"/>
              <w:ind w:right="119"/>
              <w:spacing w:after="0"/>
              <w:rPr>
                <w:sz w:val="20"/>
                <w:szCs w:val="20"/>
                <w:color w:val="auto"/>
              </w:rPr>
            </w:pPr>
            <w:r>
              <w:rPr>
                <w:rFonts w:ascii="Arial" w:cs="Arial" w:eastAsia="Arial" w:hAnsi="Arial"/>
                <w:sz w:val="18"/>
                <w:szCs w:val="18"/>
                <w:color w:val="auto"/>
                <w:w w:val="98"/>
              </w:rPr>
              <w:t>Securities</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8"/>
              </w:rPr>
              <w:t>Subdivisions</w:t>
            </w:r>
          </w:p>
        </w:tc>
        <w:tc>
          <w:tcPr>
            <w:tcW w:w="260" w:type="dxa"/>
            <w:vAlign w:val="bottom"/>
          </w:tcPr>
          <w:p>
            <w:pPr>
              <w:spacing w:after="0"/>
              <w:rPr>
                <w:sz w:val="20"/>
                <w:szCs w:val="20"/>
                <w:color w:val="auto"/>
              </w:rPr>
            </w:pPr>
          </w:p>
        </w:tc>
        <w:tc>
          <w:tcPr>
            <w:tcW w:w="1280" w:type="dxa"/>
            <w:vAlign w:val="bottom"/>
          </w:tcPr>
          <w:p>
            <w:pPr>
              <w:jc w:val="right"/>
              <w:ind w:right="299"/>
              <w:spacing w:after="0"/>
              <w:rPr>
                <w:sz w:val="20"/>
                <w:szCs w:val="20"/>
                <w:color w:val="auto"/>
              </w:rPr>
            </w:pPr>
            <w:r>
              <w:rPr>
                <w:rFonts w:ascii="Arial" w:cs="Arial" w:eastAsia="Arial" w:hAnsi="Arial"/>
                <w:sz w:val="18"/>
                <w:szCs w:val="18"/>
                <w:color w:val="auto"/>
              </w:rPr>
              <w:t>Securities</w:t>
            </w:r>
          </w:p>
        </w:tc>
        <w:tc>
          <w:tcPr>
            <w:tcW w:w="300" w:type="dxa"/>
            <w:vAlign w:val="bottom"/>
          </w:tcPr>
          <w:p>
            <w:pPr>
              <w:spacing w:after="0"/>
              <w:rPr>
                <w:sz w:val="20"/>
                <w:szCs w:val="20"/>
                <w:color w:val="auto"/>
              </w:rPr>
            </w:pPr>
          </w:p>
        </w:tc>
        <w:tc>
          <w:tcPr>
            <w:tcW w:w="1100" w:type="dxa"/>
            <w:vAlign w:val="bottom"/>
          </w:tcPr>
          <w:p>
            <w:pPr>
              <w:jc w:val="right"/>
              <w:ind w:right="460"/>
              <w:spacing w:after="0"/>
              <w:rPr>
                <w:sz w:val="20"/>
                <w:szCs w:val="20"/>
                <w:color w:val="auto"/>
              </w:rPr>
            </w:pPr>
            <w:r>
              <w:rPr>
                <w:rFonts w:ascii="Arial" w:cs="Arial" w:eastAsia="Arial" w:hAnsi="Arial"/>
                <w:sz w:val="18"/>
                <w:szCs w:val="18"/>
                <w:color w:val="auto"/>
              </w:rPr>
              <w:t>Total</w:t>
            </w:r>
          </w:p>
        </w:tc>
      </w:tr>
      <w:tr>
        <w:trPr>
          <w:trHeight w:val="205"/>
        </w:trPr>
        <w:tc>
          <w:tcPr>
            <w:tcW w:w="3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December 31, 2022</w:t>
            </w:r>
          </w:p>
        </w:tc>
        <w:tc>
          <w:tcPr>
            <w:tcW w:w="1660" w:type="dxa"/>
            <w:vAlign w:val="bottom"/>
            <w:shd w:val="clear" w:color="auto" w:fill="CFF0FC"/>
          </w:tcPr>
          <w:p>
            <w:pPr>
              <w:jc w:val="right"/>
              <w:ind w:right="145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r>
      <w:tr>
        <w:trPr>
          <w:trHeight w:val="203"/>
        </w:trPr>
        <w:tc>
          <w:tcPr>
            <w:tcW w:w="3160" w:type="dxa"/>
            <w:vAlign w:val="bottom"/>
          </w:tcPr>
          <w:p>
            <w:pPr>
              <w:ind w:left="20"/>
              <w:spacing w:after="0"/>
              <w:rPr>
                <w:sz w:val="20"/>
                <w:szCs w:val="20"/>
                <w:color w:val="auto"/>
              </w:rPr>
            </w:pPr>
            <w:r>
              <w:rPr>
                <w:rFonts w:ascii="Arial" w:cs="Arial" w:eastAsia="Arial" w:hAnsi="Arial"/>
                <w:sz w:val="16"/>
                <w:szCs w:val="16"/>
                <w:color w:val="auto"/>
                <w:w w:val="99"/>
              </w:rPr>
              <w:t>Adjustment for the adoption of ASU 2016-13</w:t>
            </w:r>
          </w:p>
        </w:tc>
        <w:tc>
          <w:tcPr>
            <w:tcW w:w="16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7"/>
                <w:szCs w:val="17"/>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409</w:t>
            </w:r>
          </w:p>
        </w:tc>
        <w:tc>
          <w:tcPr>
            <w:tcW w:w="30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450</w:t>
            </w:r>
          </w:p>
        </w:tc>
      </w:tr>
      <w:tr>
        <w:trPr>
          <w:trHeight w:val="205"/>
        </w:trPr>
        <w:tc>
          <w:tcPr>
            <w:tcW w:w="3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Provision for credit losses</w:t>
            </w:r>
          </w:p>
        </w:tc>
        <w:tc>
          <w:tcPr>
            <w:tcW w:w="16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r>
      <w:tr>
        <w:trPr>
          <w:trHeight w:val="185"/>
        </w:trPr>
        <w:tc>
          <w:tcPr>
            <w:tcW w:w="3160" w:type="dxa"/>
            <w:vAlign w:val="bottom"/>
          </w:tcPr>
          <w:p>
            <w:pPr>
              <w:ind w:left="20"/>
              <w:spacing w:after="0"/>
              <w:rPr>
                <w:sz w:val="20"/>
                <w:szCs w:val="20"/>
                <w:color w:val="auto"/>
              </w:rPr>
            </w:pPr>
            <w:r>
              <w:rPr>
                <w:rFonts w:ascii="Arial" w:cs="Arial" w:eastAsia="Arial" w:hAnsi="Arial"/>
                <w:sz w:val="16"/>
                <w:szCs w:val="16"/>
                <w:color w:val="auto"/>
                <w:w w:val="97"/>
              </w:rPr>
              <w:t>Allowance on purchased financial assets with</w:t>
            </w: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3160" w:type="dxa"/>
            <w:vAlign w:val="bottom"/>
          </w:tcPr>
          <w:p>
            <w:pPr>
              <w:ind w:left="20"/>
              <w:spacing w:after="0"/>
              <w:rPr>
                <w:sz w:val="20"/>
                <w:szCs w:val="20"/>
                <w:color w:val="auto"/>
              </w:rPr>
            </w:pPr>
            <w:r>
              <w:rPr>
                <w:rFonts w:ascii="Arial" w:cs="Arial" w:eastAsia="Arial" w:hAnsi="Arial"/>
                <w:sz w:val="16"/>
                <w:szCs w:val="16"/>
                <w:color w:val="auto"/>
              </w:rPr>
              <w:t>credit deterioration</w:t>
            </w:r>
          </w:p>
        </w:tc>
        <w:tc>
          <w:tcPr>
            <w:tcW w:w="16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05"/>
        </w:trPr>
        <w:tc>
          <w:tcPr>
            <w:tcW w:w="3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Charge-offs of securities</w:t>
            </w:r>
          </w:p>
        </w:tc>
        <w:tc>
          <w:tcPr>
            <w:tcW w:w="16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r>
      <w:tr>
        <w:trPr>
          <w:trHeight w:val="203"/>
        </w:trPr>
        <w:tc>
          <w:tcPr>
            <w:tcW w:w="3160" w:type="dxa"/>
            <w:vAlign w:val="bottom"/>
          </w:tcPr>
          <w:p>
            <w:pPr>
              <w:ind w:left="20"/>
              <w:spacing w:after="0"/>
              <w:rPr>
                <w:sz w:val="20"/>
                <w:szCs w:val="20"/>
                <w:color w:val="auto"/>
              </w:rPr>
            </w:pPr>
            <w:r>
              <w:rPr>
                <w:rFonts w:ascii="Arial" w:cs="Arial" w:eastAsia="Arial" w:hAnsi="Arial"/>
                <w:sz w:val="16"/>
                <w:szCs w:val="16"/>
                <w:color w:val="auto"/>
              </w:rPr>
              <w:t>Recoveries</w:t>
            </w:r>
          </w:p>
        </w:tc>
        <w:tc>
          <w:tcPr>
            <w:tcW w:w="16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44"/>
        </w:trPr>
        <w:tc>
          <w:tcPr>
            <w:tcW w:w="3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Balance, June 30, 2023</w:t>
            </w:r>
          </w:p>
        </w:tc>
        <w:tc>
          <w:tcPr>
            <w:tcW w:w="1660" w:type="dxa"/>
            <w:vAlign w:val="bottom"/>
            <w:tcBorders>
              <w:bottom w:val="single" w:sz="8" w:color="auto"/>
            </w:tcBorders>
            <w:shd w:val="clear" w:color="auto" w:fill="CFF0FC"/>
          </w:tcPr>
          <w:p>
            <w:pPr>
              <w:jc w:val="right"/>
              <w:ind w:right="1454"/>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22</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397</w:t>
            </w:r>
          </w:p>
        </w:tc>
        <w:tc>
          <w:tcPr>
            <w:tcW w:w="30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421</w:t>
            </w:r>
          </w:p>
        </w:tc>
      </w:tr>
    </w:tbl>
    <w:p>
      <w:pPr>
        <w:spacing w:after="0" w:line="30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 monitors the credit quality of the debt securities categorized as HTM primarily through the use of NRSRO credit ratings. These assessments are made on a quarterly basis. The following table summarizes the amortized cost of debt securities categorized as HTM at June 30, 2023, aggregated by credit quality indicators: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17</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87" w:right="68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3"/>
        </w:trPr>
        <w:tc>
          <w:tcPr>
            <w:tcW w:w="67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6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05"/>
        </w:trPr>
        <w:tc>
          <w:tcPr>
            <w:tcW w:w="6760" w:type="dxa"/>
            <w:vAlign w:val="bottom"/>
          </w:tcPr>
          <w:p>
            <w:pPr>
              <w:ind w:left="20"/>
              <w:spacing w:after="0"/>
              <w:rPr>
                <w:sz w:val="20"/>
                <w:szCs w:val="20"/>
                <w:color w:val="auto"/>
              </w:rPr>
            </w:pPr>
            <w:r>
              <w:rPr>
                <w:rFonts w:ascii="Arial" w:cs="Arial" w:eastAsia="Arial" w:hAnsi="Arial"/>
                <w:sz w:val="16"/>
                <w:szCs w:val="16"/>
                <w:color w:val="auto"/>
              </w:rPr>
              <w:t>AAA or equivalent</w:t>
            </w:r>
          </w:p>
        </w:tc>
        <w:tc>
          <w:tcPr>
            <w:tcW w:w="1620" w:type="dxa"/>
            <w:vAlign w:val="bottom"/>
          </w:tcPr>
          <w:p>
            <w:pPr>
              <w:jc w:val="right"/>
              <w:ind w:right="1442"/>
              <w:spacing w:after="0"/>
              <w:rPr>
                <w:sz w:val="20"/>
                <w:szCs w:val="20"/>
                <w:color w:val="auto"/>
              </w:rPr>
            </w:pPr>
            <w:r>
              <w:rPr>
                <w:rFonts w:ascii="Arial" w:cs="Arial" w:eastAsia="Arial" w:hAnsi="Arial"/>
                <w:sz w:val="16"/>
                <w:szCs w:val="16"/>
                <w:color w:val="auto"/>
                <w:w w:val="89"/>
              </w:rPr>
              <w:t>$</w:t>
            </w:r>
          </w:p>
        </w:tc>
        <w:tc>
          <w:tcPr>
            <w:tcW w:w="2180" w:type="dxa"/>
            <w:vAlign w:val="bottom"/>
          </w:tcPr>
          <w:p>
            <w:pPr>
              <w:jc w:val="right"/>
              <w:ind w:right="22"/>
              <w:spacing w:after="0"/>
              <w:rPr>
                <w:sz w:val="20"/>
                <w:szCs w:val="20"/>
                <w:color w:val="auto"/>
              </w:rPr>
            </w:pPr>
            <w:r>
              <w:rPr>
                <w:rFonts w:ascii="Arial" w:cs="Arial" w:eastAsia="Arial" w:hAnsi="Arial"/>
                <w:sz w:val="16"/>
                <w:szCs w:val="16"/>
                <w:color w:val="auto"/>
              </w:rPr>
              <w:t>45,943</w:t>
            </w:r>
          </w:p>
        </w:tc>
      </w:tr>
      <w:tr>
        <w:trPr>
          <w:trHeight w:val="186"/>
        </w:trPr>
        <w:tc>
          <w:tcPr>
            <w:tcW w:w="6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AA or equivalent, including securities issued by the United States Government or Government</w:t>
            </w:r>
          </w:p>
        </w:tc>
        <w:tc>
          <w:tcPr>
            <w:tcW w:w="1620" w:type="dxa"/>
            <w:vAlign w:val="bottom"/>
            <w:shd w:val="clear" w:color="auto" w:fill="CFF0FC"/>
          </w:tcPr>
          <w:p>
            <w:pPr>
              <w:spacing w:after="0"/>
              <w:rPr>
                <w:sz w:val="16"/>
                <w:szCs w:val="16"/>
                <w:color w:val="auto"/>
              </w:rPr>
            </w:pPr>
          </w:p>
        </w:tc>
        <w:tc>
          <w:tcPr>
            <w:tcW w:w="2180" w:type="dxa"/>
            <w:vAlign w:val="bottom"/>
            <w:shd w:val="clear" w:color="auto" w:fill="CFF0FC"/>
          </w:tcPr>
          <w:p>
            <w:pPr>
              <w:spacing w:after="0"/>
              <w:rPr>
                <w:sz w:val="16"/>
                <w:szCs w:val="16"/>
                <w:color w:val="auto"/>
              </w:rPr>
            </w:pPr>
          </w:p>
        </w:tc>
      </w:tr>
      <w:tr>
        <w:trPr>
          <w:trHeight w:val="197"/>
        </w:trPr>
        <w:tc>
          <w:tcPr>
            <w:tcW w:w="6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Sponsored Enterprises</w:t>
            </w:r>
          </w:p>
        </w:tc>
        <w:tc>
          <w:tcPr>
            <w:tcW w:w="1620" w:type="dxa"/>
            <w:vAlign w:val="bottom"/>
            <w:shd w:val="clear" w:color="auto" w:fill="CFF0FC"/>
          </w:tcPr>
          <w:p>
            <w:pPr>
              <w:spacing w:after="0"/>
              <w:rPr>
                <w:sz w:val="17"/>
                <w:szCs w:val="17"/>
                <w:color w:val="auto"/>
              </w:rPr>
            </w:pPr>
          </w:p>
        </w:tc>
        <w:tc>
          <w:tcPr>
            <w:tcW w:w="21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49,752</w:t>
            </w:r>
          </w:p>
        </w:tc>
      </w:tr>
      <w:tr>
        <w:trPr>
          <w:trHeight w:val="206"/>
        </w:trPr>
        <w:tc>
          <w:tcPr>
            <w:tcW w:w="6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 or equivalent</w:t>
            </w:r>
          </w:p>
        </w:tc>
        <w:tc>
          <w:tcPr>
            <w:tcW w:w="1620" w:type="dxa"/>
            <w:vAlign w:val="bottom"/>
            <w:shd w:val="clear" w:color="auto" w:fill="CFF0FC"/>
          </w:tcPr>
          <w:p>
            <w:pPr>
              <w:spacing w:after="0"/>
              <w:rPr>
                <w:sz w:val="17"/>
                <w:szCs w:val="17"/>
                <w:color w:val="auto"/>
              </w:rPr>
            </w:pPr>
          </w:p>
        </w:tc>
        <w:tc>
          <w:tcPr>
            <w:tcW w:w="21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20,511</w:t>
            </w:r>
          </w:p>
        </w:tc>
      </w:tr>
      <w:tr>
        <w:trPr>
          <w:trHeight w:val="203"/>
        </w:trPr>
        <w:tc>
          <w:tcPr>
            <w:tcW w:w="6760" w:type="dxa"/>
            <w:vAlign w:val="bottom"/>
          </w:tcPr>
          <w:p>
            <w:pPr>
              <w:ind w:left="20"/>
              <w:spacing w:after="0"/>
              <w:rPr>
                <w:sz w:val="20"/>
                <w:szCs w:val="20"/>
                <w:color w:val="auto"/>
              </w:rPr>
            </w:pPr>
            <w:r>
              <w:rPr>
                <w:rFonts w:ascii="Arial" w:cs="Arial" w:eastAsia="Arial" w:hAnsi="Arial"/>
                <w:sz w:val="16"/>
                <w:szCs w:val="16"/>
                <w:color w:val="auto"/>
              </w:rPr>
              <w:t>BBB or equivalent</w:t>
            </w:r>
          </w:p>
        </w:tc>
        <w:tc>
          <w:tcPr>
            <w:tcW w:w="1620" w:type="dxa"/>
            <w:vAlign w:val="bottom"/>
          </w:tcPr>
          <w:p>
            <w:pPr>
              <w:spacing w:after="0"/>
              <w:rPr>
                <w:sz w:val="17"/>
                <w:szCs w:val="17"/>
                <w:color w:val="auto"/>
              </w:rPr>
            </w:pPr>
          </w:p>
        </w:tc>
        <w:tc>
          <w:tcPr>
            <w:tcW w:w="2180" w:type="dxa"/>
            <w:vAlign w:val="bottom"/>
          </w:tcPr>
          <w:p>
            <w:pPr>
              <w:jc w:val="right"/>
              <w:ind w:right="22"/>
              <w:spacing w:after="0"/>
              <w:rPr>
                <w:sz w:val="20"/>
                <w:szCs w:val="20"/>
                <w:color w:val="auto"/>
              </w:rPr>
            </w:pPr>
            <w:r>
              <w:rPr>
                <w:rFonts w:ascii="Arial" w:cs="Arial" w:eastAsia="Arial" w:hAnsi="Arial"/>
                <w:sz w:val="16"/>
                <w:szCs w:val="16"/>
                <w:color w:val="auto"/>
              </w:rPr>
              <w:t>14,828</w:t>
            </w:r>
          </w:p>
        </w:tc>
      </w:tr>
      <w:tr>
        <w:trPr>
          <w:trHeight w:val="203"/>
        </w:trPr>
        <w:tc>
          <w:tcPr>
            <w:tcW w:w="6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BB or equivalent</w:t>
            </w:r>
          </w:p>
        </w:tc>
        <w:tc>
          <w:tcPr>
            <w:tcW w:w="1620" w:type="dxa"/>
            <w:vAlign w:val="bottom"/>
            <w:shd w:val="clear" w:color="auto" w:fill="CFF0FC"/>
          </w:tcPr>
          <w:p>
            <w:pPr>
              <w:spacing w:after="0"/>
              <w:rPr>
                <w:sz w:val="17"/>
                <w:szCs w:val="17"/>
                <w:color w:val="auto"/>
              </w:rPr>
            </w:pPr>
          </w:p>
        </w:tc>
        <w:tc>
          <w:tcPr>
            <w:tcW w:w="21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982</w:t>
            </w:r>
          </w:p>
        </w:tc>
      </w:tr>
      <w:tr>
        <w:trPr>
          <w:trHeight w:val="206"/>
        </w:trPr>
        <w:tc>
          <w:tcPr>
            <w:tcW w:w="6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Unrated</w:t>
            </w:r>
          </w:p>
        </w:tc>
        <w:tc>
          <w:tcPr>
            <w:tcW w:w="1620" w:type="dxa"/>
            <w:vAlign w:val="bottom"/>
            <w:shd w:val="clear" w:color="auto" w:fill="CFF0FC"/>
          </w:tcPr>
          <w:p>
            <w:pPr>
              <w:spacing w:after="0"/>
              <w:rPr>
                <w:sz w:val="17"/>
                <w:szCs w:val="17"/>
                <w:color w:val="auto"/>
              </w:rPr>
            </w:pPr>
          </w:p>
        </w:tc>
        <w:tc>
          <w:tcPr>
            <w:tcW w:w="21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63,908</w:t>
            </w:r>
          </w:p>
        </w:tc>
      </w:tr>
      <w:tr>
        <w:trPr>
          <w:trHeight w:val="203"/>
        </w:trPr>
        <w:tc>
          <w:tcPr>
            <w:tcW w:w="676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Total</w:t>
            </w:r>
          </w:p>
        </w:tc>
        <w:tc>
          <w:tcPr>
            <w:tcW w:w="1620" w:type="dxa"/>
            <w:vAlign w:val="bottom"/>
            <w:tcBorders>
              <w:bottom w:val="single" w:sz="8" w:color="auto"/>
            </w:tcBorders>
          </w:tcPr>
          <w:p>
            <w:pPr>
              <w:jc w:val="right"/>
              <w:ind w:right="1442"/>
              <w:spacing w:after="0"/>
              <w:rPr>
                <w:sz w:val="20"/>
                <w:szCs w:val="20"/>
                <w:color w:val="auto"/>
              </w:rPr>
            </w:pPr>
            <w:r>
              <w:rPr>
                <w:rFonts w:ascii="Arial" w:cs="Arial" w:eastAsia="Arial" w:hAnsi="Arial"/>
                <w:sz w:val="16"/>
                <w:szCs w:val="16"/>
                <w:color w:val="auto"/>
                <w:w w:val="89"/>
              </w:rPr>
              <w:t>$</w:t>
            </w:r>
          </w:p>
        </w:tc>
        <w:tc>
          <w:tcPr>
            <w:tcW w:w="2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195,924</w:t>
            </w:r>
          </w:p>
        </w:tc>
      </w:tr>
      <w:tr>
        <w:trPr>
          <w:trHeight w:val="20"/>
        </w:trPr>
        <w:tc>
          <w:tcPr>
            <w:tcW w:w="67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 (losses) on sales and redemptions of securities for the indicated periods are detailed below:</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740" w:type="dxa"/>
            <w:vAlign w:val="bottom"/>
            <w:gridSpan w:val="3"/>
          </w:tcPr>
          <w:p>
            <w:pPr>
              <w:jc w:val="right"/>
              <w:ind w:right="662"/>
              <w:spacing w:after="0"/>
              <w:rPr>
                <w:sz w:val="20"/>
                <w:szCs w:val="20"/>
                <w:color w:val="auto"/>
              </w:rPr>
            </w:pPr>
            <w:r>
              <w:rPr>
                <w:rFonts w:ascii="Arial" w:cs="Arial" w:eastAsia="Arial" w:hAnsi="Arial"/>
                <w:sz w:val="16"/>
                <w:szCs w:val="16"/>
                <w:color w:val="auto"/>
              </w:rPr>
              <w:t>For the three months</w:t>
            </w:r>
          </w:p>
        </w:tc>
        <w:tc>
          <w:tcPr>
            <w:tcW w:w="760" w:type="dxa"/>
            <w:vAlign w:val="bottom"/>
          </w:tcPr>
          <w:p>
            <w:pPr>
              <w:spacing w:after="0"/>
              <w:rPr>
                <w:sz w:val="17"/>
                <w:szCs w:val="17"/>
                <w:color w:val="auto"/>
              </w:rPr>
            </w:pPr>
          </w:p>
        </w:tc>
        <w:tc>
          <w:tcPr>
            <w:tcW w:w="1780" w:type="dxa"/>
            <w:vAlign w:val="bottom"/>
            <w:gridSpan w:val="2"/>
          </w:tcPr>
          <w:p>
            <w:pPr>
              <w:jc w:val="right"/>
              <w:ind w:right="102"/>
              <w:spacing w:after="0"/>
              <w:rPr>
                <w:sz w:val="20"/>
                <w:szCs w:val="20"/>
                <w:color w:val="auto"/>
              </w:rPr>
            </w:pPr>
            <w:r>
              <w:rPr>
                <w:rFonts w:ascii="Arial" w:cs="Arial" w:eastAsia="Arial" w:hAnsi="Arial"/>
                <w:sz w:val="16"/>
                <w:szCs w:val="16"/>
                <w:color w:val="auto"/>
              </w:rPr>
              <w:t>For the six months</w:t>
            </w:r>
          </w:p>
        </w:tc>
        <w:tc>
          <w:tcPr>
            <w:tcW w:w="640" w:type="dxa"/>
            <w:vAlign w:val="bottom"/>
          </w:tcPr>
          <w:p>
            <w:pPr>
              <w:spacing w:after="0"/>
              <w:rPr>
                <w:sz w:val="17"/>
                <w:szCs w:val="17"/>
                <w:color w:val="auto"/>
              </w:rPr>
            </w:pPr>
          </w:p>
        </w:tc>
      </w:tr>
      <w:tr>
        <w:trPr>
          <w:trHeight w:val="204"/>
        </w:trPr>
        <w:tc>
          <w:tcPr>
            <w:tcW w:w="3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920" w:type="dxa"/>
            <w:vAlign w:val="bottom"/>
            <w:gridSpan w:val="2"/>
          </w:tcPr>
          <w:p>
            <w:pPr>
              <w:jc w:val="right"/>
              <w:ind w:right="22"/>
              <w:spacing w:after="0"/>
              <w:rPr>
                <w:sz w:val="20"/>
                <w:szCs w:val="20"/>
                <w:color w:val="auto"/>
              </w:rPr>
            </w:pPr>
            <w:r>
              <w:rPr>
                <w:rFonts w:ascii="Arial" w:cs="Arial" w:eastAsia="Arial" w:hAnsi="Arial"/>
                <w:sz w:val="16"/>
                <w:szCs w:val="16"/>
                <w:color w:val="auto"/>
              </w:rPr>
              <w:t>ended June 30,</w:t>
            </w: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80" w:type="dxa"/>
            <w:vAlign w:val="bottom"/>
            <w:gridSpan w:val="2"/>
          </w:tcPr>
          <w:p>
            <w:pPr>
              <w:jc w:val="right"/>
              <w:ind w:right="202"/>
              <w:spacing w:after="0"/>
              <w:rPr>
                <w:sz w:val="20"/>
                <w:szCs w:val="20"/>
                <w:color w:val="auto"/>
              </w:rPr>
            </w:pPr>
            <w:r>
              <w:rPr>
                <w:rFonts w:ascii="Arial" w:cs="Arial" w:eastAsia="Arial" w:hAnsi="Arial"/>
                <w:sz w:val="16"/>
                <w:szCs w:val="16"/>
                <w:color w:val="auto"/>
              </w:rPr>
              <w:t>ended June 30,</w:t>
            </w:r>
          </w:p>
        </w:tc>
        <w:tc>
          <w:tcPr>
            <w:tcW w:w="640" w:type="dxa"/>
            <w:vAlign w:val="bottom"/>
          </w:tcPr>
          <w:p>
            <w:pPr>
              <w:spacing w:after="0"/>
              <w:rPr>
                <w:sz w:val="17"/>
                <w:szCs w:val="17"/>
                <w:color w:val="auto"/>
              </w:rPr>
            </w:pPr>
          </w:p>
        </w:tc>
      </w:tr>
      <w:tr>
        <w:trPr>
          <w:trHeight w:val="205"/>
        </w:trPr>
        <w:tc>
          <w:tcPr>
            <w:tcW w:w="31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48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2023</w:t>
            </w:r>
          </w:p>
        </w:tc>
        <w:tc>
          <w:tcPr>
            <w:tcW w:w="1000" w:type="dxa"/>
            <w:vAlign w:val="bottom"/>
          </w:tcPr>
          <w:p>
            <w:pPr>
              <w:spacing w:after="0"/>
              <w:rPr>
                <w:sz w:val="17"/>
                <w:szCs w:val="17"/>
                <w:color w:val="auto"/>
              </w:rPr>
            </w:pPr>
          </w:p>
        </w:tc>
        <w:tc>
          <w:tcPr>
            <w:tcW w:w="820" w:type="dxa"/>
            <w:vAlign w:val="bottom"/>
          </w:tcPr>
          <w:p>
            <w:pPr>
              <w:jc w:val="right"/>
              <w:ind w:right="302"/>
              <w:spacing w:after="0"/>
              <w:rPr>
                <w:sz w:val="20"/>
                <w:szCs w:val="20"/>
                <w:color w:val="auto"/>
              </w:rPr>
            </w:pPr>
            <w:r>
              <w:rPr>
                <w:rFonts w:ascii="Arial" w:cs="Arial" w:eastAsia="Arial" w:hAnsi="Arial"/>
                <w:sz w:val="16"/>
                <w:szCs w:val="16"/>
                <w:color w:val="auto"/>
              </w:rPr>
              <w:t>2022</w:t>
            </w:r>
          </w:p>
        </w:tc>
        <w:tc>
          <w:tcPr>
            <w:tcW w:w="760" w:type="dxa"/>
            <w:vAlign w:val="bottom"/>
          </w:tcPr>
          <w:p>
            <w:pPr>
              <w:spacing w:after="0"/>
              <w:rPr>
                <w:sz w:val="17"/>
                <w:szCs w:val="17"/>
                <w:color w:val="auto"/>
              </w:rPr>
            </w:pPr>
          </w:p>
        </w:tc>
        <w:tc>
          <w:tcPr>
            <w:tcW w:w="980" w:type="dxa"/>
            <w:vAlign w:val="bottom"/>
          </w:tcPr>
          <w:p>
            <w:pPr>
              <w:jc w:val="right"/>
              <w:ind w:right="142"/>
              <w:spacing w:after="0"/>
              <w:rPr>
                <w:sz w:val="20"/>
                <w:szCs w:val="20"/>
                <w:color w:val="auto"/>
              </w:rPr>
            </w:pPr>
            <w:r>
              <w:rPr>
                <w:rFonts w:ascii="Arial" w:cs="Arial" w:eastAsia="Arial" w:hAnsi="Arial"/>
                <w:sz w:val="16"/>
                <w:szCs w:val="16"/>
                <w:color w:val="auto"/>
              </w:rPr>
              <w:t>2023</w:t>
            </w:r>
          </w:p>
        </w:tc>
        <w:tc>
          <w:tcPr>
            <w:tcW w:w="800" w:type="dxa"/>
            <w:vAlign w:val="bottom"/>
          </w:tcPr>
          <w:p>
            <w:pPr>
              <w:spacing w:after="0"/>
              <w:rPr>
                <w:sz w:val="17"/>
                <w:szCs w:val="17"/>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2022</w:t>
            </w:r>
          </w:p>
        </w:tc>
      </w:tr>
      <w:tr>
        <w:trPr>
          <w:trHeight w:val="205"/>
        </w:trPr>
        <w:tc>
          <w:tcPr>
            <w:tcW w:w="3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Realized gains on investments</w:t>
            </w:r>
          </w:p>
        </w:tc>
        <w:tc>
          <w:tcPr>
            <w:tcW w:w="1480" w:type="dxa"/>
            <w:vAlign w:val="bottom"/>
            <w:shd w:val="clear" w:color="auto" w:fill="CFF0FC"/>
          </w:tcPr>
          <w:p>
            <w:pPr>
              <w:jc w:val="right"/>
              <w:ind w:right="342"/>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682"/>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302"/>
              <w:spacing w:after="0"/>
              <w:rPr>
                <w:sz w:val="20"/>
                <w:szCs w:val="20"/>
                <w:color w:val="auto"/>
              </w:rPr>
            </w:pPr>
            <w:r>
              <w:rPr>
                <w:rFonts w:ascii="Arial" w:cs="Arial" w:eastAsia="Arial" w:hAnsi="Arial"/>
                <w:sz w:val="16"/>
                <w:szCs w:val="16"/>
                <w:color w:val="auto"/>
              </w:rPr>
              <w:t>36</w:t>
            </w:r>
          </w:p>
        </w:tc>
        <w:tc>
          <w:tcPr>
            <w:tcW w:w="760" w:type="dxa"/>
            <w:vAlign w:val="bottom"/>
            <w:shd w:val="clear" w:color="auto" w:fill="CFF0FC"/>
          </w:tcPr>
          <w:p>
            <w:pPr>
              <w:jc w:val="right"/>
              <w:ind w:right="222"/>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2,021</w:t>
            </w:r>
          </w:p>
        </w:tc>
        <w:tc>
          <w:tcPr>
            <w:tcW w:w="800" w:type="dxa"/>
            <w:vAlign w:val="bottom"/>
            <w:shd w:val="clear" w:color="auto" w:fill="CFF0FC"/>
          </w:tcPr>
          <w:p>
            <w:pPr>
              <w:jc w:val="right"/>
              <w:ind w:right="502"/>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36</w:t>
            </w:r>
          </w:p>
        </w:tc>
      </w:tr>
      <w:tr>
        <w:trPr>
          <w:trHeight w:val="203"/>
        </w:trPr>
        <w:tc>
          <w:tcPr>
            <w:tcW w:w="3160" w:type="dxa"/>
            <w:vAlign w:val="bottom"/>
          </w:tcPr>
          <w:p>
            <w:pPr>
              <w:ind w:left="20"/>
              <w:spacing w:after="0"/>
              <w:rPr>
                <w:sz w:val="20"/>
                <w:szCs w:val="20"/>
                <w:color w:val="auto"/>
              </w:rPr>
            </w:pPr>
            <w:r>
              <w:rPr>
                <w:rFonts w:ascii="Arial" w:cs="Arial" w:eastAsia="Arial" w:hAnsi="Arial"/>
                <w:sz w:val="16"/>
                <w:szCs w:val="16"/>
                <w:color w:val="auto"/>
              </w:rPr>
              <w:t>Realized losses on investments</w:t>
            </w:r>
          </w:p>
        </w:tc>
        <w:tc>
          <w:tcPr>
            <w:tcW w:w="148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7"/>
                <w:szCs w:val="17"/>
                <w:color w:val="auto"/>
              </w:rPr>
            </w:pPr>
          </w:p>
        </w:tc>
        <w:tc>
          <w:tcPr>
            <w:tcW w:w="82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(1,948)</w:t>
            </w:r>
          </w:p>
        </w:tc>
        <w:tc>
          <w:tcPr>
            <w:tcW w:w="8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244"/>
        </w:trPr>
        <w:tc>
          <w:tcPr>
            <w:tcW w:w="316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4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68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302"/>
              <w:spacing w:after="0"/>
              <w:rPr>
                <w:sz w:val="20"/>
                <w:szCs w:val="20"/>
                <w:color w:val="auto"/>
              </w:rPr>
            </w:pPr>
            <w:r>
              <w:rPr>
                <w:rFonts w:ascii="Arial" w:cs="Arial" w:eastAsia="Arial" w:hAnsi="Arial"/>
                <w:sz w:val="16"/>
                <w:szCs w:val="16"/>
                <w:color w:val="auto"/>
              </w:rPr>
              <w:t>36</w:t>
            </w:r>
          </w:p>
        </w:tc>
        <w:tc>
          <w:tcPr>
            <w:tcW w:w="760" w:type="dxa"/>
            <w:vAlign w:val="bottom"/>
            <w:tcBorders>
              <w:bottom w:val="single" w:sz="8" w:color="auto"/>
            </w:tcBorders>
            <w:shd w:val="clear" w:color="auto" w:fill="CFF0FC"/>
          </w:tcPr>
          <w:p>
            <w:pPr>
              <w:jc w:val="right"/>
              <w:ind w:right="22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6"/>
                <w:szCs w:val="16"/>
                <w:color w:val="auto"/>
              </w:rPr>
              <w:t>73</w:t>
            </w:r>
          </w:p>
        </w:tc>
        <w:tc>
          <w:tcPr>
            <w:tcW w:w="800" w:type="dxa"/>
            <w:vAlign w:val="bottom"/>
            <w:tcBorders>
              <w:bottom w:val="single" w:sz="8" w:color="auto"/>
            </w:tcBorders>
            <w:shd w:val="clear" w:color="auto" w:fill="CFF0FC"/>
          </w:tcPr>
          <w:p>
            <w:pPr>
              <w:jc w:val="right"/>
              <w:ind w:right="50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30</w:t>
            </w:r>
          </w:p>
        </w:tc>
      </w:tr>
    </w:tbl>
    <w:p>
      <w:pPr>
        <w:spacing w:after="0" w:line="2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June 30, 2023 and December 31, 2022, securities with a fair value of $100.4 million and $99.8 million, respectively, were pledged to collateralize certain municipal deposit relationships. As of the same dates, securities with a fair value of $50.3 million and $38.1 million, respectively, were pledged against certain borrowing arrangements.</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Management has reviewed its loan and mortgage-backed securities portfolios and determined that, to the best of its knowledge, only minimal exposure exists to sub-prime or other high-risk residential mortgages. With limited exceptions in the Company’s investment portfolio involving the most senior tranches of securitized bonds, the Company is not in the practice of investing in, or originating, these types of investment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Pension and Postretirement Benefits</w:t>
      </w:r>
    </w:p>
    <w:p>
      <w:pPr>
        <w:spacing w:after="0" w:line="23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 has a noncontributory defined benefit pension plan covering most employees. The plan provides defined benefits based on years of service and final average salary. On May 14, 2012, the Company informed its employees of its decision to freeze participation and benefit accruals under the plan, primarily to reduce some of the volatility in earnings that can accompany the maintenance of a defined benefit plan. The plan was frozen on June 30, 2012. Compensation earned by employees up to June 30, 2012 is used for purposes of calculating benefits under the plan but there are no future benefit accruals after this date. Participants as of June 30, 2012 will continue to earn vesting credit with respect to their frozen accrued benefits as they continue to work. In addition, the Company provides certain health and life insurance benefits for a limited number of eligible retired employees. The healthcare plan is contributory with participants’ contributions adjusted annually; the life insurance plan is noncontributory. Employees with less than 14 years of service as of January 1, 1995, are not eligible for the health and life insurance retirement benefits.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net periodic pension plan and postretirement plan costs for the indicated periods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80" w:type="dxa"/>
            <w:vAlign w:val="bottom"/>
            <w:gridSpan w:val="3"/>
          </w:tcPr>
          <w:p>
            <w:pPr>
              <w:jc w:val="right"/>
              <w:ind w:right="408"/>
              <w:spacing w:after="0"/>
              <w:rPr>
                <w:sz w:val="20"/>
                <w:szCs w:val="20"/>
                <w:color w:val="auto"/>
              </w:rPr>
            </w:pPr>
            <w:r>
              <w:rPr>
                <w:rFonts w:ascii="Arial" w:cs="Arial" w:eastAsia="Arial" w:hAnsi="Arial"/>
                <w:sz w:val="14"/>
                <w:szCs w:val="14"/>
                <w:color w:val="auto"/>
              </w:rPr>
              <w:t>Pension Benefits</w:t>
            </w:r>
          </w:p>
        </w:tc>
        <w:tc>
          <w:tcPr>
            <w:tcW w:w="200" w:type="dxa"/>
            <w:vAlign w:val="bottom"/>
          </w:tcPr>
          <w:p>
            <w:pPr>
              <w:spacing w:after="0"/>
              <w:rPr>
                <w:sz w:val="15"/>
                <w:szCs w:val="15"/>
                <w:color w:val="auto"/>
              </w:rPr>
            </w:pPr>
          </w:p>
        </w:tc>
        <w:tc>
          <w:tcPr>
            <w:tcW w:w="1760" w:type="dxa"/>
            <w:vAlign w:val="bottom"/>
            <w:gridSpan w:val="3"/>
          </w:tcPr>
          <w:p>
            <w:pPr>
              <w:jc w:val="right"/>
              <w:ind w:right="188"/>
              <w:spacing w:after="0"/>
              <w:rPr>
                <w:sz w:val="20"/>
                <w:szCs w:val="20"/>
                <w:color w:val="auto"/>
              </w:rPr>
            </w:pPr>
            <w:r>
              <w:rPr>
                <w:rFonts w:ascii="Arial" w:cs="Arial" w:eastAsia="Arial" w:hAnsi="Arial"/>
                <w:sz w:val="14"/>
                <w:szCs w:val="14"/>
                <w:color w:val="auto"/>
              </w:rPr>
              <w:t>Postretirement Benefits</w:t>
            </w:r>
          </w:p>
        </w:tc>
        <w:tc>
          <w:tcPr>
            <w:tcW w:w="320" w:type="dxa"/>
            <w:vAlign w:val="bottom"/>
          </w:tcPr>
          <w:p>
            <w:pPr>
              <w:spacing w:after="0"/>
              <w:rPr>
                <w:sz w:val="15"/>
                <w:szCs w:val="15"/>
                <w:color w:val="auto"/>
              </w:rPr>
            </w:pPr>
          </w:p>
        </w:tc>
        <w:tc>
          <w:tcPr>
            <w:tcW w:w="1680" w:type="dxa"/>
            <w:vAlign w:val="bottom"/>
            <w:gridSpan w:val="3"/>
          </w:tcPr>
          <w:p>
            <w:pPr>
              <w:jc w:val="right"/>
              <w:ind w:right="428"/>
              <w:spacing w:after="0"/>
              <w:rPr>
                <w:sz w:val="20"/>
                <w:szCs w:val="20"/>
                <w:color w:val="auto"/>
              </w:rPr>
            </w:pPr>
            <w:r>
              <w:rPr>
                <w:rFonts w:ascii="Arial" w:cs="Arial" w:eastAsia="Arial" w:hAnsi="Arial"/>
                <w:sz w:val="14"/>
                <w:szCs w:val="14"/>
                <w:color w:val="auto"/>
              </w:rPr>
              <w:t>Pension Benefits</w:t>
            </w:r>
          </w:p>
        </w:tc>
        <w:tc>
          <w:tcPr>
            <w:tcW w:w="1800" w:type="dxa"/>
            <w:vAlign w:val="bottom"/>
            <w:gridSpan w:val="4"/>
          </w:tcPr>
          <w:p>
            <w:pPr>
              <w:jc w:val="right"/>
              <w:ind w:right="88"/>
              <w:spacing w:after="0"/>
              <w:rPr>
                <w:sz w:val="20"/>
                <w:szCs w:val="20"/>
                <w:color w:val="auto"/>
              </w:rPr>
            </w:pPr>
            <w:r>
              <w:rPr>
                <w:rFonts w:ascii="Arial" w:cs="Arial" w:eastAsia="Arial" w:hAnsi="Arial"/>
                <w:sz w:val="14"/>
                <w:szCs w:val="14"/>
                <w:color w:val="auto"/>
              </w:rPr>
              <w:t>Postretirement Benefits</w:t>
            </w:r>
          </w:p>
        </w:tc>
      </w:tr>
      <w:tr>
        <w:trPr>
          <w:trHeight w:val="192"/>
        </w:trPr>
        <w:tc>
          <w:tcPr>
            <w:tcW w:w="2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0" w:type="dxa"/>
            <w:vAlign w:val="bottom"/>
            <w:gridSpan w:val="6"/>
          </w:tcPr>
          <w:p>
            <w:pPr>
              <w:jc w:val="right"/>
              <w:ind w:right="88"/>
              <w:spacing w:after="0"/>
              <w:rPr>
                <w:sz w:val="20"/>
                <w:szCs w:val="20"/>
                <w:color w:val="auto"/>
              </w:rPr>
            </w:pPr>
            <w:r>
              <w:rPr>
                <w:rFonts w:ascii="Arial" w:cs="Arial" w:eastAsia="Arial" w:hAnsi="Arial"/>
                <w:sz w:val="14"/>
                <w:szCs w:val="14"/>
                <w:color w:val="auto"/>
              </w:rPr>
              <w:t>For the three months ended June 30,</w:t>
            </w: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jc w:val="right"/>
              <w:spacing w:after="0"/>
              <w:rPr>
                <w:sz w:val="20"/>
                <w:szCs w:val="20"/>
                <w:color w:val="auto"/>
              </w:rPr>
            </w:pPr>
            <w:r>
              <w:rPr>
                <w:rFonts w:ascii="Arial" w:cs="Arial" w:eastAsia="Arial" w:hAnsi="Arial"/>
                <w:sz w:val="14"/>
                <w:szCs w:val="14"/>
                <w:color w:val="auto"/>
              </w:rPr>
              <w:t>For the six months ended June 30,</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07"/>
        </w:trPr>
        <w:tc>
          <w:tcPr>
            <w:tcW w:w="2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8"/>
                <w:szCs w:val="18"/>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2023</w:t>
            </w:r>
          </w:p>
        </w:tc>
        <w:tc>
          <w:tcPr>
            <w:tcW w:w="340" w:type="dxa"/>
            <w:vAlign w:val="bottom"/>
          </w:tcPr>
          <w:p>
            <w:pPr>
              <w:spacing w:after="0"/>
              <w:rPr>
                <w:sz w:val="18"/>
                <w:szCs w:val="18"/>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2022</w:t>
            </w:r>
          </w:p>
        </w:tc>
        <w:tc>
          <w:tcPr>
            <w:tcW w:w="200" w:type="dxa"/>
            <w:vAlign w:val="bottom"/>
          </w:tcPr>
          <w:p>
            <w:pPr>
              <w:spacing w:after="0"/>
              <w:rPr>
                <w:sz w:val="18"/>
                <w:szCs w:val="18"/>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2023</w:t>
            </w:r>
          </w:p>
        </w:tc>
        <w:tc>
          <w:tcPr>
            <w:tcW w:w="340" w:type="dxa"/>
            <w:vAlign w:val="bottom"/>
          </w:tcPr>
          <w:p>
            <w:pPr>
              <w:spacing w:after="0"/>
              <w:rPr>
                <w:sz w:val="18"/>
                <w:szCs w:val="18"/>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2022</w:t>
            </w:r>
          </w:p>
        </w:tc>
        <w:tc>
          <w:tcPr>
            <w:tcW w:w="320" w:type="dxa"/>
            <w:vAlign w:val="bottom"/>
          </w:tcPr>
          <w:p>
            <w:pPr>
              <w:spacing w:after="0"/>
              <w:rPr>
                <w:sz w:val="18"/>
                <w:szCs w:val="18"/>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2023</w:t>
            </w:r>
          </w:p>
        </w:tc>
        <w:tc>
          <w:tcPr>
            <w:tcW w:w="360" w:type="dxa"/>
            <w:vAlign w:val="bottom"/>
          </w:tcPr>
          <w:p>
            <w:pPr>
              <w:spacing w:after="0"/>
              <w:rPr>
                <w:sz w:val="18"/>
                <w:szCs w:val="18"/>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2022</w:t>
            </w:r>
          </w:p>
        </w:tc>
        <w:tc>
          <w:tcPr>
            <w:tcW w:w="300" w:type="dxa"/>
            <w:vAlign w:val="bottom"/>
          </w:tcPr>
          <w:p>
            <w:pPr>
              <w:spacing w:after="0"/>
              <w:rPr>
                <w:sz w:val="18"/>
                <w:szCs w:val="18"/>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color w:val="auto"/>
              </w:rPr>
              <w:t>2023</w:t>
            </w:r>
          </w:p>
        </w:tc>
        <w:tc>
          <w:tcPr>
            <w:tcW w:w="220" w:type="dxa"/>
            <w:vAlign w:val="bottom"/>
          </w:tcPr>
          <w:p>
            <w:pPr>
              <w:spacing w:after="0"/>
              <w:rPr>
                <w:sz w:val="18"/>
                <w:szCs w:val="18"/>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2022</w:t>
            </w:r>
          </w:p>
        </w:tc>
      </w:tr>
      <w:tr>
        <w:trPr>
          <w:trHeight w:val="195"/>
        </w:trPr>
        <w:tc>
          <w:tcPr>
            <w:tcW w:w="2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Service cost</w:t>
            </w:r>
          </w:p>
        </w:tc>
        <w:tc>
          <w:tcPr>
            <w:tcW w:w="4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2680" w:type="dxa"/>
            <w:vAlign w:val="bottom"/>
          </w:tcPr>
          <w:p>
            <w:pPr>
              <w:ind w:left="20"/>
              <w:spacing w:after="0"/>
              <w:rPr>
                <w:sz w:val="20"/>
                <w:szCs w:val="20"/>
                <w:color w:val="auto"/>
              </w:rPr>
            </w:pPr>
            <w:r>
              <w:rPr>
                <w:rFonts w:ascii="Arial" w:cs="Arial" w:eastAsia="Arial" w:hAnsi="Arial"/>
                <w:sz w:val="14"/>
                <w:szCs w:val="14"/>
                <w:color w:val="auto"/>
              </w:rPr>
              <w:t>Interest cost</w:t>
            </w:r>
          </w:p>
        </w:tc>
        <w:tc>
          <w:tcPr>
            <w:tcW w:w="44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141</w:t>
            </w:r>
          </w:p>
        </w:tc>
        <w:tc>
          <w:tcPr>
            <w:tcW w:w="34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116</w:t>
            </w: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281</w:t>
            </w:r>
          </w:p>
        </w:tc>
        <w:tc>
          <w:tcPr>
            <w:tcW w:w="36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232</w:t>
            </w:r>
          </w:p>
        </w:tc>
        <w:tc>
          <w:tcPr>
            <w:tcW w:w="300" w:type="dxa"/>
            <w:vAlign w:val="bottom"/>
          </w:tcPr>
          <w:p>
            <w:pPr>
              <w:spacing w:after="0"/>
              <w:rPr>
                <w:sz w:val="16"/>
                <w:szCs w:val="16"/>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5</w:t>
            </w:r>
          </w:p>
        </w:tc>
      </w:tr>
      <w:tr>
        <w:trPr>
          <w:trHeight w:val="195"/>
        </w:trPr>
        <w:tc>
          <w:tcPr>
            <w:tcW w:w="2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Expected return on plan assets</w:t>
            </w:r>
          </w:p>
        </w:tc>
        <w:tc>
          <w:tcPr>
            <w:tcW w:w="44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(242 )</w:t>
            </w: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(267 )</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(483 )</w:t>
            </w:r>
          </w:p>
        </w:tc>
        <w:tc>
          <w:tcPr>
            <w:tcW w:w="36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(534 )</w:t>
            </w:r>
          </w:p>
        </w:tc>
        <w:tc>
          <w:tcPr>
            <w:tcW w:w="30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2680" w:type="dxa"/>
            <w:vAlign w:val="bottom"/>
          </w:tcPr>
          <w:p>
            <w:pPr>
              <w:ind w:left="20"/>
              <w:spacing w:after="0"/>
              <w:rPr>
                <w:sz w:val="20"/>
                <w:szCs w:val="20"/>
                <w:color w:val="auto"/>
              </w:rPr>
            </w:pPr>
            <w:r>
              <w:rPr>
                <w:rFonts w:ascii="Arial" w:cs="Arial" w:eastAsia="Arial" w:hAnsi="Arial"/>
                <w:sz w:val="14"/>
                <w:szCs w:val="14"/>
                <w:color w:val="auto"/>
              </w:rPr>
              <w:t>Amortization of prior service credits</w:t>
            </w:r>
          </w:p>
        </w:tc>
        <w:tc>
          <w:tcPr>
            <w:tcW w:w="44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(1 )</w:t>
            </w:r>
          </w:p>
        </w:tc>
        <w:tc>
          <w:tcPr>
            <w:tcW w:w="3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(1 )</w:t>
            </w:r>
          </w:p>
        </w:tc>
        <w:tc>
          <w:tcPr>
            <w:tcW w:w="32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(2 )</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(2 )</w:t>
            </w:r>
          </w:p>
        </w:tc>
      </w:tr>
      <w:tr>
        <w:trPr>
          <w:trHeight w:val="195"/>
        </w:trPr>
        <w:tc>
          <w:tcPr>
            <w:tcW w:w="2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Amortization of net losses</w:t>
            </w:r>
          </w:p>
        </w:tc>
        <w:tc>
          <w:tcPr>
            <w:tcW w:w="44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58</w:t>
            </w: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(2 )</w:t>
            </w:r>
          </w:p>
        </w:tc>
        <w:tc>
          <w:tcPr>
            <w:tcW w:w="34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w:t>
            </w: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114</w:t>
            </w:r>
          </w:p>
        </w:tc>
        <w:tc>
          <w:tcPr>
            <w:tcW w:w="36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(3 )</w:t>
            </w: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w:t>
            </w:r>
          </w:p>
        </w:tc>
      </w:tr>
      <w:tr>
        <w:trPr>
          <w:trHeight w:val="189"/>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periodic benefit plan (benefit) cost</w:t>
            </w: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(43 )</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(1 )</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(88 )</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(302 )</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(1 )</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r>
      <w:tr>
        <w:trPr>
          <w:trHeight w:val="20"/>
        </w:trPr>
        <w:tc>
          <w:tcPr>
            <w:tcW w:w="2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will evaluate the need for further contributions to the defined benefit pension plan during 2023. The prepaid pension asset is recorded in other assets on the consolidated statements of condition as of June 30, 2023 and December 31, 2022.</w:t>
      </w: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18</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52" w:right="680"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6:  Loans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loans at the indicated dates are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June 30,</w:t>
            </w:r>
          </w:p>
        </w:tc>
        <w:tc>
          <w:tcPr>
            <w:tcW w:w="38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December 31,</w:t>
            </w:r>
          </w:p>
        </w:tc>
      </w:tr>
      <w:tr>
        <w:trPr>
          <w:trHeight w:val="205"/>
        </w:trPr>
        <w:tc>
          <w:tcPr>
            <w:tcW w:w="51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620" w:type="dxa"/>
            <w:vAlign w:val="bottom"/>
          </w:tcPr>
          <w:p>
            <w:pPr>
              <w:spacing w:after="0"/>
              <w:rPr>
                <w:sz w:val="17"/>
                <w:szCs w:val="17"/>
                <w:color w:val="auto"/>
              </w:rPr>
            </w:pP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2023</w:t>
            </w:r>
          </w:p>
        </w:tc>
        <w:tc>
          <w:tcPr>
            <w:tcW w:w="38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2022</w:t>
            </w:r>
          </w:p>
        </w:tc>
      </w:tr>
      <w:tr>
        <w:trPr>
          <w:trHeight w:val="205"/>
        </w:trPr>
        <w:tc>
          <w:tcPr>
            <w:tcW w:w="5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Residential mortgage loans:</w:t>
            </w:r>
          </w:p>
        </w:tc>
        <w:tc>
          <w:tcPr>
            <w:tcW w:w="26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03"/>
        </w:trPr>
        <w:tc>
          <w:tcPr>
            <w:tcW w:w="5140" w:type="dxa"/>
            <w:vAlign w:val="bottom"/>
          </w:tcPr>
          <w:p>
            <w:pPr>
              <w:ind w:left="180"/>
              <w:spacing w:after="0"/>
              <w:rPr>
                <w:sz w:val="20"/>
                <w:szCs w:val="20"/>
                <w:color w:val="auto"/>
              </w:rPr>
            </w:pPr>
            <w:r>
              <w:rPr>
                <w:rFonts w:ascii="Arial" w:cs="Arial" w:eastAsia="Arial" w:hAnsi="Arial"/>
                <w:sz w:val="16"/>
                <w:szCs w:val="16"/>
                <w:color w:val="auto"/>
              </w:rPr>
              <w:t>1-4 family first-lien residential mortgages</w:t>
            </w:r>
          </w:p>
        </w:tc>
        <w:tc>
          <w:tcPr>
            <w:tcW w:w="262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256,201</w:t>
            </w:r>
          </w:p>
        </w:tc>
        <w:tc>
          <w:tcPr>
            <w:tcW w:w="3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257,656</w:t>
            </w:r>
          </w:p>
        </w:tc>
      </w:tr>
      <w:tr>
        <w:trPr>
          <w:trHeight w:val="205"/>
        </w:trPr>
        <w:tc>
          <w:tcPr>
            <w:tcW w:w="5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Construction</w:t>
            </w:r>
          </w:p>
        </w:tc>
        <w:tc>
          <w:tcPr>
            <w:tcW w:w="26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2,479</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5,085</w:t>
            </w:r>
          </w:p>
        </w:tc>
      </w:tr>
      <w:tr>
        <w:trPr>
          <w:trHeight w:val="203"/>
        </w:trPr>
        <w:tc>
          <w:tcPr>
            <w:tcW w:w="5140" w:type="dxa"/>
            <w:vAlign w:val="bottom"/>
          </w:tcPr>
          <w:p>
            <w:pPr>
              <w:ind w:left="180"/>
              <w:spacing w:after="0"/>
              <w:rPr>
                <w:sz w:val="20"/>
                <w:szCs w:val="20"/>
                <w:color w:val="auto"/>
              </w:rPr>
            </w:pPr>
            <w:r>
              <w:rPr>
                <w:rFonts w:ascii="Arial" w:cs="Arial" w:eastAsia="Arial" w:hAnsi="Arial"/>
                <w:sz w:val="16"/>
                <w:szCs w:val="16"/>
                <w:color w:val="auto"/>
              </w:rPr>
              <w:t>Loans held-for-sale</w:t>
            </w:r>
          </w:p>
        </w:tc>
        <w:tc>
          <w:tcPr>
            <w:tcW w:w="2620" w:type="dxa"/>
            <w:vAlign w:val="bottom"/>
          </w:tcPr>
          <w:p>
            <w:pPr>
              <w:spacing w:after="0"/>
              <w:rPr>
                <w:sz w:val="17"/>
                <w:szCs w:val="17"/>
                <w:color w:val="auto"/>
              </w:rPr>
            </w:pP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19</w:t>
            </w:r>
          </w:p>
        </w:tc>
      </w:tr>
      <w:tr>
        <w:trPr>
          <w:trHeight w:val="205"/>
        </w:trPr>
        <w:tc>
          <w:tcPr>
            <w:tcW w:w="5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residential mortgage loans</w:t>
            </w:r>
          </w:p>
        </w:tc>
        <w:tc>
          <w:tcPr>
            <w:tcW w:w="26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258,680</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262,760</w:t>
            </w:r>
          </w:p>
        </w:tc>
      </w:tr>
      <w:tr>
        <w:trPr>
          <w:trHeight w:val="204"/>
        </w:trPr>
        <w:tc>
          <w:tcPr>
            <w:tcW w:w="51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4"/>
        </w:trPr>
        <w:tc>
          <w:tcPr>
            <w:tcW w:w="5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loans:</w:t>
            </w:r>
          </w:p>
        </w:tc>
        <w:tc>
          <w:tcPr>
            <w:tcW w:w="26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03"/>
        </w:trPr>
        <w:tc>
          <w:tcPr>
            <w:tcW w:w="5140" w:type="dxa"/>
            <w:vAlign w:val="bottom"/>
          </w:tcPr>
          <w:p>
            <w:pPr>
              <w:ind w:left="180"/>
              <w:spacing w:after="0"/>
              <w:rPr>
                <w:sz w:val="20"/>
                <w:szCs w:val="20"/>
                <w:color w:val="auto"/>
              </w:rPr>
            </w:pPr>
            <w:r>
              <w:rPr>
                <w:rFonts w:ascii="Arial" w:cs="Arial" w:eastAsia="Arial" w:hAnsi="Arial"/>
                <w:sz w:val="16"/>
                <w:szCs w:val="16"/>
                <w:color w:val="auto"/>
              </w:rPr>
              <w:t>Real estate</w:t>
            </w:r>
          </w:p>
        </w:tc>
        <w:tc>
          <w:tcPr>
            <w:tcW w:w="2620" w:type="dxa"/>
            <w:vAlign w:val="bottom"/>
          </w:tcPr>
          <w:p>
            <w:pPr>
              <w:spacing w:after="0"/>
              <w:rPr>
                <w:sz w:val="17"/>
                <w:szCs w:val="17"/>
                <w:color w:val="auto"/>
              </w:rPr>
            </w:pP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355,605</w:t>
            </w:r>
          </w:p>
        </w:tc>
        <w:tc>
          <w:tcPr>
            <w:tcW w:w="38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345,330</w:t>
            </w:r>
          </w:p>
        </w:tc>
      </w:tr>
      <w:tr>
        <w:trPr>
          <w:trHeight w:val="205"/>
        </w:trPr>
        <w:tc>
          <w:tcPr>
            <w:tcW w:w="5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Lines of credit</w:t>
            </w:r>
          </w:p>
        </w:tc>
        <w:tc>
          <w:tcPr>
            <w:tcW w:w="26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70,624</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82,050</w:t>
            </w:r>
          </w:p>
        </w:tc>
      </w:tr>
      <w:tr>
        <w:trPr>
          <w:trHeight w:val="203"/>
        </w:trPr>
        <w:tc>
          <w:tcPr>
            <w:tcW w:w="5140" w:type="dxa"/>
            <w:vAlign w:val="bottom"/>
          </w:tcPr>
          <w:p>
            <w:pPr>
              <w:ind w:left="180"/>
              <w:spacing w:after="0"/>
              <w:rPr>
                <w:sz w:val="20"/>
                <w:szCs w:val="20"/>
                <w:color w:val="auto"/>
              </w:rPr>
            </w:pPr>
            <w:r>
              <w:rPr>
                <w:rFonts w:ascii="Arial" w:cs="Arial" w:eastAsia="Arial" w:hAnsi="Arial"/>
                <w:sz w:val="16"/>
                <w:szCs w:val="16"/>
                <w:color w:val="auto"/>
              </w:rPr>
              <w:t>Other commercial and industrial</w:t>
            </w:r>
          </w:p>
        </w:tc>
        <w:tc>
          <w:tcPr>
            <w:tcW w:w="2620" w:type="dxa"/>
            <w:vAlign w:val="bottom"/>
          </w:tcPr>
          <w:p>
            <w:pPr>
              <w:spacing w:after="0"/>
              <w:rPr>
                <w:sz w:val="17"/>
                <w:szCs w:val="17"/>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84,581</w:t>
            </w:r>
          </w:p>
        </w:tc>
        <w:tc>
          <w:tcPr>
            <w:tcW w:w="38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77,273</w:t>
            </w:r>
          </w:p>
        </w:tc>
      </w:tr>
      <w:tr>
        <w:trPr>
          <w:trHeight w:val="205"/>
        </w:trPr>
        <w:tc>
          <w:tcPr>
            <w:tcW w:w="5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Paycheck Protection Program loans</w:t>
            </w:r>
          </w:p>
        </w:tc>
        <w:tc>
          <w:tcPr>
            <w:tcW w:w="26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181</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203</w:t>
            </w:r>
          </w:p>
        </w:tc>
      </w:tr>
      <w:tr>
        <w:trPr>
          <w:trHeight w:val="203"/>
        </w:trPr>
        <w:tc>
          <w:tcPr>
            <w:tcW w:w="5140" w:type="dxa"/>
            <w:vAlign w:val="bottom"/>
          </w:tcPr>
          <w:p>
            <w:pPr>
              <w:ind w:left="180"/>
              <w:spacing w:after="0"/>
              <w:rPr>
                <w:sz w:val="20"/>
                <w:szCs w:val="20"/>
                <w:color w:val="auto"/>
              </w:rPr>
            </w:pPr>
            <w:r>
              <w:rPr>
                <w:rFonts w:ascii="Arial" w:cs="Arial" w:eastAsia="Arial" w:hAnsi="Arial"/>
                <w:sz w:val="16"/>
                <w:szCs w:val="16"/>
                <w:color w:val="auto"/>
              </w:rPr>
              <w:t>Tax exempt loans</w:t>
            </w:r>
          </w:p>
        </w:tc>
        <w:tc>
          <w:tcPr>
            <w:tcW w:w="2620" w:type="dxa"/>
            <w:vAlign w:val="bottom"/>
          </w:tcPr>
          <w:p>
            <w:pPr>
              <w:spacing w:after="0"/>
              <w:rPr>
                <w:sz w:val="17"/>
                <w:szCs w:val="17"/>
                <w:color w:val="auto"/>
              </w:rPr>
            </w:pP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3,963</w:t>
            </w:r>
          </w:p>
        </w:tc>
        <w:tc>
          <w:tcPr>
            <w:tcW w:w="38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4,280</w:t>
            </w:r>
          </w:p>
        </w:tc>
      </w:tr>
      <w:tr>
        <w:trPr>
          <w:trHeight w:val="205"/>
        </w:trPr>
        <w:tc>
          <w:tcPr>
            <w:tcW w:w="5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commercial loans</w:t>
            </w:r>
          </w:p>
        </w:tc>
        <w:tc>
          <w:tcPr>
            <w:tcW w:w="26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514,954</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509,136</w:t>
            </w:r>
          </w:p>
        </w:tc>
      </w:tr>
      <w:tr>
        <w:trPr>
          <w:trHeight w:val="204"/>
        </w:trPr>
        <w:tc>
          <w:tcPr>
            <w:tcW w:w="51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4"/>
        </w:trPr>
        <w:tc>
          <w:tcPr>
            <w:tcW w:w="5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Consumer loans:</w:t>
            </w:r>
          </w:p>
        </w:tc>
        <w:tc>
          <w:tcPr>
            <w:tcW w:w="26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03"/>
        </w:trPr>
        <w:tc>
          <w:tcPr>
            <w:tcW w:w="5140" w:type="dxa"/>
            <w:vAlign w:val="bottom"/>
          </w:tcPr>
          <w:p>
            <w:pPr>
              <w:ind w:left="180"/>
              <w:spacing w:after="0"/>
              <w:rPr>
                <w:sz w:val="20"/>
                <w:szCs w:val="20"/>
                <w:color w:val="auto"/>
              </w:rPr>
            </w:pPr>
            <w:r>
              <w:rPr>
                <w:rFonts w:ascii="Arial" w:cs="Arial" w:eastAsia="Arial" w:hAnsi="Arial"/>
                <w:sz w:val="16"/>
                <w:szCs w:val="16"/>
                <w:color w:val="auto"/>
              </w:rPr>
              <w:t>Home equity and junior liens</w:t>
            </w:r>
          </w:p>
        </w:tc>
        <w:tc>
          <w:tcPr>
            <w:tcW w:w="2620" w:type="dxa"/>
            <w:vAlign w:val="bottom"/>
          </w:tcPr>
          <w:p>
            <w:pPr>
              <w:spacing w:after="0"/>
              <w:rPr>
                <w:sz w:val="17"/>
                <w:szCs w:val="17"/>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34,028</w:t>
            </w:r>
          </w:p>
        </w:tc>
        <w:tc>
          <w:tcPr>
            <w:tcW w:w="38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34,007</w:t>
            </w:r>
          </w:p>
        </w:tc>
      </w:tr>
      <w:tr>
        <w:trPr>
          <w:trHeight w:val="205"/>
        </w:trPr>
        <w:tc>
          <w:tcPr>
            <w:tcW w:w="5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consumer</w:t>
            </w:r>
          </w:p>
        </w:tc>
        <w:tc>
          <w:tcPr>
            <w:tcW w:w="26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84,646</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92,851</w:t>
            </w:r>
          </w:p>
        </w:tc>
      </w:tr>
      <w:tr>
        <w:trPr>
          <w:trHeight w:val="203"/>
        </w:trPr>
        <w:tc>
          <w:tcPr>
            <w:tcW w:w="5140" w:type="dxa"/>
            <w:vAlign w:val="bottom"/>
          </w:tcPr>
          <w:p>
            <w:pPr>
              <w:ind w:left="20"/>
              <w:spacing w:after="0"/>
              <w:rPr>
                <w:sz w:val="20"/>
                <w:szCs w:val="20"/>
                <w:color w:val="auto"/>
              </w:rPr>
            </w:pPr>
            <w:r>
              <w:rPr>
                <w:rFonts w:ascii="Arial" w:cs="Arial" w:eastAsia="Arial" w:hAnsi="Arial"/>
                <w:sz w:val="16"/>
                <w:szCs w:val="16"/>
                <w:color w:val="auto"/>
              </w:rPr>
              <w:t>Total consumer loans</w:t>
            </w:r>
          </w:p>
        </w:tc>
        <w:tc>
          <w:tcPr>
            <w:tcW w:w="2620" w:type="dxa"/>
            <w:vAlign w:val="bottom"/>
          </w:tcPr>
          <w:p>
            <w:pPr>
              <w:spacing w:after="0"/>
              <w:rPr>
                <w:sz w:val="17"/>
                <w:szCs w:val="17"/>
                <w:color w:val="auto"/>
              </w:rPr>
            </w:pP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118,674</w:t>
            </w:r>
          </w:p>
        </w:tc>
        <w:tc>
          <w:tcPr>
            <w:tcW w:w="38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126,858</w:t>
            </w:r>
          </w:p>
        </w:tc>
      </w:tr>
      <w:tr>
        <w:trPr>
          <w:trHeight w:val="205"/>
        </w:trPr>
        <w:tc>
          <w:tcPr>
            <w:tcW w:w="5140" w:type="dxa"/>
            <w:vAlign w:val="bottom"/>
            <w:shd w:val="clear" w:color="auto" w:fill="CFF0FC"/>
          </w:tcPr>
          <w:p>
            <w:pPr>
              <w:spacing w:after="0"/>
              <w:rPr>
                <w:sz w:val="17"/>
                <w:szCs w:val="17"/>
                <w:color w:val="auto"/>
              </w:rPr>
            </w:pPr>
          </w:p>
        </w:tc>
        <w:tc>
          <w:tcPr>
            <w:tcW w:w="26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03"/>
        </w:trPr>
        <w:tc>
          <w:tcPr>
            <w:tcW w:w="5140" w:type="dxa"/>
            <w:vAlign w:val="bottom"/>
          </w:tcPr>
          <w:p>
            <w:pPr>
              <w:ind w:left="20"/>
              <w:spacing w:after="0"/>
              <w:rPr>
                <w:sz w:val="20"/>
                <w:szCs w:val="20"/>
                <w:color w:val="auto"/>
              </w:rPr>
            </w:pPr>
            <w:r>
              <w:rPr>
                <w:rFonts w:ascii="Arial" w:cs="Arial" w:eastAsia="Arial" w:hAnsi="Arial"/>
                <w:sz w:val="16"/>
                <w:szCs w:val="16"/>
                <w:color w:val="auto"/>
              </w:rPr>
              <w:t>Total loans</w:t>
            </w:r>
          </w:p>
        </w:tc>
        <w:tc>
          <w:tcPr>
            <w:tcW w:w="2620" w:type="dxa"/>
            <w:vAlign w:val="bottom"/>
          </w:tcPr>
          <w:p>
            <w:pPr>
              <w:spacing w:after="0"/>
              <w:rPr>
                <w:sz w:val="17"/>
                <w:szCs w:val="17"/>
                <w:color w:val="auto"/>
              </w:rPr>
            </w:pP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892,308</w:t>
            </w:r>
          </w:p>
        </w:tc>
        <w:tc>
          <w:tcPr>
            <w:tcW w:w="38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898,754</w:t>
            </w:r>
          </w:p>
        </w:tc>
      </w:tr>
      <w:tr>
        <w:trPr>
          <w:trHeight w:val="205"/>
        </w:trPr>
        <w:tc>
          <w:tcPr>
            <w:tcW w:w="5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Net deferred loan fees</w:t>
            </w:r>
          </w:p>
        </w:tc>
        <w:tc>
          <w:tcPr>
            <w:tcW w:w="26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(1,197)</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r>
      <w:tr>
        <w:trPr>
          <w:trHeight w:val="203"/>
        </w:trPr>
        <w:tc>
          <w:tcPr>
            <w:tcW w:w="5140" w:type="dxa"/>
            <w:vAlign w:val="bottom"/>
          </w:tcPr>
          <w:p>
            <w:pPr>
              <w:ind w:left="180"/>
              <w:spacing w:after="0"/>
              <w:rPr>
                <w:sz w:val="20"/>
                <w:szCs w:val="20"/>
                <w:color w:val="auto"/>
              </w:rPr>
            </w:pPr>
            <w:r>
              <w:rPr>
                <w:rFonts w:ascii="Arial" w:cs="Arial" w:eastAsia="Arial" w:hAnsi="Arial"/>
                <w:sz w:val="16"/>
                <w:szCs w:val="16"/>
                <w:color w:val="auto"/>
              </w:rPr>
              <w:t>Less allowance for credit losses</w:t>
            </w:r>
          </w:p>
        </w:tc>
        <w:tc>
          <w:tcPr>
            <w:tcW w:w="2620" w:type="dxa"/>
            <w:vAlign w:val="bottom"/>
          </w:tcPr>
          <w:p>
            <w:pPr>
              <w:spacing w:after="0"/>
              <w:rPr>
                <w:sz w:val="17"/>
                <w:szCs w:val="17"/>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18,796</w:t>
            </w:r>
          </w:p>
        </w:tc>
        <w:tc>
          <w:tcPr>
            <w:tcW w:w="38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15,319</w:t>
            </w:r>
          </w:p>
        </w:tc>
      </w:tr>
      <w:tr>
        <w:trPr>
          <w:trHeight w:val="244"/>
        </w:trPr>
        <w:tc>
          <w:tcPr>
            <w:tcW w:w="5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Loans receivable, net</w:t>
            </w:r>
          </w:p>
        </w:tc>
        <w:tc>
          <w:tcPr>
            <w:tcW w:w="2620" w:type="dxa"/>
            <w:vAlign w:val="bottom"/>
            <w:tcBorders>
              <w:bottom w:val="single" w:sz="8" w:color="auto"/>
            </w:tcBorders>
            <w:shd w:val="clear" w:color="auto" w:fill="CFF0FC"/>
          </w:tcPr>
          <w:p>
            <w:pPr>
              <w:jc w:val="right"/>
              <w:ind w:right="30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6"/>
                <w:szCs w:val="16"/>
                <w:color w:val="auto"/>
              </w:rPr>
              <w:t>872,315</w:t>
            </w:r>
          </w:p>
        </w:tc>
        <w:tc>
          <w:tcPr>
            <w:tcW w:w="38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882,435</w:t>
            </w:r>
          </w:p>
        </w:tc>
      </w:tr>
    </w:tbl>
    <w:p>
      <w:pPr>
        <w:spacing w:after="0" w:line="2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Although the Bank may sometimes purchase or fund loan participation interests outside of its primary market areas, the Bank generally originates residential mortgage, commercial, and consumer loans largely to customers throughout Oswego and Onondaga counties. Although the Bank has a diversified loan portfolio, a substantial portion of its borrowers’ abilities to honor their loan contracts is dependent upon the counties’ employment and economic conditions.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19</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093" w:right="680" w:bottom="1440" w:gutter="0" w:footer="0" w:header="0"/>
        </w:sectPr>
      </w:pPr>
    </w:p>
    <w:bookmarkStart w:id="19" w:name="page20"/>
    <w:bookmarkEnd w:id="19"/>
    <w:p>
      <w:pPr>
        <w:spacing w:after="0" w:line="278" w:lineRule="auto"/>
        <w:rPr>
          <w:sz w:val="20"/>
          <w:szCs w:val="20"/>
          <w:color w:val="auto"/>
        </w:rPr>
      </w:pPr>
      <w:r>
        <w:rPr>
          <w:rFonts w:ascii="Arial" w:cs="Arial" w:eastAsia="Arial" w:hAnsi="Arial"/>
          <w:sz w:val="17"/>
          <w:szCs w:val="17"/>
          <w:color w:val="auto"/>
        </w:rPr>
        <w:t>From time to time, the Bank acquires diversified pools of loans, originated by unrelated third parties, as part of the Company’s overall balance sheet management strategies. These acquisitions took place with nine separate transactions, that occurred between 2017 and 2019, with an additional six transactions occurring in 2021. The following tables detail the purchased loan pool positions held by the Bank at June 30, 2023 and December 31, 2022 (the month/year of the earliest acquisition date is depicted in parentheses):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ind w:left="20"/>
              <w:spacing w:after="0"/>
              <w:rPr>
                <w:sz w:val="20"/>
                <w:szCs w:val="20"/>
                <w:color w:val="auto"/>
              </w:rPr>
            </w:pPr>
            <w:r>
              <w:rPr>
                <w:rFonts w:ascii="Arial" w:cs="Arial" w:eastAsia="Arial" w:hAnsi="Arial"/>
                <w:sz w:val="16"/>
                <w:szCs w:val="16"/>
                <w:i w:val="1"/>
                <w:iCs w:val="1"/>
                <w:color w:val="auto"/>
              </w:rPr>
              <w:t>(In thousands, except number of loans)</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gridSpan w:val="2"/>
          </w:tcPr>
          <w:p>
            <w:pPr>
              <w:jc w:val="right"/>
              <w:ind w:right="522"/>
              <w:spacing w:after="0"/>
              <w:rPr>
                <w:sz w:val="20"/>
                <w:szCs w:val="20"/>
                <w:color w:val="auto"/>
              </w:rPr>
            </w:pPr>
            <w:r>
              <w:rPr>
                <w:rFonts w:ascii="Arial" w:cs="Arial" w:eastAsia="Arial" w:hAnsi="Arial"/>
                <w:sz w:val="16"/>
                <w:szCs w:val="16"/>
                <w:color w:val="auto"/>
              </w:rPr>
              <w:t>June 30, 2023</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w w:val="95"/>
              </w:rPr>
              <w:t>Cumulativ</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Unamortize</w:t>
            </w: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122"/>
              <w:spacing w:after="0" w:line="180" w:lineRule="exact"/>
              <w:rPr>
                <w:sz w:val="20"/>
                <w:szCs w:val="20"/>
                <w:color w:val="auto"/>
              </w:rPr>
            </w:pPr>
            <w:r>
              <w:rPr>
                <w:rFonts w:ascii="Arial" w:cs="Arial" w:eastAsia="Arial" w:hAnsi="Arial"/>
                <w:sz w:val="16"/>
                <w:szCs w:val="16"/>
                <w:color w:val="auto"/>
              </w:rPr>
              <w:t>e net</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ind w:left="20"/>
              <w:spacing w:after="0" w:line="180" w:lineRule="exact"/>
              <w:rPr>
                <w:sz w:val="20"/>
                <w:szCs w:val="20"/>
                <w:color w:val="auto"/>
              </w:rPr>
            </w:pPr>
            <w:r>
              <w:rPr>
                <w:rFonts w:ascii="Arial" w:cs="Arial" w:eastAsia="Arial" w:hAnsi="Arial"/>
                <w:sz w:val="16"/>
                <w:szCs w:val="16"/>
                <w:color w:val="auto"/>
              </w:rPr>
              <w:t>Original</w:t>
            </w:r>
          </w:p>
        </w:tc>
        <w:tc>
          <w:tcPr>
            <w:tcW w:w="220" w:type="dxa"/>
            <w:vAlign w:val="bottom"/>
          </w:tcPr>
          <w:p>
            <w:pPr>
              <w:spacing w:after="0"/>
              <w:rPr>
                <w:sz w:val="15"/>
                <w:szCs w:val="15"/>
                <w:color w:val="auto"/>
              </w:rPr>
            </w:pPr>
          </w:p>
        </w:tc>
        <w:tc>
          <w:tcPr>
            <w:tcW w:w="820" w:type="dxa"/>
            <w:vAlign w:val="bottom"/>
          </w:tcPr>
          <w:p>
            <w:pPr>
              <w:jc w:val="center"/>
              <w:ind w:right="142"/>
              <w:spacing w:after="0" w:line="180" w:lineRule="exact"/>
              <w:rPr>
                <w:sz w:val="20"/>
                <w:szCs w:val="20"/>
                <w:color w:val="auto"/>
              </w:rPr>
            </w:pPr>
            <w:r>
              <w:rPr>
                <w:rFonts w:ascii="Arial" w:cs="Arial" w:eastAsia="Arial" w:hAnsi="Arial"/>
                <w:sz w:val="16"/>
                <w:szCs w:val="16"/>
                <w:color w:val="auto"/>
                <w:w w:val="97"/>
              </w:rPr>
              <w:t>Current</w:t>
            </w:r>
          </w:p>
        </w:tc>
        <w:tc>
          <w:tcPr>
            <w:tcW w:w="114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d Premium/</w:t>
            </w:r>
          </w:p>
        </w:tc>
        <w:tc>
          <w:tcPr>
            <w:tcW w:w="1000" w:type="dxa"/>
            <w:vAlign w:val="bottom"/>
          </w:tcPr>
          <w:p>
            <w:pPr>
              <w:jc w:val="center"/>
              <w:ind w:right="42"/>
              <w:spacing w:after="0" w:line="180" w:lineRule="exact"/>
              <w:rPr>
                <w:sz w:val="20"/>
                <w:szCs w:val="20"/>
                <w:color w:val="auto"/>
              </w:rPr>
            </w:pPr>
            <w:r>
              <w:rPr>
                <w:rFonts w:ascii="Arial" w:cs="Arial" w:eastAsia="Arial" w:hAnsi="Arial"/>
                <w:sz w:val="16"/>
                <w:szCs w:val="16"/>
                <w:color w:val="auto"/>
                <w:w w:val="96"/>
              </w:rPr>
              <w:t>Number of</w:t>
            </w:r>
          </w:p>
        </w:tc>
        <w:tc>
          <w:tcPr>
            <w:tcW w:w="1040" w:type="dxa"/>
            <w:vAlign w:val="bottom"/>
          </w:tcPr>
          <w:p>
            <w:pPr>
              <w:jc w:val="center"/>
              <w:spacing w:after="0" w:line="180" w:lineRule="exact"/>
              <w:rPr>
                <w:sz w:val="20"/>
                <w:szCs w:val="20"/>
                <w:color w:val="auto"/>
              </w:rPr>
            </w:pPr>
            <w:r>
              <w:rPr>
                <w:rFonts w:ascii="Arial" w:cs="Arial" w:eastAsia="Arial" w:hAnsi="Arial"/>
                <w:sz w:val="16"/>
                <w:szCs w:val="16"/>
                <w:color w:val="auto"/>
                <w:w w:val="98"/>
              </w:rPr>
              <w:t>Maturity</w:t>
            </w:r>
          </w:p>
        </w:tc>
        <w:tc>
          <w:tcPr>
            <w:tcW w:w="160" w:type="dxa"/>
            <w:vAlign w:val="bottom"/>
          </w:tcPr>
          <w:p>
            <w:pPr>
              <w:spacing w:after="0"/>
              <w:rPr>
                <w:sz w:val="15"/>
                <w:szCs w:val="15"/>
                <w:color w:val="auto"/>
              </w:rPr>
            </w:pPr>
          </w:p>
        </w:tc>
        <w:tc>
          <w:tcPr>
            <w:tcW w:w="760" w:type="dxa"/>
            <w:vAlign w:val="bottom"/>
          </w:tcPr>
          <w:p>
            <w:pPr>
              <w:jc w:val="center"/>
              <w:ind w:right="122"/>
              <w:spacing w:after="0" w:line="180" w:lineRule="exact"/>
              <w:rPr>
                <w:sz w:val="20"/>
                <w:szCs w:val="20"/>
                <w:color w:val="auto"/>
              </w:rPr>
            </w:pPr>
            <w:r>
              <w:rPr>
                <w:rFonts w:ascii="Arial" w:cs="Arial" w:eastAsia="Arial" w:hAnsi="Arial"/>
                <w:sz w:val="16"/>
                <w:szCs w:val="16"/>
                <w:color w:val="auto"/>
                <w:w w:val="95"/>
              </w:rPr>
              <w:t>charge-</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6"/>
                <w:szCs w:val="16"/>
                <w:color w:val="auto"/>
              </w:rPr>
              <w:t>Balance</w:t>
            </w:r>
          </w:p>
        </w:tc>
        <w:tc>
          <w:tcPr>
            <w:tcW w:w="220" w:type="dxa"/>
            <w:vAlign w:val="bottom"/>
          </w:tcPr>
          <w:p>
            <w:pPr>
              <w:spacing w:after="0"/>
              <w:rPr>
                <w:sz w:val="17"/>
                <w:szCs w:val="17"/>
                <w:color w:val="auto"/>
              </w:rPr>
            </w:pPr>
          </w:p>
        </w:tc>
        <w:tc>
          <w:tcPr>
            <w:tcW w:w="820" w:type="dxa"/>
            <w:vAlign w:val="bottom"/>
          </w:tcPr>
          <w:p>
            <w:pPr>
              <w:jc w:val="center"/>
              <w:ind w:right="162"/>
              <w:spacing w:after="0"/>
              <w:rPr>
                <w:sz w:val="20"/>
                <w:szCs w:val="20"/>
                <w:color w:val="auto"/>
              </w:rPr>
            </w:pPr>
            <w:r>
              <w:rPr>
                <w:rFonts w:ascii="Arial" w:cs="Arial" w:eastAsia="Arial" w:hAnsi="Arial"/>
                <w:sz w:val="16"/>
                <w:szCs w:val="16"/>
                <w:color w:val="auto"/>
              </w:rPr>
              <w:t>Balance</w:t>
            </w:r>
          </w:p>
        </w:tc>
        <w:tc>
          <w:tcPr>
            <w:tcW w:w="1140" w:type="dxa"/>
            <w:vAlign w:val="bottom"/>
            <w:gridSpan w:val="2"/>
          </w:tcPr>
          <w:p>
            <w:pPr>
              <w:jc w:val="right"/>
              <w:ind w:right="162"/>
              <w:spacing w:after="0"/>
              <w:rPr>
                <w:sz w:val="20"/>
                <w:szCs w:val="20"/>
                <w:color w:val="auto"/>
              </w:rPr>
            </w:pPr>
            <w:r>
              <w:rPr>
                <w:rFonts w:ascii="Arial" w:cs="Arial" w:eastAsia="Arial" w:hAnsi="Arial"/>
                <w:sz w:val="16"/>
                <w:szCs w:val="16"/>
                <w:color w:val="auto"/>
              </w:rPr>
              <w:t>(Discount)</w:t>
            </w:r>
          </w:p>
        </w:tc>
        <w:tc>
          <w:tcPr>
            <w:tcW w:w="1000" w:type="dxa"/>
            <w:vAlign w:val="bottom"/>
          </w:tcPr>
          <w:p>
            <w:pPr>
              <w:jc w:val="center"/>
              <w:ind w:right="22"/>
              <w:spacing w:after="0"/>
              <w:rPr>
                <w:sz w:val="20"/>
                <w:szCs w:val="20"/>
                <w:color w:val="auto"/>
              </w:rPr>
            </w:pPr>
            <w:r>
              <w:rPr>
                <w:rFonts w:ascii="Arial" w:cs="Arial" w:eastAsia="Arial" w:hAnsi="Arial"/>
                <w:sz w:val="16"/>
                <w:szCs w:val="16"/>
                <w:color w:val="auto"/>
                <w:w w:val="96"/>
              </w:rPr>
              <w:t>Loans</w:t>
            </w:r>
          </w:p>
        </w:tc>
        <w:tc>
          <w:tcPr>
            <w:tcW w:w="1040" w:type="dxa"/>
            <w:vAlign w:val="bottom"/>
          </w:tcPr>
          <w:p>
            <w:pPr>
              <w:jc w:val="center"/>
              <w:spacing w:after="0"/>
              <w:rPr>
                <w:sz w:val="20"/>
                <w:szCs w:val="20"/>
                <w:color w:val="auto"/>
              </w:rPr>
            </w:pPr>
            <w:r>
              <w:rPr>
                <w:rFonts w:ascii="Arial" w:cs="Arial" w:eastAsia="Arial" w:hAnsi="Arial"/>
                <w:sz w:val="16"/>
                <w:szCs w:val="16"/>
                <w:color w:val="auto"/>
                <w:w w:val="97"/>
              </w:rPr>
              <w:t>Range</w:t>
            </w:r>
          </w:p>
        </w:tc>
        <w:tc>
          <w:tcPr>
            <w:tcW w:w="160" w:type="dxa"/>
            <w:vAlign w:val="bottom"/>
          </w:tcPr>
          <w:p>
            <w:pPr>
              <w:spacing w:after="0"/>
              <w:rPr>
                <w:sz w:val="17"/>
                <w:szCs w:val="17"/>
                <w:color w:val="auto"/>
              </w:rPr>
            </w:pPr>
          </w:p>
        </w:tc>
        <w:tc>
          <w:tcPr>
            <w:tcW w:w="760" w:type="dxa"/>
            <w:vAlign w:val="bottom"/>
          </w:tcPr>
          <w:p>
            <w:pPr>
              <w:jc w:val="center"/>
              <w:ind w:right="122"/>
              <w:spacing w:after="0"/>
              <w:rPr>
                <w:sz w:val="20"/>
                <w:szCs w:val="20"/>
                <w:color w:val="auto"/>
              </w:rPr>
            </w:pPr>
            <w:r>
              <w:rPr>
                <w:rFonts w:ascii="Arial" w:cs="Arial" w:eastAsia="Arial" w:hAnsi="Arial"/>
                <w:sz w:val="16"/>
                <w:szCs w:val="16"/>
                <w:color w:val="auto"/>
                <w:w w:val="92"/>
              </w:rPr>
              <w:t>offs</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and industrial loans (6/2019)</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6,800</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1,800</w:t>
            </w:r>
          </w:p>
        </w:tc>
        <w:tc>
          <w:tcPr>
            <w:tcW w:w="3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21</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2-6 years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Home equity lines of credit (8/2019)</w:t>
            </w:r>
          </w:p>
        </w:tc>
        <w:tc>
          <w:tcPr>
            <w:tcW w:w="4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21,900</w:t>
            </w:r>
          </w:p>
        </w:tc>
        <w:tc>
          <w:tcPr>
            <w:tcW w:w="22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5,300</w:t>
            </w:r>
          </w:p>
        </w:tc>
        <w:tc>
          <w:tcPr>
            <w:tcW w:w="300" w:type="dxa"/>
            <w:vAlign w:val="bottom"/>
          </w:tcPr>
          <w:p>
            <w:pPr>
              <w:spacing w:after="0"/>
              <w:rPr>
                <w:sz w:val="17"/>
                <w:szCs w:val="17"/>
                <w:color w:val="auto"/>
              </w:rPr>
            </w:pPr>
          </w:p>
        </w:tc>
        <w:tc>
          <w:tcPr>
            <w:tcW w:w="840" w:type="dxa"/>
            <w:vAlign w:val="bottom"/>
          </w:tcPr>
          <w:p>
            <w:pPr>
              <w:jc w:val="right"/>
              <w:ind w:right="102"/>
              <w:spacing w:after="0"/>
              <w:rPr>
                <w:sz w:val="20"/>
                <w:szCs w:val="20"/>
                <w:color w:val="auto"/>
              </w:rPr>
            </w:pPr>
            <w:r>
              <w:rPr>
                <w:rFonts w:ascii="Arial" w:cs="Arial" w:eastAsia="Arial" w:hAnsi="Arial"/>
                <w:sz w:val="16"/>
                <w:szCs w:val="16"/>
                <w:color w:val="auto"/>
              </w:rPr>
              <w:t>166</w:t>
            </w: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135</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1-26 years</w:t>
            </w:r>
          </w:p>
        </w:tc>
        <w:tc>
          <w:tcPr>
            <w:tcW w:w="16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Unsecured consumer loan pool 2 (11/2019)</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26,600</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900</w:t>
            </w: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w:t>
            </w:r>
          </w:p>
        </w:tc>
        <w:tc>
          <w:tcPr>
            <w:tcW w:w="10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201</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0-2 years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4220" w:type="dxa"/>
            <w:vAlign w:val="bottom"/>
          </w:tcPr>
          <w:p>
            <w:pPr>
              <w:ind w:left="20"/>
              <w:spacing w:after="0"/>
              <w:rPr>
                <w:sz w:val="20"/>
                <w:szCs w:val="20"/>
                <w:color w:val="auto"/>
              </w:rPr>
            </w:pPr>
            <w:r>
              <w:rPr>
                <w:rFonts w:ascii="Arial" w:cs="Arial" w:eastAsia="Arial" w:hAnsi="Arial"/>
                <w:sz w:val="16"/>
                <w:szCs w:val="16"/>
                <w:color w:val="auto"/>
              </w:rPr>
              <w:t>Residential real estate loans (12/2019)</w:t>
            </w:r>
          </w:p>
        </w:tc>
        <w:tc>
          <w:tcPr>
            <w:tcW w:w="420" w:type="dxa"/>
            <w:vAlign w:val="bottom"/>
          </w:tcPr>
          <w:p>
            <w:pPr>
              <w:spacing w:after="0"/>
              <w:rPr>
                <w:sz w:val="17"/>
                <w:szCs w:val="17"/>
                <w:color w:val="auto"/>
              </w:rPr>
            </w:pPr>
          </w:p>
        </w:tc>
        <w:tc>
          <w:tcPr>
            <w:tcW w:w="780" w:type="dxa"/>
            <w:vAlign w:val="bottom"/>
            <w:vMerge w:val="restart"/>
          </w:tcPr>
          <w:p>
            <w:pPr>
              <w:jc w:val="right"/>
              <w:ind w:right="42"/>
              <w:spacing w:after="0"/>
              <w:rPr>
                <w:sz w:val="20"/>
                <w:szCs w:val="20"/>
                <w:color w:val="auto"/>
              </w:rPr>
            </w:pPr>
            <w:r>
              <w:rPr>
                <w:rFonts w:ascii="Arial" w:cs="Arial" w:eastAsia="Arial" w:hAnsi="Arial"/>
                <w:sz w:val="16"/>
                <w:szCs w:val="16"/>
                <w:color w:val="auto"/>
              </w:rPr>
              <w:t>4,300</w:t>
            </w:r>
          </w:p>
        </w:tc>
        <w:tc>
          <w:tcPr>
            <w:tcW w:w="220" w:type="dxa"/>
            <w:vAlign w:val="bottom"/>
          </w:tcPr>
          <w:p>
            <w:pPr>
              <w:spacing w:after="0"/>
              <w:rPr>
                <w:sz w:val="17"/>
                <w:szCs w:val="17"/>
                <w:color w:val="auto"/>
              </w:rPr>
            </w:pPr>
          </w:p>
        </w:tc>
        <w:tc>
          <w:tcPr>
            <w:tcW w:w="820" w:type="dxa"/>
            <w:vAlign w:val="bottom"/>
            <w:vMerge w:val="restart"/>
          </w:tcPr>
          <w:p>
            <w:pPr>
              <w:jc w:val="right"/>
              <w:ind w:right="62"/>
              <w:spacing w:after="0"/>
              <w:rPr>
                <w:sz w:val="20"/>
                <w:szCs w:val="20"/>
                <w:color w:val="auto"/>
              </w:rPr>
            </w:pPr>
            <w:r>
              <w:rPr>
                <w:rFonts w:ascii="Arial" w:cs="Arial" w:eastAsia="Arial" w:hAnsi="Arial"/>
                <w:sz w:val="16"/>
                <w:szCs w:val="16"/>
                <w:color w:val="auto"/>
              </w:rPr>
              <w:t>3,700</w:t>
            </w:r>
          </w:p>
        </w:tc>
        <w:tc>
          <w:tcPr>
            <w:tcW w:w="300" w:type="dxa"/>
            <w:vAlign w:val="bottom"/>
          </w:tcPr>
          <w:p>
            <w:pPr>
              <w:spacing w:after="0"/>
              <w:rPr>
                <w:sz w:val="17"/>
                <w:szCs w:val="17"/>
                <w:color w:val="auto"/>
              </w:rPr>
            </w:pPr>
          </w:p>
        </w:tc>
        <w:tc>
          <w:tcPr>
            <w:tcW w:w="840" w:type="dxa"/>
            <w:vAlign w:val="bottom"/>
            <w:vMerge w:val="restart"/>
          </w:tcPr>
          <w:p>
            <w:pPr>
              <w:jc w:val="right"/>
              <w:ind w:right="102"/>
              <w:spacing w:after="0"/>
              <w:rPr>
                <w:sz w:val="20"/>
                <w:szCs w:val="20"/>
                <w:color w:val="auto"/>
              </w:rPr>
            </w:pPr>
            <w:r>
              <w:rPr>
                <w:rFonts w:ascii="Arial" w:cs="Arial" w:eastAsia="Arial" w:hAnsi="Arial"/>
                <w:sz w:val="16"/>
                <w:szCs w:val="16"/>
                <w:color w:val="auto"/>
              </w:rPr>
              <w:t>232</w:t>
            </w:r>
          </w:p>
        </w:tc>
        <w:tc>
          <w:tcPr>
            <w:tcW w:w="1000" w:type="dxa"/>
            <w:vAlign w:val="bottom"/>
            <w:vMerge w:val="restart"/>
          </w:tcPr>
          <w:p>
            <w:pPr>
              <w:jc w:val="right"/>
              <w:ind w:right="82"/>
              <w:spacing w:after="0"/>
              <w:rPr>
                <w:sz w:val="20"/>
                <w:szCs w:val="20"/>
                <w:color w:val="auto"/>
              </w:rPr>
            </w:pPr>
            <w:r>
              <w:rPr>
                <w:rFonts w:ascii="Arial" w:cs="Arial" w:eastAsia="Arial" w:hAnsi="Arial"/>
                <w:sz w:val="16"/>
                <w:szCs w:val="16"/>
                <w:color w:val="auto"/>
              </w:rPr>
              <w:t>48</w:t>
            </w:r>
          </w:p>
        </w:tc>
        <w:tc>
          <w:tcPr>
            <w:tcW w:w="1040" w:type="dxa"/>
            <w:vAlign w:val="bottom"/>
            <w:vMerge w:val="restart"/>
          </w:tcPr>
          <w:p>
            <w:pPr>
              <w:jc w:val="right"/>
              <w:ind w:right="2"/>
              <w:spacing w:after="0"/>
              <w:rPr>
                <w:sz w:val="20"/>
                <w:szCs w:val="20"/>
                <w:color w:val="auto"/>
              </w:rPr>
            </w:pPr>
            <w:r>
              <w:rPr>
                <w:rFonts w:ascii="Arial" w:cs="Arial" w:eastAsia="Arial" w:hAnsi="Arial"/>
                <w:sz w:val="16"/>
                <w:szCs w:val="16"/>
                <w:color w:val="auto"/>
              </w:rPr>
              <w:t>16-22 years</w:t>
            </w:r>
          </w:p>
        </w:tc>
        <w:tc>
          <w:tcPr>
            <w:tcW w:w="160" w:type="dxa"/>
            <w:vAlign w:val="bottom"/>
          </w:tcPr>
          <w:p>
            <w:pPr>
              <w:spacing w:after="0"/>
              <w:rPr>
                <w:sz w:val="17"/>
                <w:szCs w:val="17"/>
                <w:color w:val="auto"/>
              </w:rPr>
            </w:pPr>
          </w:p>
        </w:tc>
        <w:tc>
          <w:tcPr>
            <w:tcW w:w="760" w:type="dxa"/>
            <w:vAlign w:val="bottom"/>
            <w:vMerge w:val="restart"/>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7"/>
        </w:trPr>
        <w:tc>
          <w:tcPr>
            <w:tcW w:w="4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Unsecured consumer loan pool 1 (12/2019)</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5,400</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1,200</w:t>
            </w: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46</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1-4 years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Unsecured consumer installment loans pool 3 (12/2019)</w:t>
            </w:r>
          </w:p>
        </w:tc>
        <w:tc>
          <w:tcPr>
            <w:tcW w:w="4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10,300</w:t>
            </w:r>
          </w:p>
        </w:tc>
        <w:tc>
          <w:tcPr>
            <w:tcW w:w="22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700</w:t>
            </w:r>
          </w:p>
        </w:tc>
        <w:tc>
          <w:tcPr>
            <w:tcW w:w="300" w:type="dxa"/>
            <w:vAlign w:val="bottom"/>
          </w:tcPr>
          <w:p>
            <w:pPr>
              <w:spacing w:after="0"/>
              <w:rPr>
                <w:sz w:val="17"/>
                <w:szCs w:val="17"/>
                <w:color w:val="auto"/>
              </w:rPr>
            </w:pPr>
          </w:p>
        </w:tc>
        <w:tc>
          <w:tcPr>
            <w:tcW w:w="840" w:type="dxa"/>
            <w:vAlign w:val="bottom"/>
          </w:tcPr>
          <w:p>
            <w:pPr>
              <w:jc w:val="right"/>
              <w:ind w:right="102"/>
              <w:spacing w:after="0"/>
              <w:rPr>
                <w:sz w:val="20"/>
                <w:szCs w:val="20"/>
                <w:color w:val="auto"/>
              </w:rPr>
            </w:pPr>
            <w:r>
              <w:rPr>
                <w:rFonts w:ascii="Arial" w:cs="Arial" w:eastAsia="Arial" w:hAnsi="Arial"/>
                <w:sz w:val="16"/>
                <w:szCs w:val="16"/>
                <w:color w:val="auto"/>
              </w:rPr>
              <w:t>27</w:t>
            </w: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227</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0-9 years</w:t>
            </w:r>
          </w:p>
        </w:tc>
        <w:tc>
          <w:tcPr>
            <w:tcW w:w="16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Secured consumer installment loans pool 4 (12/2020)</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14,500</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11,000</w:t>
            </w: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(1,355)</w:t>
            </w:r>
          </w:p>
        </w:tc>
        <w:tc>
          <w:tcPr>
            <w:tcW w:w="10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511</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22-24 years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Unsecured consumer loans pool 5 (1/2021)</w:t>
            </w:r>
          </w:p>
        </w:tc>
        <w:tc>
          <w:tcPr>
            <w:tcW w:w="4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24,400</w:t>
            </w:r>
          </w:p>
        </w:tc>
        <w:tc>
          <w:tcPr>
            <w:tcW w:w="22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16,500</w:t>
            </w:r>
          </w:p>
        </w:tc>
        <w:tc>
          <w:tcPr>
            <w:tcW w:w="300" w:type="dxa"/>
            <w:vAlign w:val="bottom"/>
          </w:tcPr>
          <w:p>
            <w:pPr>
              <w:spacing w:after="0"/>
              <w:rPr>
                <w:sz w:val="17"/>
                <w:szCs w:val="17"/>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(443 )</w:t>
            </w: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666</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7-22 years</w:t>
            </w:r>
          </w:p>
        </w:tc>
        <w:tc>
          <w:tcPr>
            <w:tcW w:w="16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Line of Credit 1 (3/2021)</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11,600</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11,500</w:t>
            </w: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8</w:t>
            </w:r>
          </w:p>
        </w:tc>
        <w:tc>
          <w:tcPr>
            <w:tcW w:w="10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0-1 year</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Secured consumer installment loans (11/2021)</w:t>
            </w:r>
          </w:p>
        </w:tc>
        <w:tc>
          <w:tcPr>
            <w:tcW w:w="4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21,300</w:t>
            </w:r>
          </w:p>
        </w:tc>
        <w:tc>
          <w:tcPr>
            <w:tcW w:w="22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18,700</w:t>
            </w:r>
          </w:p>
        </w:tc>
        <w:tc>
          <w:tcPr>
            <w:tcW w:w="300" w:type="dxa"/>
            <w:vAlign w:val="bottom"/>
          </w:tcPr>
          <w:p>
            <w:pPr>
              <w:spacing w:after="0"/>
              <w:rPr>
                <w:sz w:val="17"/>
                <w:szCs w:val="17"/>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(3,085)</w:t>
            </w: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832</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18-24 years</w:t>
            </w:r>
          </w:p>
        </w:tc>
        <w:tc>
          <w:tcPr>
            <w:tcW w:w="16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Line of Credit 2 (11/2021)</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10,500</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4,300</w:t>
            </w: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w:t>
            </w:r>
          </w:p>
        </w:tc>
        <w:tc>
          <w:tcPr>
            <w:tcW w:w="10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0-1 year</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Unsecured consumer loans pool 6 (11/2021)</w:t>
            </w:r>
          </w:p>
        </w:tc>
        <w:tc>
          <w:tcPr>
            <w:tcW w:w="4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22,200</w:t>
            </w:r>
          </w:p>
        </w:tc>
        <w:tc>
          <w:tcPr>
            <w:tcW w:w="22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19,200</w:t>
            </w:r>
          </w:p>
        </w:tc>
        <w:tc>
          <w:tcPr>
            <w:tcW w:w="300" w:type="dxa"/>
            <w:vAlign w:val="bottom"/>
          </w:tcPr>
          <w:p>
            <w:pPr>
              <w:spacing w:after="0"/>
              <w:rPr>
                <w:sz w:val="17"/>
                <w:szCs w:val="17"/>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(2,290)</w:t>
            </w: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531</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8-24 years</w:t>
            </w:r>
          </w:p>
        </w:tc>
        <w:tc>
          <w:tcPr>
            <w:tcW w:w="16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179,800</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94,800</w:t>
            </w:r>
          </w:p>
        </w:tc>
        <w:tc>
          <w:tcPr>
            <w:tcW w:w="30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(6,730)</w:t>
            </w:r>
          </w:p>
        </w:tc>
        <w:tc>
          <w:tcPr>
            <w:tcW w:w="100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3,220</w:t>
            </w:r>
          </w:p>
        </w:tc>
        <w:tc>
          <w:tcPr>
            <w:tcW w:w="10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83"/>
        </w:trPr>
        <w:tc>
          <w:tcPr>
            <w:tcW w:w="4220" w:type="dxa"/>
            <w:vAlign w:val="bottom"/>
          </w:tcPr>
          <w:p>
            <w:pPr>
              <w:ind w:left="20"/>
              <w:spacing w:after="0"/>
              <w:rPr>
                <w:sz w:val="20"/>
                <w:szCs w:val="20"/>
                <w:color w:val="auto"/>
              </w:rPr>
            </w:pPr>
            <w:r>
              <w:rPr>
                <w:rFonts w:ascii="Arial" w:cs="Arial" w:eastAsia="Arial" w:hAnsi="Arial"/>
                <w:sz w:val="16"/>
                <w:szCs w:val="16"/>
                <w:i w:val="1"/>
                <w:iCs w:val="1"/>
                <w:color w:val="auto"/>
              </w:rPr>
              <w:t>(In thousands, except number of loans)</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jc w:val="right"/>
              <w:ind w:right="342"/>
              <w:spacing w:after="0"/>
              <w:rPr>
                <w:sz w:val="20"/>
                <w:szCs w:val="20"/>
                <w:color w:val="auto"/>
              </w:rPr>
            </w:pPr>
            <w:r>
              <w:rPr>
                <w:rFonts w:ascii="Arial" w:cs="Arial" w:eastAsia="Arial" w:hAnsi="Arial"/>
                <w:sz w:val="16"/>
                <w:szCs w:val="16"/>
                <w:color w:val="auto"/>
                <w:w w:val="99"/>
              </w:rPr>
              <w:t>December 31, 2022</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w w:val="95"/>
              </w:rPr>
              <w:t>Cumulativ</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Unamortize</w:t>
            </w: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122"/>
              <w:spacing w:after="0" w:line="180" w:lineRule="exact"/>
              <w:rPr>
                <w:sz w:val="20"/>
                <w:szCs w:val="20"/>
                <w:color w:val="auto"/>
              </w:rPr>
            </w:pPr>
            <w:r>
              <w:rPr>
                <w:rFonts w:ascii="Arial" w:cs="Arial" w:eastAsia="Arial" w:hAnsi="Arial"/>
                <w:sz w:val="16"/>
                <w:szCs w:val="16"/>
                <w:color w:val="auto"/>
              </w:rPr>
              <w:t>e net</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ind w:left="20"/>
              <w:spacing w:after="0" w:line="180" w:lineRule="exact"/>
              <w:rPr>
                <w:sz w:val="20"/>
                <w:szCs w:val="20"/>
                <w:color w:val="auto"/>
              </w:rPr>
            </w:pPr>
            <w:r>
              <w:rPr>
                <w:rFonts w:ascii="Arial" w:cs="Arial" w:eastAsia="Arial" w:hAnsi="Arial"/>
                <w:sz w:val="16"/>
                <w:szCs w:val="16"/>
                <w:color w:val="auto"/>
              </w:rPr>
              <w:t>Original</w:t>
            </w:r>
          </w:p>
        </w:tc>
        <w:tc>
          <w:tcPr>
            <w:tcW w:w="220" w:type="dxa"/>
            <w:vAlign w:val="bottom"/>
          </w:tcPr>
          <w:p>
            <w:pPr>
              <w:spacing w:after="0"/>
              <w:rPr>
                <w:sz w:val="15"/>
                <w:szCs w:val="15"/>
                <w:color w:val="auto"/>
              </w:rPr>
            </w:pPr>
          </w:p>
        </w:tc>
        <w:tc>
          <w:tcPr>
            <w:tcW w:w="820" w:type="dxa"/>
            <w:vAlign w:val="bottom"/>
          </w:tcPr>
          <w:p>
            <w:pPr>
              <w:jc w:val="center"/>
              <w:ind w:right="142"/>
              <w:spacing w:after="0" w:line="180" w:lineRule="exact"/>
              <w:rPr>
                <w:sz w:val="20"/>
                <w:szCs w:val="20"/>
                <w:color w:val="auto"/>
              </w:rPr>
            </w:pPr>
            <w:r>
              <w:rPr>
                <w:rFonts w:ascii="Arial" w:cs="Arial" w:eastAsia="Arial" w:hAnsi="Arial"/>
                <w:sz w:val="16"/>
                <w:szCs w:val="16"/>
                <w:color w:val="auto"/>
                <w:w w:val="97"/>
              </w:rPr>
              <w:t>Current</w:t>
            </w:r>
          </w:p>
        </w:tc>
        <w:tc>
          <w:tcPr>
            <w:tcW w:w="1140" w:type="dxa"/>
            <w:vAlign w:val="bottom"/>
            <w:gridSpan w:val="2"/>
          </w:tcPr>
          <w:p>
            <w:pPr>
              <w:ind w:left="160"/>
              <w:spacing w:after="0" w:line="180" w:lineRule="exact"/>
              <w:rPr>
                <w:sz w:val="20"/>
                <w:szCs w:val="20"/>
                <w:color w:val="auto"/>
              </w:rPr>
            </w:pPr>
            <w:r>
              <w:rPr>
                <w:rFonts w:ascii="Arial" w:cs="Arial" w:eastAsia="Arial" w:hAnsi="Arial"/>
                <w:sz w:val="16"/>
                <w:szCs w:val="16"/>
                <w:color w:val="auto"/>
              </w:rPr>
              <w:t>d Premium/</w:t>
            </w:r>
          </w:p>
        </w:tc>
        <w:tc>
          <w:tcPr>
            <w:tcW w:w="1000" w:type="dxa"/>
            <w:vAlign w:val="bottom"/>
          </w:tcPr>
          <w:p>
            <w:pPr>
              <w:jc w:val="center"/>
              <w:ind w:right="42"/>
              <w:spacing w:after="0" w:line="180" w:lineRule="exact"/>
              <w:rPr>
                <w:sz w:val="20"/>
                <w:szCs w:val="20"/>
                <w:color w:val="auto"/>
              </w:rPr>
            </w:pPr>
            <w:r>
              <w:rPr>
                <w:rFonts w:ascii="Arial" w:cs="Arial" w:eastAsia="Arial" w:hAnsi="Arial"/>
                <w:sz w:val="16"/>
                <w:szCs w:val="16"/>
                <w:color w:val="auto"/>
                <w:w w:val="96"/>
              </w:rPr>
              <w:t>Number of</w:t>
            </w:r>
          </w:p>
        </w:tc>
        <w:tc>
          <w:tcPr>
            <w:tcW w:w="1040" w:type="dxa"/>
            <w:vAlign w:val="bottom"/>
          </w:tcPr>
          <w:p>
            <w:pPr>
              <w:jc w:val="center"/>
              <w:spacing w:after="0" w:line="180" w:lineRule="exact"/>
              <w:rPr>
                <w:sz w:val="20"/>
                <w:szCs w:val="20"/>
                <w:color w:val="auto"/>
              </w:rPr>
            </w:pPr>
            <w:r>
              <w:rPr>
                <w:rFonts w:ascii="Arial" w:cs="Arial" w:eastAsia="Arial" w:hAnsi="Arial"/>
                <w:sz w:val="16"/>
                <w:szCs w:val="16"/>
                <w:color w:val="auto"/>
                <w:w w:val="98"/>
              </w:rPr>
              <w:t>Maturity</w:t>
            </w:r>
          </w:p>
        </w:tc>
        <w:tc>
          <w:tcPr>
            <w:tcW w:w="160" w:type="dxa"/>
            <w:vAlign w:val="bottom"/>
          </w:tcPr>
          <w:p>
            <w:pPr>
              <w:spacing w:after="0"/>
              <w:rPr>
                <w:sz w:val="15"/>
                <w:szCs w:val="15"/>
                <w:color w:val="auto"/>
              </w:rPr>
            </w:pPr>
          </w:p>
        </w:tc>
        <w:tc>
          <w:tcPr>
            <w:tcW w:w="760" w:type="dxa"/>
            <w:vAlign w:val="bottom"/>
          </w:tcPr>
          <w:p>
            <w:pPr>
              <w:jc w:val="center"/>
              <w:ind w:right="122"/>
              <w:spacing w:after="0" w:line="180" w:lineRule="exact"/>
              <w:rPr>
                <w:sz w:val="20"/>
                <w:szCs w:val="20"/>
                <w:color w:val="auto"/>
              </w:rPr>
            </w:pPr>
            <w:r>
              <w:rPr>
                <w:rFonts w:ascii="Arial" w:cs="Arial" w:eastAsia="Arial" w:hAnsi="Arial"/>
                <w:sz w:val="16"/>
                <w:szCs w:val="16"/>
                <w:color w:val="auto"/>
                <w:w w:val="95"/>
              </w:rPr>
              <w:t>charge-</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6"/>
                <w:szCs w:val="16"/>
                <w:color w:val="auto"/>
              </w:rPr>
              <w:t>Balance</w:t>
            </w:r>
          </w:p>
        </w:tc>
        <w:tc>
          <w:tcPr>
            <w:tcW w:w="220" w:type="dxa"/>
            <w:vAlign w:val="bottom"/>
          </w:tcPr>
          <w:p>
            <w:pPr>
              <w:spacing w:after="0"/>
              <w:rPr>
                <w:sz w:val="17"/>
                <w:szCs w:val="17"/>
                <w:color w:val="auto"/>
              </w:rPr>
            </w:pPr>
          </w:p>
        </w:tc>
        <w:tc>
          <w:tcPr>
            <w:tcW w:w="820" w:type="dxa"/>
            <w:vAlign w:val="bottom"/>
          </w:tcPr>
          <w:p>
            <w:pPr>
              <w:jc w:val="center"/>
              <w:ind w:right="162"/>
              <w:spacing w:after="0"/>
              <w:rPr>
                <w:sz w:val="20"/>
                <w:szCs w:val="20"/>
                <w:color w:val="auto"/>
              </w:rPr>
            </w:pPr>
            <w:r>
              <w:rPr>
                <w:rFonts w:ascii="Arial" w:cs="Arial" w:eastAsia="Arial" w:hAnsi="Arial"/>
                <w:sz w:val="16"/>
                <w:szCs w:val="16"/>
                <w:color w:val="auto"/>
              </w:rPr>
              <w:t>Balance</w:t>
            </w:r>
          </w:p>
        </w:tc>
        <w:tc>
          <w:tcPr>
            <w:tcW w:w="1140" w:type="dxa"/>
            <w:vAlign w:val="bottom"/>
            <w:gridSpan w:val="2"/>
          </w:tcPr>
          <w:p>
            <w:pPr>
              <w:jc w:val="right"/>
              <w:ind w:right="162"/>
              <w:spacing w:after="0"/>
              <w:rPr>
                <w:sz w:val="20"/>
                <w:szCs w:val="20"/>
                <w:color w:val="auto"/>
              </w:rPr>
            </w:pPr>
            <w:r>
              <w:rPr>
                <w:rFonts w:ascii="Arial" w:cs="Arial" w:eastAsia="Arial" w:hAnsi="Arial"/>
                <w:sz w:val="16"/>
                <w:szCs w:val="16"/>
                <w:color w:val="auto"/>
              </w:rPr>
              <w:t>(Discount)</w:t>
            </w:r>
          </w:p>
        </w:tc>
        <w:tc>
          <w:tcPr>
            <w:tcW w:w="1000" w:type="dxa"/>
            <w:vAlign w:val="bottom"/>
          </w:tcPr>
          <w:p>
            <w:pPr>
              <w:jc w:val="center"/>
              <w:ind w:right="22"/>
              <w:spacing w:after="0"/>
              <w:rPr>
                <w:sz w:val="20"/>
                <w:szCs w:val="20"/>
                <w:color w:val="auto"/>
              </w:rPr>
            </w:pPr>
            <w:r>
              <w:rPr>
                <w:rFonts w:ascii="Arial" w:cs="Arial" w:eastAsia="Arial" w:hAnsi="Arial"/>
                <w:sz w:val="16"/>
                <w:szCs w:val="16"/>
                <w:color w:val="auto"/>
                <w:w w:val="96"/>
              </w:rPr>
              <w:t>Loans</w:t>
            </w:r>
          </w:p>
        </w:tc>
        <w:tc>
          <w:tcPr>
            <w:tcW w:w="1040" w:type="dxa"/>
            <w:vAlign w:val="bottom"/>
          </w:tcPr>
          <w:p>
            <w:pPr>
              <w:jc w:val="center"/>
              <w:spacing w:after="0"/>
              <w:rPr>
                <w:sz w:val="20"/>
                <w:szCs w:val="20"/>
                <w:color w:val="auto"/>
              </w:rPr>
            </w:pPr>
            <w:r>
              <w:rPr>
                <w:rFonts w:ascii="Arial" w:cs="Arial" w:eastAsia="Arial" w:hAnsi="Arial"/>
                <w:sz w:val="16"/>
                <w:szCs w:val="16"/>
                <w:color w:val="auto"/>
                <w:w w:val="97"/>
              </w:rPr>
              <w:t>Range</w:t>
            </w:r>
          </w:p>
        </w:tc>
        <w:tc>
          <w:tcPr>
            <w:tcW w:w="160" w:type="dxa"/>
            <w:vAlign w:val="bottom"/>
          </w:tcPr>
          <w:p>
            <w:pPr>
              <w:spacing w:after="0"/>
              <w:rPr>
                <w:sz w:val="17"/>
                <w:szCs w:val="17"/>
                <w:color w:val="auto"/>
              </w:rPr>
            </w:pPr>
          </w:p>
        </w:tc>
        <w:tc>
          <w:tcPr>
            <w:tcW w:w="760" w:type="dxa"/>
            <w:vAlign w:val="bottom"/>
          </w:tcPr>
          <w:p>
            <w:pPr>
              <w:jc w:val="center"/>
              <w:ind w:right="122"/>
              <w:spacing w:after="0"/>
              <w:rPr>
                <w:sz w:val="20"/>
                <w:szCs w:val="20"/>
                <w:color w:val="auto"/>
              </w:rPr>
            </w:pPr>
            <w:r>
              <w:rPr>
                <w:rFonts w:ascii="Arial" w:cs="Arial" w:eastAsia="Arial" w:hAnsi="Arial"/>
                <w:sz w:val="16"/>
                <w:szCs w:val="16"/>
                <w:color w:val="auto"/>
                <w:w w:val="92"/>
              </w:rPr>
              <w:t>offs</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Automobile loans (1/2017) paid in full at 6/30/23</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50,400</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4,200</w:t>
            </w:r>
          </w:p>
        </w:tc>
        <w:tc>
          <w:tcPr>
            <w:tcW w:w="3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128</w:t>
            </w:r>
          </w:p>
        </w:tc>
        <w:tc>
          <w:tcPr>
            <w:tcW w:w="10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537</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0-4 years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Commercial and industrial loans (6/2019)</w:t>
            </w:r>
          </w:p>
        </w:tc>
        <w:tc>
          <w:tcPr>
            <w:tcW w:w="4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6,800</w:t>
            </w:r>
          </w:p>
        </w:tc>
        <w:tc>
          <w:tcPr>
            <w:tcW w:w="22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2,100</w:t>
            </w:r>
          </w:p>
        </w:tc>
        <w:tc>
          <w:tcPr>
            <w:tcW w:w="300" w:type="dxa"/>
            <w:vAlign w:val="bottom"/>
          </w:tcPr>
          <w:p>
            <w:pPr>
              <w:spacing w:after="0"/>
              <w:rPr>
                <w:sz w:val="17"/>
                <w:szCs w:val="17"/>
                <w:color w:val="auto"/>
              </w:rPr>
            </w:pPr>
          </w:p>
        </w:tc>
        <w:tc>
          <w:tcPr>
            <w:tcW w:w="84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22</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3-7 years</w:t>
            </w:r>
          </w:p>
        </w:tc>
        <w:tc>
          <w:tcPr>
            <w:tcW w:w="16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Home equity lines of credit (8/2019)</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21,900</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6,000</w:t>
            </w: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189</w:t>
            </w:r>
          </w:p>
        </w:tc>
        <w:tc>
          <w:tcPr>
            <w:tcW w:w="10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143</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1-27 years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Unsecured consumer loan pool 2 (11/2019)</w:t>
            </w:r>
          </w:p>
        </w:tc>
        <w:tc>
          <w:tcPr>
            <w:tcW w:w="4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26,600</w:t>
            </w:r>
          </w:p>
        </w:tc>
        <w:tc>
          <w:tcPr>
            <w:tcW w:w="22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1,500</w:t>
            </w:r>
          </w:p>
        </w:tc>
        <w:tc>
          <w:tcPr>
            <w:tcW w:w="300" w:type="dxa"/>
            <w:vAlign w:val="bottom"/>
          </w:tcPr>
          <w:p>
            <w:pPr>
              <w:spacing w:after="0"/>
              <w:rPr>
                <w:sz w:val="17"/>
                <w:szCs w:val="17"/>
                <w:color w:val="auto"/>
              </w:rPr>
            </w:pPr>
          </w:p>
        </w:tc>
        <w:tc>
          <w:tcPr>
            <w:tcW w:w="840" w:type="dxa"/>
            <w:vAlign w:val="bottom"/>
          </w:tcPr>
          <w:p>
            <w:pPr>
              <w:jc w:val="right"/>
              <w:ind w:right="102"/>
              <w:spacing w:after="0"/>
              <w:rPr>
                <w:sz w:val="20"/>
                <w:szCs w:val="20"/>
                <w:color w:val="auto"/>
              </w:rPr>
            </w:pPr>
            <w:r>
              <w:rPr>
                <w:rFonts w:ascii="Arial" w:cs="Arial" w:eastAsia="Arial" w:hAnsi="Arial"/>
                <w:sz w:val="16"/>
                <w:szCs w:val="16"/>
                <w:color w:val="auto"/>
              </w:rPr>
              <w:t>11</w:t>
            </w: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320</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0-2 years</w:t>
            </w:r>
          </w:p>
        </w:tc>
        <w:tc>
          <w:tcPr>
            <w:tcW w:w="16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Residential real estate loans (12/2019)</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4,300</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3,900</w:t>
            </w: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240</w:t>
            </w:r>
          </w:p>
        </w:tc>
        <w:tc>
          <w:tcPr>
            <w:tcW w:w="10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49</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16-22 years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Unsecured consumer loan pool 1 (12/2019)</w:t>
            </w:r>
          </w:p>
        </w:tc>
        <w:tc>
          <w:tcPr>
            <w:tcW w:w="4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5,400</w:t>
            </w:r>
          </w:p>
        </w:tc>
        <w:tc>
          <w:tcPr>
            <w:tcW w:w="22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1,600</w:t>
            </w:r>
          </w:p>
        </w:tc>
        <w:tc>
          <w:tcPr>
            <w:tcW w:w="300" w:type="dxa"/>
            <w:vAlign w:val="bottom"/>
          </w:tcPr>
          <w:p>
            <w:pPr>
              <w:spacing w:after="0"/>
              <w:rPr>
                <w:sz w:val="17"/>
                <w:szCs w:val="17"/>
                <w:color w:val="auto"/>
              </w:rPr>
            </w:pPr>
          </w:p>
        </w:tc>
        <w:tc>
          <w:tcPr>
            <w:tcW w:w="84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50</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1-4 years</w:t>
            </w:r>
          </w:p>
        </w:tc>
        <w:tc>
          <w:tcPr>
            <w:tcW w:w="16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Unsecured consumer installment loans pool 3 (12/2019)</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10,300</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1,000</w:t>
            </w: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38</w:t>
            </w:r>
          </w:p>
        </w:tc>
        <w:tc>
          <w:tcPr>
            <w:tcW w:w="10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354</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0-9 years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Secured consumer installment loans pool 4 (12/2020)</w:t>
            </w:r>
          </w:p>
        </w:tc>
        <w:tc>
          <w:tcPr>
            <w:tcW w:w="4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14,500</w:t>
            </w:r>
          </w:p>
        </w:tc>
        <w:tc>
          <w:tcPr>
            <w:tcW w:w="22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11,300</w:t>
            </w:r>
          </w:p>
        </w:tc>
        <w:tc>
          <w:tcPr>
            <w:tcW w:w="300" w:type="dxa"/>
            <w:vAlign w:val="bottom"/>
          </w:tcPr>
          <w:p>
            <w:pPr>
              <w:spacing w:after="0"/>
              <w:rPr>
                <w:sz w:val="17"/>
                <w:szCs w:val="17"/>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(1,484)</w:t>
            </w: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518</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23-24 years</w:t>
            </w:r>
          </w:p>
        </w:tc>
        <w:tc>
          <w:tcPr>
            <w:tcW w:w="16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Unsecured consumer loans pool 5 (1/2021)</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24,400</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17,300</w:t>
            </w: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(485 )</w:t>
            </w:r>
          </w:p>
        </w:tc>
        <w:tc>
          <w:tcPr>
            <w:tcW w:w="10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678</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8-24 years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Revolving commercial line of credit 1 (3/2021)</w:t>
            </w:r>
          </w:p>
        </w:tc>
        <w:tc>
          <w:tcPr>
            <w:tcW w:w="4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11,600</w:t>
            </w:r>
          </w:p>
        </w:tc>
        <w:tc>
          <w:tcPr>
            <w:tcW w:w="22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11,400</w:t>
            </w:r>
          </w:p>
        </w:tc>
        <w:tc>
          <w:tcPr>
            <w:tcW w:w="300" w:type="dxa"/>
            <w:vAlign w:val="bottom"/>
          </w:tcPr>
          <w:p>
            <w:pPr>
              <w:spacing w:after="0"/>
              <w:rPr>
                <w:sz w:val="17"/>
                <w:szCs w:val="17"/>
                <w:color w:val="auto"/>
              </w:rPr>
            </w:pPr>
          </w:p>
        </w:tc>
        <w:tc>
          <w:tcPr>
            <w:tcW w:w="840" w:type="dxa"/>
            <w:vAlign w:val="bottom"/>
          </w:tcPr>
          <w:p>
            <w:pPr>
              <w:jc w:val="right"/>
              <w:ind w:right="102"/>
              <w:spacing w:after="0"/>
              <w:rPr>
                <w:sz w:val="20"/>
                <w:szCs w:val="20"/>
                <w:color w:val="auto"/>
              </w:rPr>
            </w:pPr>
            <w:r>
              <w:rPr>
                <w:rFonts w:ascii="Arial" w:cs="Arial" w:eastAsia="Arial" w:hAnsi="Arial"/>
                <w:sz w:val="16"/>
                <w:szCs w:val="16"/>
                <w:color w:val="auto"/>
              </w:rPr>
              <w:t>14</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1</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0-1 year</w:t>
            </w:r>
          </w:p>
        </w:tc>
        <w:tc>
          <w:tcPr>
            <w:tcW w:w="16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Secured consumer installment loans (11/2021)</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21,300</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19,700</w:t>
            </w: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(3,237)</w:t>
            </w:r>
          </w:p>
        </w:tc>
        <w:tc>
          <w:tcPr>
            <w:tcW w:w="10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850</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18-25 years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rPr>
                <w:sz w:val="20"/>
                <w:szCs w:val="20"/>
                <w:color w:val="auto"/>
              </w:rPr>
            </w:pPr>
            <w:r>
              <w:rPr>
                <w:rFonts w:ascii="Arial" w:cs="Arial" w:eastAsia="Arial" w:hAnsi="Arial"/>
                <w:sz w:val="16"/>
                <w:szCs w:val="16"/>
                <w:color w:val="auto"/>
              </w:rPr>
              <w:t>Revolving commercial line of credit 2 (11/2021)</w:t>
            </w:r>
          </w:p>
        </w:tc>
        <w:tc>
          <w:tcPr>
            <w:tcW w:w="4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10,500</w:t>
            </w:r>
          </w:p>
        </w:tc>
        <w:tc>
          <w:tcPr>
            <w:tcW w:w="22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15,000</w:t>
            </w:r>
          </w:p>
        </w:tc>
        <w:tc>
          <w:tcPr>
            <w:tcW w:w="300" w:type="dxa"/>
            <w:vAlign w:val="bottom"/>
          </w:tcPr>
          <w:p>
            <w:pPr>
              <w:spacing w:after="0"/>
              <w:rPr>
                <w:sz w:val="17"/>
                <w:szCs w:val="17"/>
                <w:color w:val="auto"/>
              </w:rPr>
            </w:pPr>
          </w:p>
        </w:tc>
        <w:tc>
          <w:tcPr>
            <w:tcW w:w="840" w:type="dxa"/>
            <w:vAlign w:val="bottom"/>
          </w:tcPr>
          <w:p>
            <w:pPr>
              <w:jc w:val="right"/>
              <w:ind w:right="102"/>
              <w:spacing w:after="0"/>
              <w:rPr>
                <w:sz w:val="20"/>
                <w:szCs w:val="20"/>
                <w:color w:val="auto"/>
              </w:rPr>
            </w:pPr>
            <w:r>
              <w:rPr>
                <w:rFonts w:ascii="Arial" w:cs="Arial" w:eastAsia="Arial" w:hAnsi="Arial"/>
                <w:sz w:val="16"/>
                <w:szCs w:val="16"/>
                <w:color w:val="auto"/>
              </w:rPr>
              <w:t>23</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1</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0-1 year</w:t>
            </w:r>
          </w:p>
        </w:tc>
        <w:tc>
          <w:tcPr>
            <w:tcW w:w="16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Unsecured consumer loans pool 6 (11/2021)</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22,200</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20,200</w:t>
            </w: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(2,441)</w:t>
            </w:r>
          </w:p>
        </w:tc>
        <w:tc>
          <w:tcPr>
            <w:tcW w:w="10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540</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8-24 years</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230,200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115,200</w:t>
            </w:r>
          </w:p>
        </w:tc>
        <w:tc>
          <w:tcPr>
            <w:tcW w:w="3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(7,004)</w:t>
            </w:r>
          </w:p>
        </w:tc>
        <w:tc>
          <w:tcPr>
            <w:tcW w:w="10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4,063</w:t>
            </w: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June 30, 2023 the ACL related to these pools was $2.1 million. As of June 30, 2023 and December 31, 2022, residential mortgage loans with a carrying value of $126.0 million and $110.3 million, respectively, have been pledged by the Company to the Federal Home Loan Bank of New York (“FHLBNY”) under a blanket collateral agreement to secure the Company’s line of credit and term borrowings.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20</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03" w:right="680"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Loan Origination / Risk Management</w:t>
      </w:r>
    </w:p>
    <w:p>
      <w:pPr>
        <w:spacing w:after="0" w:line="2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Company’s lending policies and procedures are presented in Note 5 to the audited consolidated financial statements included in the 2022 Annual Report on Form 10-K filed with the Securities and Exchange Commission on March 31, 2023 and have not changed. As part of the execution of the Company’s overall balance sheet management strategies, the Bank will acquire participating interests in loans originated by unrelated third parties on an occasional basis. The purchase of participations in loans that are originated by third parties only occurs after the completion of thorough pre-acquisition due diligence. Loans in which the Company acquires a participating interest are determined to meet, in all material respects, the Company’s internal underwriting policies, including credit and collateral suitability thresholds, prior to acquisition. In addition, the financial condition of the originating financial institutions, which are generally retained as the ongoing loan servicing provider for participations acquired by the Bank, are analyzed prior to the acquisition of the participating interests and monitored on a regular basis thereafter for the life of those interests.</w:t>
      </w:r>
    </w:p>
    <w:p>
      <w:pPr>
        <w:spacing w:after="0" w:line="15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To develop and document a systematic methodology for determining the allowance for credit losses, the Company has divided the loan portfolio into three portfolio segments, each with different risk characteristics but with similar methodologies for assessing risk. Each portfolio segment is broken down into loan classes where appropriate. Loan classes contain unique measurement attributes, risk characteristics, and methods for monitoring and assessing risk that are necessary to develop the allowance for credit losses. Unique characteristics such as borrower type, loan type, collateral type, and risk characteristics define each class.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portfolio segments and classes for the Company’s loan portfolio:</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560" w:type="dxa"/>
            <w:vAlign w:val="bottom"/>
          </w:tcPr>
          <w:p>
            <w:pPr>
              <w:spacing w:after="0"/>
              <w:rPr>
                <w:sz w:val="20"/>
                <w:szCs w:val="20"/>
                <w:color w:val="auto"/>
              </w:rPr>
            </w:pPr>
            <w:r>
              <w:rPr>
                <w:rFonts w:ascii="Arial" w:cs="Arial" w:eastAsia="Arial" w:hAnsi="Arial"/>
                <w:sz w:val="18"/>
                <w:szCs w:val="18"/>
                <w:b w:val="1"/>
                <w:bCs w:val="1"/>
                <w:color w:val="auto"/>
                <w:w w:val="99"/>
              </w:rPr>
              <w:t>Portfolio Segment</w:t>
            </w:r>
          </w:p>
        </w:tc>
        <w:tc>
          <w:tcPr>
            <w:tcW w:w="1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Class</w:t>
            </w:r>
          </w:p>
        </w:tc>
      </w:tr>
      <w:tr>
        <w:trPr>
          <w:trHeight w:val="20"/>
        </w:trPr>
        <w:tc>
          <w:tcPr>
            <w:tcW w:w="1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r>
        <w:trPr>
          <w:trHeight w:val="502"/>
        </w:trPr>
        <w:tc>
          <w:tcPr>
            <w:tcW w:w="18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Residential Mortgage Loans</w:t>
            </w:r>
          </w:p>
        </w:tc>
        <w:tc>
          <w:tcPr>
            <w:tcW w:w="7060" w:type="dxa"/>
            <w:vAlign w:val="bottom"/>
            <w:gridSpan w:val="3"/>
          </w:tcPr>
          <w:p>
            <w:pPr>
              <w:ind w:left="1060"/>
              <w:spacing w:after="0"/>
              <w:rPr>
                <w:sz w:val="20"/>
                <w:szCs w:val="20"/>
                <w:color w:val="auto"/>
              </w:rPr>
            </w:pPr>
            <w:r>
              <w:rPr>
                <w:rFonts w:ascii="Arial" w:cs="Arial" w:eastAsia="Arial" w:hAnsi="Arial"/>
                <w:sz w:val="18"/>
                <w:szCs w:val="18"/>
                <w:color w:val="auto"/>
              </w:rPr>
              <w:t>1-4 family first-lien residential mortgages</w:t>
            </w:r>
          </w:p>
        </w:tc>
      </w:tr>
      <w:tr>
        <w:trPr>
          <w:trHeight w:val="240"/>
        </w:trPr>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060" w:type="dxa"/>
            <w:vAlign w:val="bottom"/>
            <w:gridSpan w:val="3"/>
          </w:tcPr>
          <w:p>
            <w:pPr>
              <w:ind w:left="1060"/>
              <w:spacing w:after="0"/>
              <w:rPr>
                <w:sz w:val="20"/>
                <w:szCs w:val="20"/>
                <w:color w:val="auto"/>
              </w:rPr>
            </w:pPr>
            <w:r>
              <w:rPr>
                <w:rFonts w:ascii="Arial" w:cs="Arial" w:eastAsia="Arial" w:hAnsi="Arial"/>
                <w:sz w:val="18"/>
                <w:szCs w:val="18"/>
                <w:color w:val="auto"/>
              </w:rPr>
              <w:t>Construction</w:t>
            </w:r>
          </w:p>
        </w:tc>
      </w:tr>
      <w:tr>
        <w:trPr>
          <w:trHeight w:val="480"/>
        </w:trPr>
        <w:tc>
          <w:tcPr>
            <w:tcW w:w="18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Commercial Loans</w:t>
            </w:r>
          </w:p>
        </w:tc>
        <w:tc>
          <w:tcPr>
            <w:tcW w:w="7060" w:type="dxa"/>
            <w:vAlign w:val="bottom"/>
            <w:gridSpan w:val="3"/>
          </w:tcPr>
          <w:p>
            <w:pPr>
              <w:ind w:left="1060"/>
              <w:spacing w:after="0"/>
              <w:rPr>
                <w:sz w:val="20"/>
                <w:szCs w:val="20"/>
                <w:color w:val="auto"/>
              </w:rPr>
            </w:pPr>
            <w:r>
              <w:rPr>
                <w:rFonts w:ascii="Arial" w:cs="Arial" w:eastAsia="Arial" w:hAnsi="Arial"/>
                <w:sz w:val="18"/>
                <w:szCs w:val="18"/>
                <w:color w:val="auto"/>
              </w:rPr>
              <w:t>Real estate</w:t>
            </w:r>
          </w:p>
        </w:tc>
      </w:tr>
      <w:tr>
        <w:trPr>
          <w:trHeight w:val="240"/>
        </w:trPr>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060" w:type="dxa"/>
            <w:vAlign w:val="bottom"/>
            <w:gridSpan w:val="3"/>
          </w:tcPr>
          <w:p>
            <w:pPr>
              <w:ind w:left="1060"/>
              <w:spacing w:after="0"/>
              <w:rPr>
                <w:sz w:val="20"/>
                <w:szCs w:val="20"/>
                <w:color w:val="auto"/>
              </w:rPr>
            </w:pPr>
            <w:r>
              <w:rPr>
                <w:rFonts w:ascii="Arial" w:cs="Arial" w:eastAsia="Arial" w:hAnsi="Arial"/>
                <w:sz w:val="18"/>
                <w:szCs w:val="18"/>
                <w:color w:val="auto"/>
              </w:rPr>
              <w:t>Lines of credit</w:t>
            </w:r>
          </w:p>
        </w:tc>
      </w:tr>
      <w:tr>
        <w:trPr>
          <w:trHeight w:val="240"/>
        </w:trPr>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060" w:type="dxa"/>
            <w:vAlign w:val="bottom"/>
            <w:gridSpan w:val="3"/>
          </w:tcPr>
          <w:p>
            <w:pPr>
              <w:ind w:left="1060"/>
              <w:spacing w:after="0"/>
              <w:rPr>
                <w:sz w:val="20"/>
                <w:szCs w:val="20"/>
                <w:color w:val="auto"/>
              </w:rPr>
            </w:pPr>
            <w:r>
              <w:rPr>
                <w:rFonts w:ascii="Arial" w:cs="Arial" w:eastAsia="Arial" w:hAnsi="Arial"/>
                <w:sz w:val="18"/>
                <w:szCs w:val="18"/>
                <w:color w:val="auto"/>
              </w:rPr>
              <w:t>Other commercial and industrial</w:t>
            </w:r>
          </w:p>
        </w:tc>
      </w:tr>
      <w:tr>
        <w:trPr>
          <w:trHeight w:val="240"/>
        </w:trPr>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060" w:type="dxa"/>
            <w:vAlign w:val="bottom"/>
            <w:gridSpan w:val="3"/>
          </w:tcPr>
          <w:p>
            <w:pPr>
              <w:ind w:left="1060"/>
              <w:spacing w:after="0"/>
              <w:rPr>
                <w:sz w:val="20"/>
                <w:szCs w:val="20"/>
                <w:color w:val="auto"/>
              </w:rPr>
            </w:pPr>
            <w:r>
              <w:rPr>
                <w:rFonts w:ascii="Arial" w:cs="Arial" w:eastAsia="Arial" w:hAnsi="Arial"/>
                <w:sz w:val="18"/>
                <w:szCs w:val="18"/>
                <w:color w:val="auto"/>
              </w:rPr>
              <w:t>Tax exempt loans</w:t>
            </w:r>
          </w:p>
        </w:tc>
      </w:tr>
      <w:tr>
        <w:trPr>
          <w:trHeight w:val="480"/>
        </w:trPr>
        <w:tc>
          <w:tcPr>
            <w:tcW w:w="18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Consumer Loans</w:t>
            </w:r>
          </w:p>
        </w:tc>
        <w:tc>
          <w:tcPr>
            <w:tcW w:w="7060" w:type="dxa"/>
            <w:vAlign w:val="bottom"/>
            <w:gridSpan w:val="3"/>
          </w:tcPr>
          <w:p>
            <w:pPr>
              <w:ind w:left="1060"/>
              <w:spacing w:after="0"/>
              <w:rPr>
                <w:sz w:val="20"/>
                <w:szCs w:val="20"/>
                <w:color w:val="auto"/>
              </w:rPr>
            </w:pPr>
            <w:r>
              <w:rPr>
                <w:rFonts w:ascii="Arial" w:cs="Arial" w:eastAsia="Arial" w:hAnsi="Arial"/>
                <w:sz w:val="18"/>
                <w:szCs w:val="18"/>
                <w:color w:val="auto"/>
              </w:rPr>
              <w:t>Home equity and junior liens</w:t>
            </w:r>
          </w:p>
        </w:tc>
      </w:tr>
      <w:tr>
        <w:trPr>
          <w:trHeight w:val="240"/>
        </w:trPr>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060" w:type="dxa"/>
            <w:vAlign w:val="bottom"/>
            <w:gridSpan w:val="3"/>
          </w:tcPr>
          <w:p>
            <w:pPr>
              <w:ind w:left="1060"/>
              <w:spacing w:after="0"/>
              <w:rPr>
                <w:sz w:val="20"/>
                <w:szCs w:val="20"/>
                <w:color w:val="auto"/>
              </w:rPr>
            </w:pPr>
            <w:r>
              <w:rPr>
                <w:rFonts w:ascii="Arial" w:cs="Arial" w:eastAsia="Arial" w:hAnsi="Arial"/>
                <w:sz w:val="18"/>
                <w:szCs w:val="18"/>
                <w:color w:val="auto"/>
              </w:rPr>
              <w:t>Other consumer</w:t>
            </w:r>
          </w:p>
        </w:tc>
      </w:tr>
      <w:tr>
        <w:trPr>
          <w:trHeight w:val="604"/>
        </w:trPr>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60" w:type="dxa"/>
            <w:vAlign w:val="bottom"/>
            <w:gridSpan w:val="3"/>
          </w:tcPr>
          <w:p>
            <w:pPr>
              <w:jc w:val="right"/>
              <w:ind w:right="51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21</w:t>
            </w:r>
            <w:r>
              <w:rPr>
                <w:rFonts w:ascii="Arial" w:cs="Arial" w:eastAsia="Arial" w:hAnsi="Arial"/>
                <w:sz w:val="16"/>
                <w:szCs w:val="16"/>
                <w:color w:val="auto"/>
              </w:rPr>
              <w:t xml:space="preserve"> -</w:t>
            </w:r>
          </w:p>
        </w:tc>
      </w:tr>
      <w:tr>
        <w:trPr>
          <w:trHeight w:val="86"/>
        </w:trPr>
        <w:tc>
          <w:tcPr>
            <w:tcW w:w="180" w:type="dxa"/>
            <w:vAlign w:val="bottom"/>
            <w:tcBorders>
              <w:bottom w:val="single" w:sz="8" w:color="EEEEEE"/>
            </w:tcBorders>
          </w:tcPr>
          <w:p>
            <w:pPr>
              <w:spacing w:after="0"/>
              <w:rPr>
                <w:sz w:val="7"/>
                <w:szCs w:val="7"/>
                <w:color w:val="auto"/>
              </w:rPr>
            </w:pPr>
          </w:p>
        </w:tc>
        <w:tc>
          <w:tcPr>
            <w:tcW w:w="1560" w:type="dxa"/>
            <w:vAlign w:val="bottom"/>
            <w:tcBorders>
              <w:bottom w:val="single" w:sz="8" w:color="EEEEEE"/>
            </w:tcBorders>
          </w:tcPr>
          <w:p>
            <w:pPr>
              <w:spacing w:after="0"/>
              <w:rPr>
                <w:sz w:val="7"/>
                <w:szCs w:val="7"/>
                <w:color w:val="auto"/>
              </w:rPr>
            </w:pPr>
          </w:p>
        </w:tc>
        <w:tc>
          <w:tcPr>
            <w:tcW w:w="1760" w:type="dxa"/>
            <w:vAlign w:val="bottom"/>
            <w:tcBorders>
              <w:bottom w:val="single" w:sz="8" w:color="EEEEEE"/>
            </w:tcBorders>
          </w:tcPr>
          <w:p>
            <w:pPr>
              <w:spacing w:after="0"/>
              <w:rPr>
                <w:sz w:val="7"/>
                <w:szCs w:val="7"/>
                <w:color w:val="auto"/>
              </w:rPr>
            </w:pPr>
          </w:p>
        </w:tc>
        <w:tc>
          <w:tcPr>
            <w:tcW w:w="1060" w:type="dxa"/>
            <w:vAlign w:val="bottom"/>
            <w:tcBorders>
              <w:bottom w:val="single" w:sz="8" w:color="EEEEEE"/>
            </w:tcBorders>
          </w:tcPr>
          <w:p>
            <w:pPr>
              <w:spacing w:after="0"/>
              <w:rPr>
                <w:sz w:val="7"/>
                <w:szCs w:val="7"/>
                <w:color w:val="auto"/>
              </w:rPr>
            </w:pPr>
          </w:p>
        </w:tc>
        <w:tc>
          <w:tcPr>
            <w:tcW w:w="480" w:type="dxa"/>
            <w:vAlign w:val="bottom"/>
            <w:tcBorders>
              <w:bottom w:val="single" w:sz="8" w:color="EEEEEE"/>
            </w:tcBorders>
          </w:tcPr>
          <w:p>
            <w:pPr>
              <w:spacing w:after="0"/>
              <w:rPr>
                <w:sz w:val="7"/>
                <w:szCs w:val="7"/>
                <w:color w:val="auto"/>
              </w:rPr>
            </w:pPr>
          </w:p>
        </w:tc>
        <w:tc>
          <w:tcPr>
            <w:tcW w:w="5520" w:type="dxa"/>
            <w:vAlign w:val="bottom"/>
            <w:tcBorders>
              <w:bottom w:val="single" w:sz="8" w:color="EEEEEE"/>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81" w:right="680" w:bottom="1440" w:gutter="0" w:footer="0" w:header="0"/>
        </w:sectPr>
      </w:pPr>
    </w:p>
    <w:bookmarkStart w:id="21" w:name="page22"/>
    <w:bookmarkEnd w:id="21"/>
    <w:p>
      <w:pPr>
        <w:ind w:right="160"/>
        <w:spacing w:after="0" w:line="275" w:lineRule="auto"/>
        <w:rPr>
          <w:sz w:val="20"/>
          <w:szCs w:val="20"/>
          <w:color w:val="auto"/>
        </w:rPr>
      </w:pPr>
      <w:r>
        <w:rPr>
          <w:rFonts w:ascii="Arial" w:cs="Arial" w:eastAsia="Arial" w:hAnsi="Arial"/>
          <w:sz w:val="18"/>
          <w:szCs w:val="18"/>
          <w:color w:val="auto"/>
        </w:rPr>
        <w:t>The following tables present the classes of the loan portfolio, summarized by the aggregate pass rating and the classified ratings of special mention, substandard and doubtful within the Company's internal risk rating system as of the dates indicated: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940" w:type="dxa"/>
            <w:vAlign w:val="bottom"/>
            <w:gridSpan w:val="4"/>
          </w:tcPr>
          <w:p>
            <w:pPr>
              <w:jc w:val="right"/>
              <w:ind w:right="48"/>
              <w:spacing w:after="0"/>
              <w:rPr>
                <w:sz w:val="20"/>
                <w:szCs w:val="20"/>
                <w:color w:val="auto"/>
              </w:rPr>
            </w:pPr>
            <w:r>
              <w:rPr>
                <w:rFonts w:ascii="Arial" w:cs="Arial" w:eastAsia="Arial" w:hAnsi="Arial"/>
                <w:sz w:val="14"/>
                <w:szCs w:val="14"/>
                <w:color w:val="auto"/>
              </w:rPr>
              <w:t>Term Loans By Origination Year</w:t>
            </w: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Revolving</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loans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gridSpan w:val="2"/>
          </w:tcPr>
          <w:p>
            <w:pPr>
              <w:jc w:val="right"/>
              <w:ind w:right="48"/>
              <w:spacing w:after="0"/>
              <w:rPr>
                <w:sz w:val="20"/>
                <w:szCs w:val="20"/>
                <w:color w:val="auto"/>
              </w:rPr>
            </w:pPr>
            <w:r>
              <w:rPr>
                <w:rFonts w:ascii="Arial" w:cs="Arial" w:eastAsia="Arial" w:hAnsi="Arial"/>
                <w:sz w:val="14"/>
                <w:szCs w:val="14"/>
                <w:color w:val="auto"/>
              </w:rPr>
              <w:t>Revolving</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converted to</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540" w:type="dxa"/>
            <w:vAlign w:val="bottom"/>
            <w:vMerge w:val="continue"/>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2023</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2022</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2021</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2020</w:t>
            </w:r>
          </w:p>
        </w:tc>
        <w:tc>
          <w:tcPr>
            <w:tcW w:w="2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2019</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Prior</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Loans</w:t>
            </w:r>
          </w:p>
        </w:tc>
        <w:tc>
          <w:tcPr>
            <w:tcW w:w="2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term loans</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5"/>
        </w:trPr>
        <w:tc>
          <w:tcPr>
            <w:tcW w:w="2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Real Estate:</w:t>
            </w:r>
          </w:p>
        </w:tc>
        <w:tc>
          <w:tcPr>
            <w:tcW w:w="8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tcPr>
          <w:p>
            <w:pPr>
              <w:ind w:left="180"/>
              <w:spacing w:after="0"/>
              <w:rPr>
                <w:sz w:val="20"/>
                <w:szCs w:val="20"/>
                <w:color w:val="auto"/>
              </w:rPr>
            </w:pPr>
            <w:r>
              <w:rPr>
                <w:rFonts w:ascii="Arial" w:cs="Arial" w:eastAsia="Arial" w:hAnsi="Arial"/>
                <w:sz w:val="14"/>
                <w:szCs w:val="14"/>
                <w:color w:val="auto"/>
              </w:rPr>
              <w:t>Pass</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  27,676</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  76,926</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  60,804</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  29,884</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52,357</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  90,320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$ 337,967</w:t>
            </w:r>
          </w:p>
        </w:tc>
        <w:tc>
          <w:tcPr>
            <w:tcW w:w="0" w:type="dxa"/>
            <w:vAlign w:val="bottom"/>
          </w:tcPr>
          <w:p>
            <w:pPr>
              <w:spacing w:after="0"/>
              <w:rPr>
                <w:sz w:val="1"/>
                <w:szCs w:val="1"/>
                <w:color w:val="auto"/>
              </w:rPr>
            </w:pPr>
          </w:p>
        </w:tc>
      </w:tr>
      <w:tr>
        <w:trPr>
          <w:trHeight w:val="195"/>
        </w:trPr>
        <w:tc>
          <w:tcPr>
            <w:tcW w:w="25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Special Mention</w:t>
            </w: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7,117</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802</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7,919</w:t>
            </w:r>
          </w:p>
        </w:tc>
        <w:tc>
          <w:tcPr>
            <w:tcW w:w="0" w:type="dxa"/>
            <w:vAlign w:val="bottom"/>
          </w:tcPr>
          <w:p>
            <w:pPr>
              <w:spacing w:after="0"/>
              <w:rPr>
                <w:sz w:val="1"/>
                <w:szCs w:val="1"/>
                <w:color w:val="auto"/>
              </w:rPr>
            </w:pPr>
          </w:p>
        </w:tc>
      </w:tr>
      <w:tr>
        <w:trPr>
          <w:trHeight w:val="189"/>
        </w:trPr>
        <w:tc>
          <w:tcPr>
            <w:tcW w:w="2540" w:type="dxa"/>
            <w:vAlign w:val="bottom"/>
          </w:tcPr>
          <w:p>
            <w:pPr>
              <w:ind w:left="180"/>
              <w:spacing w:after="0"/>
              <w:rPr>
                <w:sz w:val="20"/>
                <w:szCs w:val="20"/>
                <w:color w:val="auto"/>
              </w:rPr>
            </w:pPr>
            <w:r>
              <w:rPr>
                <w:rFonts w:ascii="Arial" w:cs="Arial" w:eastAsia="Arial" w:hAnsi="Arial"/>
                <w:sz w:val="14"/>
                <w:szCs w:val="14"/>
                <w:color w:val="auto"/>
              </w:rPr>
              <w:t>Substandard</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500</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2,135</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739</w:t>
            </w: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396</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5,787</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9,557</w:t>
            </w:r>
          </w:p>
        </w:tc>
        <w:tc>
          <w:tcPr>
            <w:tcW w:w="0" w:type="dxa"/>
            <w:vAlign w:val="bottom"/>
          </w:tcPr>
          <w:p>
            <w:pPr>
              <w:spacing w:after="0"/>
              <w:rPr>
                <w:sz w:val="1"/>
                <w:szCs w:val="1"/>
                <w:color w:val="auto"/>
              </w:rPr>
            </w:pPr>
          </w:p>
        </w:tc>
      </w:tr>
      <w:tr>
        <w:trPr>
          <w:trHeight w:val="195"/>
        </w:trPr>
        <w:tc>
          <w:tcPr>
            <w:tcW w:w="25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Doubtful</w:t>
            </w: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162</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Arial" w:cs="Arial" w:eastAsia="Arial" w:hAnsi="Arial"/>
                <w:sz w:val="14"/>
                <w:szCs w:val="14"/>
                <w:color w:val="auto"/>
              </w:rPr>
              <w:t>Total Commercial Real Estate</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27,676</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84,543</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62,939</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30,623</w:t>
            </w:r>
          </w:p>
        </w:tc>
        <w:tc>
          <w:tcPr>
            <w:tcW w:w="2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52,753</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97,071</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355,605</w:t>
            </w:r>
          </w:p>
        </w:tc>
        <w:tc>
          <w:tcPr>
            <w:tcW w:w="0" w:type="dxa"/>
            <w:vAlign w:val="bottom"/>
          </w:tcPr>
          <w:p>
            <w:pPr>
              <w:spacing w:after="0"/>
              <w:rPr>
                <w:sz w:val="1"/>
                <w:szCs w:val="1"/>
                <w:color w:val="auto"/>
              </w:rPr>
            </w:pPr>
          </w:p>
        </w:tc>
      </w:tr>
      <w:tr>
        <w:trPr>
          <w:trHeight w:val="195"/>
        </w:trPr>
        <w:tc>
          <w:tcPr>
            <w:tcW w:w="2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Lines of Credit:</w:t>
            </w:r>
          </w:p>
        </w:tc>
        <w:tc>
          <w:tcPr>
            <w:tcW w:w="8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tcPr>
          <w:p>
            <w:pPr>
              <w:ind w:left="180"/>
              <w:spacing w:after="0"/>
              <w:rPr>
                <w:sz w:val="20"/>
                <w:szCs w:val="20"/>
                <w:color w:val="auto"/>
              </w:rPr>
            </w:pPr>
            <w:r>
              <w:rPr>
                <w:rFonts w:ascii="Arial" w:cs="Arial" w:eastAsia="Arial" w:hAnsi="Arial"/>
                <w:sz w:val="14"/>
                <w:szCs w:val="14"/>
                <w:color w:val="auto"/>
              </w:rPr>
              <w:t>Pass</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58,786</w:t>
            </w:r>
          </w:p>
        </w:tc>
        <w:tc>
          <w:tcPr>
            <w:tcW w:w="2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7,255</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66,041</w:t>
            </w:r>
          </w:p>
        </w:tc>
        <w:tc>
          <w:tcPr>
            <w:tcW w:w="0" w:type="dxa"/>
            <w:vAlign w:val="bottom"/>
          </w:tcPr>
          <w:p>
            <w:pPr>
              <w:spacing w:after="0"/>
              <w:rPr>
                <w:sz w:val="1"/>
                <w:szCs w:val="1"/>
                <w:color w:val="auto"/>
              </w:rPr>
            </w:pPr>
          </w:p>
        </w:tc>
      </w:tr>
      <w:tr>
        <w:trPr>
          <w:trHeight w:val="195"/>
        </w:trPr>
        <w:tc>
          <w:tcPr>
            <w:tcW w:w="25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Special Mention</w:t>
            </w: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935</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397</w:t>
            </w: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1,332</w:t>
            </w:r>
          </w:p>
        </w:tc>
        <w:tc>
          <w:tcPr>
            <w:tcW w:w="0" w:type="dxa"/>
            <w:vAlign w:val="bottom"/>
          </w:tcPr>
          <w:p>
            <w:pPr>
              <w:spacing w:after="0"/>
              <w:rPr>
                <w:sz w:val="1"/>
                <w:szCs w:val="1"/>
                <w:color w:val="auto"/>
              </w:rPr>
            </w:pPr>
          </w:p>
        </w:tc>
      </w:tr>
      <w:tr>
        <w:trPr>
          <w:trHeight w:val="189"/>
        </w:trPr>
        <w:tc>
          <w:tcPr>
            <w:tcW w:w="2540" w:type="dxa"/>
            <w:vAlign w:val="bottom"/>
          </w:tcPr>
          <w:p>
            <w:pPr>
              <w:ind w:left="180"/>
              <w:spacing w:after="0"/>
              <w:rPr>
                <w:sz w:val="20"/>
                <w:szCs w:val="20"/>
                <w:color w:val="auto"/>
              </w:rPr>
            </w:pPr>
            <w:r>
              <w:rPr>
                <w:rFonts w:ascii="Arial" w:cs="Arial" w:eastAsia="Arial" w:hAnsi="Arial"/>
                <w:sz w:val="14"/>
                <w:szCs w:val="14"/>
                <w:color w:val="auto"/>
              </w:rPr>
              <w:t>Substandard</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1,765</w:t>
            </w:r>
          </w:p>
        </w:tc>
        <w:tc>
          <w:tcPr>
            <w:tcW w:w="2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1,357</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3,122</w:t>
            </w:r>
          </w:p>
        </w:tc>
        <w:tc>
          <w:tcPr>
            <w:tcW w:w="0" w:type="dxa"/>
            <w:vAlign w:val="bottom"/>
          </w:tcPr>
          <w:p>
            <w:pPr>
              <w:spacing w:after="0"/>
              <w:rPr>
                <w:sz w:val="1"/>
                <w:szCs w:val="1"/>
                <w:color w:val="auto"/>
              </w:rPr>
            </w:pPr>
          </w:p>
        </w:tc>
      </w:tr>
      <w:tr>
        <w:trPr>
          <w:trHeight w:val="195"/>
        </w:trPr>
        <w:tc>
          <w:tcPr>
            <w:tcW w:w="25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Doubtful</w:t>
            </w: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100</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w:t>
            </w: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Arial" w:cs="Arial" w:eastAsia="Arial" w:hAnsi="Arial"/>
                <w:sz w:val="14"/>
                <w:szCs w:val="14"/>
                <w:color w:val="auto"/>
              </w:rPr>
              <w:t>Total Commercial Lines of Credit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61,586</w:t>
            </w:r>
          </w:p>
        </w:tc>
        <w:tc>
          <w:tcPr>
            <w:tcW w:w="2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9,038</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70,624</w:t>
            </w:r>
          </w:p>
        </w:tc>
        <w:tc>
          <w:tcPr>
            <w:tcW w:w="0" w:type="dxa"/>
            <w:vAlign w:val="bottom"/>
          </w:tcPr>
          <w:p>
            <w:pPr>
              <w:spacing w:after="0"/>
              <w:rPr>
                <w:sz w:val="1"/>
                <w:szCs w:val="1"/>
                <w:color w:val="auto"/>
              </w:rPr>
            </w:pPr>
          </w:p>
        </w:tc>
      </w:tr>
      <w:tr>
        <w:trPr>
          <w:trHeight w:val="195"/>
        </w:trPr>
        <w:tc>
          <w:tcPr>
            <w:tcW w:w="2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Commercial and Industrial:</w:t>
            </w:r>
          </w:p>
        </w:tc>
        <w:tc>
          <w:tcPr>
            <w:tcW w:w="8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tcPr>
          <w:p>
            <w:pPr>
              <w:ind w:left="180"/>
              <w:spacing w:after="0"/>
              <w:rPr>
                <w:sz w:val="20"/>
                <w:szCs w:val="20"/>
                <w:color w:val="auto"/>
              </w:rPr>
            </w:pPr>
            <w:r>
              <w:rPr>
                <w:rFonts w:ascii="Arial" w:cs="Arial" w:eastAsia="Arial" w:hAnsi="Arial"/>
                <w:sz w:val="14"/>
                <w:szCs w:val="14"/>
                <w:color w:val="auto"/>
              </w:rPr>
              <w:t>Pass</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14,111</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19,274</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7,345</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6,277</w:t>
            </w: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8,951</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13,464</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4,849</w:t>
            </w:r>
          </w:p>
        </w:tc>
        <w:tc>
          <w:tcPr>
            <w:tcW w:w="2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74,271</w:t>
            </w:r>
          </w:p>
        </w:tc>
        <w:tc>
          <w:tcPr>
            <w:tcW w:w="0" w:type="dxa"/>
            <w:vAlign w:val="bottom"/>
          </w:tcPr>
          <w:p>
            <w:pPr>
              <w:spacing w:after="0"/>
              <w:rPr>
                <w:sz w:val="1"/>
                <w:szCs w:val="1"/>
                <w:color w:val="auto"/>
              </w:rPr>
            </w:pPr>
          </w:p>
        </w:tc>
      </w:tr>
      <w:tr>
        <w:trPr>
          <w:trHeight w:val="195"/>
        </w:trPr>
        <w:tc>
          <w:tcPr>
            <w:tcW w:w="25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Special Mention</w:t>
            </w: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787</w:t>
            </w:r>
          </w:p>
        </w:tc>
        <w:tc>
          <w:tcPr>
            <w:tcW w:w="9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250</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202</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1,174</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68</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2,485</w:t>
            </w:r>
          </w:p>
        </w:tc>
        <w:tc>
          <w:tcPr>
            <w:tcW w:w="0" w:type="dxa"/>
            <w:vAlign w:val="bottom"/>
          </w:tcPr>
          <w:p>
            <w:pPr>
              <w:spacing w:after="0"/>
              <w:rPr>
                <w:sz w:val="1"/>
                <w:szCs w:val="1"/>
                <w:color w:val="auto"/>
              </w:rPr>
            </w:pPr>
          </w:p>
        </w:tc>
      </w:tr>
      <w:tr>
        <w:trPr>
          <w:trHeight w:val="189"/>
        </w:trPr>
        <w:tc>
          <w:tcPr>
            <w:tcW w:w="2540" w:type="dxa"/>
            <w:vAlign w:val="bottom"/>
          </w:tcPr>
          <w:p>
            <w:pPr>
              <w:ind w:left="180"/>
              <w:spacing w:after="0"/>
              <w:rPr>
                <w:sz w:val="20"/>
                <w:szCs w:val="20"/>
                <w:color w:val="auto"/>
              </w:rPr>
            </w:pPr>
            <w:r>
              <w:rPr>
                <w:rFonts w:ascii="Arial" w:cs="Arial" w:eastAsia="Arial" w:hAnsi="Arial"/>
                <w:sz w:val="14"/>
                <w:szCs w:val="14"/>
                <w:color w:val="auto"/>
              </w:rPr>
              <w:t>Substandard</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746</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1,826</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1,911</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634</w:t>
            </w: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312</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2,346</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7,775</w:t>
            </w:r>
          </w:p>
        </w:tc>
        <w:tc>
          <w:tcPr>
            <w:tcW w:w="0" w:type="dxa"/>
            <w:vAlign w:val="bottom"/>
          </w:tcPr>
          <w:p>
            <w:pPr>
              <w:spacing w:after="0"/>
              <w:rPr>
                <w:sz w:val="1"/>
                <w:szCs w:val="1"/>
                <w:color w:val="auto"/>
              </w:rPr>
            </w:pPr>
          </w:p>
        </w:tc>
      </w:tr>
      <w:tr>
        <w:trPr>
          <w:trHeight w:val="195"/>
        </w:trPr>
        <w:tc>
          <w:tcPr>
            <w:tcW w:w="25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Doubtful</w:t>
            </w: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50</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Arial" w:cs="Arial" w:eastAsia="Arial" w:hAnsi="Arial"/>
                <w:sz w:val="14"/>
                <w:szCs w:val="14"/>
                <w:color w:val="auto"/>
              </w:rPr>
              <w:t>Total Other Commercial and Industrial</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15,644</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21,104</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9,506</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7,113</w:t>
            </w:r>
          </w:p>
        </w:tc>
        <w:tc>
          <w:tcPr>
            <w:tcW w:w="2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10,487</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15,878</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4,849</w:t>
            </w:r>
          </w:p>
        </w:tc>
        <w:tc>
          <w:tcPr>
            <w:tcW w:w="2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84,581</w:t>
            </w:r>
          </w:p>
        </w:tc>
        <w:tc>
          <w:tcPr>
            <w:tcW w:w="0" w:type="dxa"/>
            <w:vAlign w:val="bottom"/>
          </w:tcPr>
          <w:p>
            <w:pPr>
              <w:spacing w:after="0"/>
              <w:rPr>
                <w:sz w:val="1"/>
                <w:szCs w:val="1"/>
                <w:color w:val="auto"/>
              </w:rPr>
            </w:pPr>
          </w:p>
        </w:tc>
      </w:tr>
      <w:tr>
        <w:trPr>
          <w:trHeight w:val="195"/>
        </w:trPr>
        <w:tc>
          <w:tcPr>
            <w:tcW w:w="2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Paycheck Protection Program Loans</w:t>
            </w:r>
          </w:p>
        </w:tc>
        <w:tc>
          <w:tcPr>
            <w:tcW w:w="8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tcPr>
          <w:p>
            <w:pPr>
              <w:ind w:left="260"/>
              <w:spacing w:after="0"/>
              <w:rPr>
                <w:sz w:val="20"/>
                <w:szCs w:val="20"/>
                <w:color w:val="auto"/>
              </w:rPr>
            </w:pPr>
            <w:r>
              <w:rPr>
                <w:rFonts w:ascii="Arial" w:cs="Arial" w:eastAsia="Arial" w:hAnsi="Arial"/>
                <w:sz w:val="14"/>
                <w:szCs w:val="14"/>
                <w:color w:val="auto"/>
              </w:rPr>
              <w:t>Pass</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181</w:t>
            </w: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95"/>
        </w:trPr>
        <w:tc>
          <w:tcPr>
            <w:tcW w:w="2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Special Mention</w:t>
            </w: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40" w:type="dxa"/>
            <w:vAlign w:val="bottom"/>
          </w:tcPr>
          <w:p>
            <w:pPr>
              <w:ind w:left="260"/>
              <w:spacing w:after="0"/>
              <w:rPr>
                <w:sz w:val="20"/>
                <w:szCs w:val="20"/>
                <w:color w:val="auto"/>
              </w:rPr>
            </w:pPr>
            <w:r>
              <w:rPr>
                <w:rFonts w:ascii="Arial" w:cs="Arial" w:eastAsia="Arial" w:hAnsi="Arial"/>
                <w:sz w:val="14"/>
                <w:szCs w:val="14"/>
                <w:color w:val="auto"/>
              </w:rPr>
              <w:t>Substandard</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Doubtful</w:t>
            </w: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540" w:type="dxa"/>
            <w:vAlign w:val="bottom"/>
          </w:tcPr>
          <w:p>
            <w:pPr>
              <w:ind w:left="20"/>
              <w:spacing w:after="0"/>
              <w:rPr>
                <w:sz w:val="20"/>
                <w:szCs w:val="20"/>
                <w:color w:val="auto"/>
              </w:rPr>
            </w:pPr>
            <w:r>
              <w:rPr>
                <w:rFonts w:ascii="Arial" w:cs="Arial" w:eastAsia="Arial" w:hAnsi="Arial"/>
                <w:sz w:val="14"/>
                <w:szCs w:val="14"/>
                <w:color w:val="auto"/>
              </w:rPr>
              <w:t>Total Paycheck Protection Program</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540" w:type="dxa"/>
            <w:vAlign w:val="bottom"/>
          </w:tcPr>
          <w:p>
            <w:pPr>
              <w:ind w:left="20"/>
              <w:spacing w:after="0"/>
              <w:rPr>
                <w:sz w:val="20"/>
                <w:szCs w:val="20"/>
                <w:color w:val="auto"/>
              </w:rPr>
            </w:pPr>
            <w:r>
              <w:rPr>
                <w:rFonts w:ascii="Arial" w:cs="Arial" w:eastAsia="Arial" w:hAnsi="Arial"/>
                <w:sz w:val="14"/>
                <w:szCs w:val="14"/>
                <w:color w:val="auto"/>
              </w:rPr>
              <w:t>Loans</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181</w:t>
            </w: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95"/>
        </w:trPr>
        <w:tc>
          <w:tcPr>
            <w:tcW w:w="2540" w:type="dxa"/>
            <w:vAlign w:val="bottom"/>
            <w:shd w:val="clear" w:color="auto" w:fill="CFF0FC"/>
          </w:tcPr>
          <w:p>
            <w:pPr>
              <w:ind w:left="20"/>
              <w:spacing w:after="0"/>
              <w:rPr>
                <w:sz w:val="20"/>
                <w:szCs w:val="20"/>
                <w:color w:val="auto"/>
              </w:rPr>
            </w:pPr>
            <w:r>
              <w:rPr>
                <w:rFonts w:ascii="Arial" w:cs="Arial" w:eastAsia="Arial" w:hAnsi="Arial"/>
                <w:sz w:val="14"/>
                <w:szCs w:val="14"/>
                <w:color w:val="auto"/>
              </w:rPr>
              <w:t>Tax Exempt Loans</w:t>
            </w:r>
          </w:p>
        </w:tc>
        <w:tc>
          <w:tcPr>
            <w:tcW w:w="8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40" w:type="dxa"/>
            <w:vAlign w:val="bottom"/>
          </w:tcPr>
          <w:p>
            <w:pPr>
              <w:ind w:left="260"/>
              <w:spacing w:after="0"/>
              <w:rPr>
                <w:sz w:val="20"/>
                <w:szCs w:val="20"/>
                <w:color w:val="auto"/>
              </w:rPr>
            </w:pPr>
            <w:r>
              <w:rPr>
                <w:rFonts w:ascii="Arial" w:cs="Arial" w:eastAsia="Arial" w:hAnsi="Arial"/>
                <w:sz w:val="14"/>
                <w:szCs w:val="14"/>
                <w:color w:val="auto"/>
              </w:rPr>
              <w:t>Pass</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196</w:t>
            </w:r>
          </w:p>
        </w:tc>
        <w:tc>
          <w:tcPr>
            <w:tcW w:w="2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3,761</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3,963</w:t>
            </w:r>
          </w:p>
        </w:tc>
        <w:tc>
          <w:tcPr>
            <w:tcW w:w="0" w:type="dxa"/>
            <w:vAlign w:val="bottom"/>
          </w:tcPr>
          <w:p>
            <w:pPr>
              <w:spacing w:after="0"/>
              <w:rPr>
                <w:sz w:val="1"/>
                <w:szCs w:val="1"/>
                <w:color w:val="auto"/>
              </w:rPr>
            </w:pPr>
          </w:p>
        </w:tc>
      </w:tr>
      <w:tr>
        <w:trPr>
          <w:trHeight w:val="195"/>
        </w:trPr>
        <w:tc>
          <w:tcPr>
            <w:tcW w:w="2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Special Mention</w:t>
            </w: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40" w:type="dxa"/>
            <w:vAlign w:val="bottom"/>
          </w:tcPr>
          <w:p>
            <w:pPr>
              <w:ind w:left="260"/>
              <w:spacing w:after="0"/>
              <w:rPr>
                <w:sz w:val="20"/>
                <w:szCs w:val="20"/>
                <w:color w:val="auto"/>
              </w:rPr>
            </w:pPr>
            <w:r>
              <w:rPr>
                <w:rFonts w:ascii="Arial" w:cs="Arial" w:eastAsia="Arial" w:hAnsi="Arial"/>
                <w:sz w:val="14"/>
                <w:szCs w:val="14"/>
                <w:color w:val="auto"/>
              </w:rPr>
              <w:t>Substandard</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5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Doubtful</w:t>
            </w: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540" w:type="dxa"/>
            <w:vAlign w:val="bottom"/>
          </w:tcPr>
          <w:p>
            <w:pPr>
              <w:ind w:left="20"/>
              <w:spacing w:after="0"/>
              <w:rPr>
                <w:sz w:val="20"/>
                <w:szCs w:val="20"/>
                <w:color w:val="auto"/>
              </w:rPr>
            </w:pPr>
            <w:r>
              <w:rPr>
                <w:rFonts w:ascii="Arial" w:cs="Arial" w:eastAsia="Arial" w:hAnsi="Arial"/>
                <w:sz w:val="14"/>
                <w:szCs w:val="14"/>
                <w:color w:val="auto"/>
              </w:rPr>
              <w:t>Total Tax Exempt Loans</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196</w:t>
            </w:r>
          </w:p>
        </w:tc>
        <w:tc>
          <w:tcPr>
            <w:tcW w:w="2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3,761</w:t>
            </w:r>
          </w:p>
        </w:tc>
        <w:tc>
          <w:tcPr>
            <w:tcW w:w="26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3,963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22</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87" w:right="68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2"/>
        </w:trPr>
        <w:tc>
          <w:tcPr>
            <w:tcW w:w="2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6"/>
          </w:tcPr>
          <w:p>
            <w:pPr>
              <w:jc w:val="right"/>
              <w:ind w:right="48"/>
              <w:spacing w:after="0"/>
              <w:rPr>
                <w:sz w:val="20"/>
                <w:szCs w:val="20"/>
                <w:color w:val="auto"/>
              </w:rPr>
            </w:pPr>
            <w:r>
              <w:rPr>
                <w:rFonts w:ascii="Arial" w:cs="Arial" w:eastAsia="Arial" w:hAnsi="Arial"/>
                <w:sz w:val="14"/>
                <w:szCs w:val="14"/>
                <w:color w:val="auto"/>
              </w:rPr>
              <w:t>Term Loans By Origination Year</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Revolving</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loans</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color w:val="auto"/>
              </w:rPr>
              <w:t>Revolving</w:t>
            </w: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converted to</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2023</w:t>
            </w:r>
          </w:p>
        </w:tc>
        <w:tc>
          <w:tcPr>
            <w:tcW w:w="200" w:type="dxa"/>
            <w:vAlign w:val="bottom"/>
          </w:tcPr>
          <w:p>
            <w:pPr>
              <w:spacing w:after="0"/>
              <w:rPr>
                <w:sz w:val="15"/>
                <w:szCs w:val="15"/>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15"/>
                <w:szCs w:val="15"/>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2021</w:t>
            </w:r>
          </w:p>
        </w:tc>
        <w:tc>
          <w:tcPr>
            <w:tcW w:w="220" w:type="dxa"/>
            <w:vAlign w:val="bottom"/>
          </w:tcPr>
          <w:p>
            <w:pPr>
              <w:spacing w:after="0"/>
              <w:rPr>
                <w:sz w:val="15"/>
                <w:szCs w:val="15"/>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2020</w:t>
            </w:r>
          </w:p>
        </w:tc>
        <w:tc>
          <w:tcPr>
            <w:tcW w:w="24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15"/>
                <w:szCs w:val="15"/>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Prior</w:t>
            </w:r>
          </w:p>
        </w:tc>
        <w:tc>
          <w:tcPr>
            <w:tcW w:w="22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Loans</w:t>
            </w:r>
          </w:p>
        </w:tc>
        <w:tc>
          <w:tcPr>
            <w:tcW w:w="22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term loans</w:t>
            </w:r>
          </w:p>
        </w:tc>
        <w:tc>
          <w:tcPr>
            <w:tcW w:w="20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8"/>
        </w:trPr>
        <w:tc>
          <w:tcPr>
            <w:tcW w:w="2460" w:type="dxa"/>
            <w:vAlign w:val="bottom"/>
          </w:tcPr>
          <w:p>
            <w:pPr>
              <w:ind w:left="20"/>
              <w:spacing w:after="0"/>
              <w:rPr>
                <w:sz w:val="20"/>
                <w:szCs w:val="20"/>
                <w:color w:val="auto"/>
              </w:rPr>
            </w:pPr>
            <w:r>
              <w:rPr>
                <w:rFonts w:ascii="Arial" w:cs="Arial" w:eastAsia="Arial" w:hAnsi="Arial"/>
                <w:sz w:val="14"/>
                <w:szCs w:val="14"/>
                <w:color w:val="auto"/>
              </w:rPr>
              <w:t>1-4 family first-lien residential</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460" w:type="dxa"/>
            <w:vAlign w:val="bottom"/>
          </w:tcPr>
          <w:p>
            <w:pPr>
              <w:ind w:left="20"/>
              <w:spacing w:after="0"/>
              <w:rPr>
                <w:sz w:val="20"/>
                <w:szCs w:val="20"/>
                <w:color w:val="auto"/>
              </w:rPr>
            </w:pPr>
            <w:r>
              <w:rPr>
                <w:rFonts w:ascii="Arial" w:cs="Arial" w:eastAsia="Arial" w:hAnsi="Arial"/>
                <w:sz w:val="14"/>
                <w:szCs w:val="14"/>
                <w:color w:val="auto"/>
              </w:rPr>
              <w:t>mortgages:</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Pass</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3,436</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33,934</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53,825</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42,043</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19,141</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100,608</w:t>
            </w:r>
          </w:p>
        </w:tc>
        <w:tc>
          <w:tcPr>
            <w:tcW w:w="2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98"/>
              </w:rPr>
              <w:t>252,987</w:t>
            </w:r>
          </w:p>
        </w:tc>
        <w:tc>
          <w:tcPr>
            <w:tcW w:w="0" w:type="dxa"/>
            <w:vAlign w:val="bottom"/>
          </w:tcPr>
          <w:p>
            <w:pPr>
              <w:spacing w:after="0"/>
              <w:rPr>
                <w:sz w:val="1"/>
                <w:szCs w:val="1"/>
                <w:color w:val="auto"/>
              </w:rPr>
            </w:pPr>
          </w:p>
        </w:tc>
      </w:tr>
      <w:tr>
        <w:trPr>
          <w:trHeight w:val="189"/>
        </w:trPr>
        <w:tc>
          <w:tcPr>
            <w:tcW w:w="2460" w:type="dxa"/>
            <w:vAlign w:val="bottom"/>
          </w:tcPr>
          <w:p>
            <w:pPr>
              <w:ind w:left="180"/>
              <w:spacing w:after="0"/>
              <w:rPr>
                <w:sz w:val="20"/>
                <w:szCs w:val="20"/>
                <w:color w:val="auto"/>
              </w:rPr>
            </w:pPr>
            <w:r>
              <w:rPr>
                <w:rFonts w:ascii="Arial" w:cs="Arial" w:eastAsia="Arial" w:hAnsi="Arial"/>
                <w:sz w:val="14"/>
                <w:szCs w:val="14"/>
                <w:color w:val="auto"/>
              </w:rPr>
              <w:t>Special Mention</w:t>
            </w:r>
          </w:p>
        </w:tc>
        <w:tc>
          <w:tcPr>
            <w:tcW w:w="26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693</w:t>
            </w:r>
          </w:p>
        </w:tc>
        <w:tc>
          <w:tcPr>
            <w:tcW w:w="22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53</w:t>
            </w:r>
          </w:p>
        </w:tc>
        <w:tc>
          <w:tcPr>
            <w:tcW w:w="2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746</w:t>
            </w:r>
          </w:p>
        </w:tc>
        <w:tc>
          <w:tcPr>
            <w:tcW w:w="0" w:type="dxa"/>
            <w:vAlign w:val="bottom"/>
          </w:tcPr>
          <w:p>
            <w:pPr>
              <w:spacing w:after="0"/>
              <w:rPr>
                <w:sz w:val="1"/>
                <w:szCs w:val="1"/>
                <w:color w:val="auto"/>
              </w:rPr>
            </w:pPr>
          </w:p>
        </w:tc>
      </w:tr>
      <w:tr>
        <w:trPr>
          <w:trHeight w:val="195"/>
        </w:trPr>
        <w:tc>
          <w:tcPr>
            <w:tcW w:w="24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Substandard</w:t>
            </w: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449</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223</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1,219</w:t>
            </w: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1,891</w:t>
            </w:r>
          </w:p>
        </w:tc>
        <w:tc>
          <w:tcPr>
            <w:tcW w:w="0" w:type="dxa"/>
            <w:vAlign w:val="bottom"/>
          </w:tcPr>
          <w:p>
            <w:pPr>
              <w:spacing w:after="0"/>
              <w:rPr>
                <w:sz w:val="1"/>
                <w:szCs w:val="1"/>
                <w:color w:val="auto"/>
              </w:rPr>
            </w:pPr>
          </w:p>
        </w:tc>
      </w:tr>
      <w:tr>
        <w:trPr>
          <w:trHeight w:val="189"/>
        </w:trPr>
        <w:tc>
          <w:tcPr>
            <w:tcW w:w="2460" w:type="dxa"/>
            <w:vAlign w:val="bottom"/>
          </w:tcPr>
          <w:p>
            <w:pPr>
              <w:ind w:left="180"/>
              <w:spacing w:after="0"/>
              <w:rPr>
                <w:sz w:val="20"/>
                <w:szCs w:val="20"/>
                <w:color w:val="auto"/>
              </w:rPr>
            </w:pPr>
            <w:r>
              <w:rPr>
                <w:rFonts w:ascii="Arial" w:cs="Arial" w:eastAsia="Arial" w:hAnsi="Arial"/>
                <w:sz w:val="14"/>
                <w:szCs w:val="14"/>
                <w:color w:val="auto"/>
              </w:rPr>
              <w:t>Doubtful</w:t>
            </w:r>
          </w:p>
        </w:tc>
        <w:tc>
          <w:tcPr>
            <w:tcW w:w="26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154</w:t>
            </w:r>
          </w:p>
        </w:tc>
        <w:tc>
          <w:tcPr>
            <w:tcW w:w="2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423</w:t>
            </w:r>
          </w:p>
        </w:tc>
        <w:tc>
          <w:tcPr>
            <w:tcW w:w="2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175"/>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1-4 family first-lien residential</w:t>
            </w:r>
          </w:p>
        </w:tc>
        <w:tc>
          <w:tcPr>
            <w:tcW w:w="2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2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460" w:type="dxa"/>
            <w:vAlign w:val="bottom"/>
            <w:vMerge w:val="restart"/>
            <w:shd w:val="clear" w:color="auto" w:fill="CFF0FC"/>
          </w:tcPr>
          <w:p>
            <w:pPr>
              <w:ind w:left="20"/>
              <w:spacing w:after="0"/>
              <w:rPr>
                <w:sz w:val="20"/>
                <w:szCs w:val="20"/>
                <w:color w:val="auto"/>
              </w:rPr>
            </w:pPr>
            <w:r>
              <w:rPr>
                <w:rFonts w:ascii="Arial" w:cs="Arial" w:eastAsia="Arial" w:hAnsi="Arial"/>
                <w:sz w:val="14"/>
                <w:szCs w:val="14"/>
                <w:color w:val="auto"/>
              </w:rPr>
              <w:t>mortgages</w:t>
            </w:r>
          </w:p>
        </w:tc>
        <w:tc>
          <w:tcPr>
            <w:tcW w:w="260" w:type="dxa"/>
            <w:vAlign w:val="bottom"/>
            <w:shd w:val="clear" w:color="auto" w:fill="CFF0FC"/>
          </w:tcPr>
          <w:p>
            <w:pPr>
              <w:spacing w:after="0"/>
              <w:rPr>
                <w:sz w:val="5"/>
                <w:szCs w:val="5"/>
                <w:color w:val="auto"/>
              </w:rPr>
            </w:pPr>
          </w:p>
        </w:tc>
        <w:tc>
          <w:tcPr>
            <w:tcW w:w="70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rPr>
              <w:t>3,436</w:t>
            </w:r>
          </w:p>
        </w:tc>
        <w:tc>
          <w:tcPr>
            <w:tcW w:w="200" w:type="dxa"/>
            <w:vAlign w:val="bottom"/>
            <w:shd w:val="clear" w:color="auto" w:fill="CFF0FC"/>
          </w:tcPr>
          <w:p>
            <w:pPr>
              <w:spacing w:after="0"/>
              <w:rPr>
                <w:sz w:val="5"/>
                <w:szCs w:val="5"/>
                <w:color w:val="auto"/>
              </w:rPr>
            </w:pPr>
          </w:p>
        </w:tc>
        <w:tc>
          <w:tcPr>
            <w:tcW w:w="66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33,934</w:t>
            </w:r>
          </w:p>
        </w:tc>
        <w:tc>
          <w:tcPr>
            <w:tcW w:w="220" w:type="dxa"/>
            <w:vAlign w:val="bottom"/>
            <w:shd w:val="clear" w:color="auto" w:fill="CFF0FC"/>
          </w:tcPr>
          <w:p>
            <w:pPr>
              <w:spacing w:after="0"/>
              <w:rPr>
                <w:sz w:val="5"/>
                <w:szCs w:val="5"/>
                <w:color w:val="auto"/>
              </w:rPr>
            </w:pPr>
          </w:p>
        </w:tc>
        <w:tc>
          <w:tcPr>
            <w:tcW w:w="70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rPr>
              <w:t>54,518</w:t>
            </w:r>
          </w:p>
        </w:tc>
        <w:tc>
          <w:tcPr>
            <w:tcW w:w="220" w:type="dxa"/>
            <w:vAlign w:val="bottom"/>
            <w:shd w:val="clear" w:color="auto" w:fill="CFF0FC"/>
          </w:tcPr>
          <w:p>
            <w:pPr>
              <w:spacing w:after="0"/>
              <w:rPr>
                <w:sz w:val="5"/>
                <w:szCs w:val="5"/>
                <w:color w:val="auto"/>
              </w:rPr>
            </w:pPr>
          </w:p>
        </w:tc>
        <w:tc>
          <w:tcPr>
            <w:tcW w:w="66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rPr>
              <w:t>42,646</w:t>
            </w:r>
          </w:p>
        </w:tc>
        <w:tc>
          <w:tcPr>
            <w:tcW w:w="240" w:type="dxa"/>
            <w:vAlign w:val="bottom"/>
            <w:shd w:val="clear" w:color="auto" w:fill="CFF0FC"/>
          </w:tcPr>
          <w:p>
            <w:pPr>
              <w:spacing w:after="0"/>
              <w:rPr>
                <w:sz w:val="5"/>
                <w:szCs w:val="5"/>
                <w:color w:val="auto"/>
              </w:rPr>
            </w:pPr>
          </w:p>
        </w:tc>
        <w:tc>
          <w:tcPr>
            <w:tcW w:w="62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19,364</w:t>
            </w:r>
          </w:p>
        </w:tc>
        <w:tc>
          <w:tcPr>
            <w:tcW w:w="220" w:type="dxa"/>
            <w:vAlign w:val="bottom"/>
            <w:shd w:val="clear" w:color="auto" w:fill="CFF0FC"/>
          </w:tcPr>
          <w:p>
            <w:pPr>
              <w:spacing w:after="0"/>
              <w:rPr>
                <w:sz w:val="5"/>
                <w:szCs w:val="5"/>
                <w:color w:val="auto"/>
              </w:rPr>
            </w:pPr>
          </w:p>
        </w:tc>
        <w:tc>
          <w:tcPr>
            <w:tcW w:w="70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rPr>
              <w:t>102,303</w:t>
            </w:r>
          </w:p>
        </w:tc>
        <w:tc>
          <w:tcPr>
            <w:tcW w:w="220" w:type="dxa"/>
            <w:vAlign w:val="bottom"/>
            <w:shd w:val="clear" w:color="auto" w:fill="CFF0FC"/>
          </w:tcPr>
          <w:p>
            <w:pPr>
              <w:spacing w:after="0"/>
              <w:rPr>
                <w:sz w:val="5"/>
                <w:szCs w:val="5"/>
                <w:color w:val="auto"/>
              </w:rPr>
            </w:pPr>
          </w:p>
        </w:tc>
        <w:tc>
          <w:tcPr>
            <w:tcW w:w="62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820" w:type="dxa"/>
            <w:vAlign w:val="bottom"/>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62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w w:val="98"/>
              </w:rPr>
              <w:t>256,201</w:t>
            </w:r>
          </w:p>
        </w:tc>
        <w:tc>
          <w:tcPr>
            <w:tcW w:w="0" w:type="dxa"/>
            <w:vAlign w:val="bottom"/>
          </w:tcPr>
          <w:p>
            <w:pPr>
              <w:spacing w:after="0"/>
              <w:rPr>
                <w:sz w:val="1"/>
                <w:szCs w:val="1"/>
                <w:color w:val="auto"/>
              </w:rPr>
            </w:pPr>
          </w:p>
        </w:tc>
      </w:tr>
      <w:tr>
        <w:trPr>
          <w:trHeight w:val="126"/>
        </w:trPr>
        <w:tc>
          <w:tcPr>
            <w:tcW w:w="2460" w:type="dxa"/>
            <w:vAlign w:val="bottom"/>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0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6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2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Construction:</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Pass</w:t>
            </w: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2,189</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290</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2,479</w:t>
            </w:r>
          </w:p>
        </w:tc>
        <w:tc>
          <w:tcPr>
            <w:tcW w:w="0" w:type="dxa"/>
            <w:vAlign w:val="bottom"/>
          </w:tcPr>
          <w:p>
            <w:pPr>
              <w:spacing w:after="0"/>
              <w:rPr>
                <w:sz w:val="1"/>
                <w:szCs w:val="1"/>
                <w:color w:val="auto"/>
              </w:rPr>
            </w:pPr>
          </w:p>
        </w:tc>
      </w:tr>
      <w:tr>
        <w:trPr>
          <w:trHeight w:val="189"/>
        </w:trPr>
        <w:tc>
          <w:tcPr>
            <w:tcW w:w="2460" w:type="dxa"/>
            <w:vAlign w:val="bottom"/>
          </w:tcPr>
          <w:p>
            <w:pPr>
              <w:ind w:left="180"/>
              <w:spacing w:after="0"/>
              <w:rPr>
                <w:sz w:val="20"/>
                <w:szCs w:val="20"/>
                <w:color w:val="auto"/>
              </w:rPr>
            </w:pPr>
            <w:r>
              <w:rPr>
                <w:rFonts w:ascii="Arial" w:cs="Arial" w:eastAsia="Arial" w:hAnsi="Arial"/>
                <w:sz w:val="14"/>
                <w:szCs w:val="14"/>
                <w:color w:val="auto"/>
              </w:rPr>
              <w:t>Special Mention</w:t>
            </w:r>
          </w:p>
        </w:tc>
        <w:tc>
          <w:tcPr>
            <w:tcW w:w="26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4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Substandard</w:t>
            </w: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460" w:type="dxa"/>
            <w:vAlign w:val="bottom"/>
          </w:tcPr>
          <w:p>
            <w:pPr>
              <w:ind w:left="180"/>
              <w:spacing w:after="0"/>
              <w:rPr>
                <w:sz w:val="20"/>
                <w:szCs w:val="20"/>
                <w:color w:val="auto"/>
              </w:rPr>
            </w:pPr>
            <w:r>
              <w:rPr>
                <w:rFonts w:ascii="Arial" w:cs="Arial" w:eastAsia="Arial" w:hAnsi="Arial"/>
                <w:sz w:val="14"/>
                <w:szCs w:val="14"/>
                <w:color w:val="auto"/>
              </w:rPr>
              <w:t>Doubtful</w:t>
            </w:r>
          </w:p>
        </w:tc>
        <w:tc>
          <w:tcPr>
            <w:tcW w:w="26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Construction</w:t>
            </w: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2,189</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290</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2,479</w:t>
            </w: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4"/>
                <w:szCs w:val="14"/>
                <w:color w:val="auto"/>
              </w:rPr>
              <w:t>Home Equity and Junior Liens:</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Pass</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7,119</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2,176</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1,616</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848</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567</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2,297</w:t>
            </w:r>
          </w:p>
        </w:tc>
        <w:tc>
          <w:tcPr>
            <w:tcW w:w="2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17,979</w:t>
            </w:r>
          </w:p>
        </w:tc>
        <w:tc>
          <w:tcPr>
            <w:tcW w:w="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709</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33,311</w:t>
            </w:r>
          </w:p>
        </w:tc>
        <w:tc>
          <w:tcPr>
            <w:tcW w:w="0" w:type="dxa"/>
            <w:vAlign w:val="bottom"/>
          </w:tcPr>
          <w:p>
            <w:pPr>
              <w:spacing w:after="0"/>
              <w:rPr>
                <w:sz w:val="1"/>
                <w:szCs w:val="1"/>
                <w:color w:val="auto"/>
              </w:rPr>
            </w:pPr>
          </w:p>
        </w:tc>
      </w:tr>
      <w:tr>
        <w:trPr>
          <w:trHeight w:val="189"/>
        </w:trPr>
        <w:tc>
          <w:tcPr>
            <w:tcW w:w="2460" w:type="dxa"/>
            <w:vAlign w:val="bottom"/>
          </w:tcPr>
          <w:p>
            <w:pPr>
              <w:ind w:left="180"/>
              <w:spacing w:after="0"/>
              <w:rPr>
                <w:sz w:val="20"/>
                <w:szCs w:val="20"/>
                <w:color w:val="auto"/>
              </w:rPr>
            </w:pPr>
            <w:r>
              <w:rPr>
                <w:rFonts w:ascii="Arial" w:cs="Arial" w:eastAsia="Arial" w:hAnsi="Arial"/>
                <w:sz w:val="14"/>
                <w:szCs w:val="14"/>
                <w:color w:val="auto"/>
              </w:rPr>
              <w:t>Special Mention</w:t>
            </w:r>
          </w:p>
        </w:tc>
        <w:tc>
          <w:tcPr>
            <w:tcW w:w="26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5"/>
        </w:trPr>
        <w:tc>
          <w:tcPr>
            <w:tcW w:w="24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Substandard</w:t>
            </w: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69</w:t>
            </w: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37</w:t>
            </w: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599</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r>
        <w:trPr>
          <w:trHeight w:val="189"/>
        </w:trPr>
        <w:tc>
          <w:tcPr>
            <w:tcW w:w="2460" w:type="dxa"/>
            <w:vAlign w:val="bottom"/>
          </w:tcPr>
          <w:p>
            <w:pPr>
              <w:ind w:left="180"/>
              <w:spacing w:after="0"/>
              <w:rPr>
                <w:sz w:val="20"/>
                <w:szCs w:val="20"/>
                <w:color w:val="auto"/>
              </w:rPr>
            </w:pPr>
            <w:r>
              <w:rPr>
                <w:rFonts w:ascii="Arial" w:cs="Arial" w:eastAsia="Arial" w:hAnsi="Arial"/>
                <w:sz w:val="14"/>
                <w:szCs w:val="14"/>
                <w:color w:val="auto"/>
              </w:rPr>
              <w:t>Doubtful</w:t>
            </w:r>
          </w:p>
        </w:tc>
        <w:tc>
          <w:tcPr>
            <w:tcW w:w="26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Home Equity and Junior Liens</w:t>
            </w: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7,119</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2,176</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1,685</w:t>
            </w: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848</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567</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2,334</w:t>
            </w: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18,583</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716</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34,028</w:t>
            </w: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Other Consumer:</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Pass</w:t>
            </w: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71,257</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4,634</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3,348</w:t>
            </w: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1,609</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1,949</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1,359</w:t>
            </w: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302</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84,458</w:t>
            </w:r>
          </w:p>
        </w:tc>
        <w:tc>
          <w:tcPr>
            <w:tcW w:w="0" w:type="dxa"/>
            <w:vAlign w:val="bottom"/>
          </w:tcPr>
          <w:p>
            <w:pPr>
              <w:spacing w:after="0"/>
              <w:rPr>
                <w:sz w:val="1"/>
                <w:szCs w:val="1"/>
                <w:color w:val="auto"/>
              </w:rPr>
            </w:pPr>
          </w:p>
        </w:tc>
      </w:tr>
      <w:tr>
        <w:trPr>
          <w:trHeight w:val="189"/>
        </w:trPr>
        <w:tc>
          <w:tcPr>
            <w:tcW w:w="2460" w:type="dxa"/>
            <w:vAlign w:val="bottom"/>
          </w:tcPr>
          <w:p>
            <w:pPr>
              <w:ind w:left="180"/>
              <w:spacing w:after="0"/>
              <w:rPr>
                <w:sz w:val="20"/>
                <w:szCs w:val="20"/>
                <w:color w:val="auto"/>
              </w:rPr>
            </w:pPr>
            <w:r>
              <w:rPr>
                <w:rFonts w:ascii="Arial" w:cs="Arial" w:eastAsia="Arial" w:hAnsi="Arial"/>
                <w:sz w:val="14"/>
                <w:szCs w:val="14"/>
                <w:color w:val="auto"/>
              </w:rPr>
              <w:t>Special Mention</w:t>
            </w:r>
          </w:p>
        </w:tc>
        <w:tc>
          <w:tcPr>
            <w:tcW w:w="26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5"/>
        </w:trPr>
        <w:tc>
          <w:tcPr>
            <w:tcW w:w="24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Substandard</w:t>
            </w: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86</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18</w:t>
            </w: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40</w:t>
            </w: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30</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89"/>
        </w:trPr>
        <w:tc>
          <w:tcPr>
            <w:tcW w:w="2460" w:type="dxa"/>
            <w:vAlign w:val="bottom"/>
          </w:tcPr>
          <w:p>
            <w:pPr>
              <w:ind w:left="180"/>
              <w:spacing w:after="0"/>
              <w:rPr>
                <w:sz w:val="20"/>
                <w:szCs w:val="20"/>
                <w:color w:val="auto"/>
              </w:rPr>
            </w:pPr>
            <w:r>
              <w:rPr>
                <w:rFonts w:ascii="Arial" w:cs="Arial" w:eastAsia="Arial" w:hAnsi="Arial"/>
                <w:sz w:val="14"/>
                <w:szCs w:val="14"/>
                <w:color w:val="auto"/>
              </w:rPr>
              <w:t>Doubtful</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Other Consumer</w:t>
            </w:r>
          </w:p>
        </w:tc>
        <w:tc>
          <w:tcPr>
            <w:tcW w:w="2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71,257</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4,720</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3,366</w:t>
            </w: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1,609</w:t>
            </w: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1,962</w:t>
            </w: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1,400</w:t>
            </w: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332</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84,646</w:t>
            </w: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Net Deferred Loan Fees</w:t>
            </w:r>
          </w:p>
        </w:tc>
        <w:tc>
          <w:tcPr>
            <w:tcW w:w="2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(1,013 )</w:t>
            </w:r>
          </w:p>
        </w:tc>
        <w:tc>
          <w:tcPr>
            <w:tcW w:w="20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114</w:t>
            </w:r>
          </w:p>
        </w:tc>
        <w:tc>
          <w:tcPr>
            <w:tcW w:w="22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(81 )</w:t>
            </w:r>
          </w:p>
        </w:tc>
        <w:tc>
          <w:tcPr>
            <w:tcW w:w="2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(16 )</w:t>
            </w:r>
          </w:p>
        </w:tc>
        <w:tc>
          <w:tcPr>
            <w:tcW w:w="240" w:type="dxa"/>
            <w:vAlign w:val="bottom"/>
          </w:tcPr>
          <w:p>
            <w:pPr>
              <w:spacing w:after="0"/>
              <w:rPr>
                <w:sz w:val="16"/>
                <w:szCs w:val="16"/>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2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(285 )</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(1,197 )</w:t>
            </w:r>
          </w:p>
        </w:tc>
        <w:tc>
          <w:tcPr>
            <w:tcW w:w="0" w:type="dxa"/>
            <w:vAlign w:val="bottom"/>
          </w:tcPr>
          <w:p>
            <w:pPr>
              <w:spacing w:after="0"/>
              <w:rPr>
                <w:sz w:val="1"/>
                <w:szCs w:val="1"/>
                <w:color w:val="auto"/>
              </w:rPr>
            </w:pPr>
          </w:p>
        </w:tc>
      </w:tr>
      <w:tr>
        <w:trPr>
          <w:trHeight w:val="232"/>
        </w:trPr>
        <w:tc>
          <w:tcPr>
            <w:tcW w:w="24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Total loans</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126,308</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146,881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131,933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83,200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85,223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222,462</w:t>
            </w:r>
          </w:p>
        </w:tc>
        <w:tc>
          <w:tcPr>
            <w:tcW w:w="22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85,350</w:t>
            </w:r>
          </w:p>
        </w:tc>
        <w:tc>
          <w:tcPr>
            <w:tcW w:w="2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9,754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98"/>
              </w:rPr>
              <w:t>891,111</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Management has reviewed its loan portfolio and determined that, to the best of its knowledge, no material exposure exists to sub-prime or other high-risk residential mortgages. The Company is not in the practice of originating these types of loans.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Nonaccrual and Past Due Loans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Loans are considered past due if the required principal and interest payments have not been received within thirty days of the payment due date. Loans are placed on nonaccrual when the contractual payment of principal and interest has become 90 days past due or when management has serious doubts about further collectability of principal or interest, even though the loan may be currently performing.</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23</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69" w:right="680"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An aging analysis of past due loans, not including net deferred loan costs, segregated by portfolio segment and class of loans, as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December 31, 2022, are detailed in the following tables: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June 30, 2023</w:t>
            </w: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3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w w:val="97"/>
              </w:rPr>
              <w:t>30-59 Days</w:t>
            </w:r>
          </w:p>
        </w:tc>
        <w:tc>
          <w:tcPr>
            <w:tcW w:w="260" w:type="dxa"/>
            <w:vAlign w:val="bottom"/>
          </w:tcPr>
          <w:p>
            <w:pPr>
              <w:spacing w:after="0"/>
              <w:rPr>
                <w:sz w:val="24"/>
                <w:szCs w:val="24"/>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w w:val="97"/>
              </w:rPr>
              <w:t>60-89 Days</w:t>
            </w:r>
          </w:p>
        </w:tc>
        <w:tc>
          <w:tcPr>
            <w:tcW w:w="320" w:type="dxa"/>
            <w:vAlign w:val="bottom"/>
          </w:tcPr>
          <w:p>
            <w:pPr>
              <w:spacing w:after="0"/>
              <w:rPr>
                <w:sz w:val="24"/>
                <w:szCs w:val="24"/>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90 Days</w:t>
            </w:r>
          </w:p>
        </w:tc>
        <w:tc>
          <w:tcPr>
            <w:tcW w:w="340" w:type="dxa"/>
            <w:vAlign w:val="bottom"/>
          </w:tcPr>
          <w:p>
            <w:pPr>
              <w:spacing w:after="0"/>
              <w:rPr>
                <w:sz w:val="24"/>
                <w:szCs w:val="24"/>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Total</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color w:val="auto"/>
              </w:rPr>
              <w:t>Total Loans</w:t>
            </w:r>
          </w:p>
        </w:tc>
        <w:tc>
          <w:tcPr>
            <w:tcW w:w="0" w:type="dxa"/>
            <w:vAlign w:val="bottom"/>
          </w:tcPr>
          <w:p>
            <w:pPr>
              <w:spacing w:after="0"/>
              <w:rPr>
                <w:sz w:val="1"/>
                <w:szCs w:val="1"/>
                <w:color w:val="auto"/>
              </w:rPr>
            </w:pPr>
          </w:p>
        </w:tc>
      </w:tr>
      <w:tr>
        <w:trPr>
          <w:trHeight w:val="205"/>
        </w:trPr>
        <w:tc>
          <w:tcPr>
            <w:tcW w:w="34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Past Due</w:t>
            </w:r>
          </w:p>
        </w:tc>
        <w:tc>
          <w:tcPr>
            <w:tcW w:w="2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Past Due</w:t>
            </w:r>
          </w:p>
        </w:tc>
        <w:tc>
          <w:tcPr>
            <w:tcW w:w="32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and Over</w:t>
            </w:r>
          </w:p>
        </w:tc>
        <w:tc>
          <w:tcPr>
            <w:tcW w:w="34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w w:val="97"/>
              </w:rPr>
              <w:t>Past Due</w:t>
            </w:r>
          </w:p>
        </w:tc>
        <w:tc>
          <w:tcPr>
            <w:tcW w:w="3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Current</w:t>
            </w:r>
          </w:p>
        </w:tc>
        <w:tc>
          <w:tcPr>
            <w:tcW w:w="1040" w:type="dxa"/>
            <w:vAlign w:val="bottom"/>
            <w:gridSpan w:val="2"/>
          </w:tcPr>
          <w:p>
            <w:pPr>
              <w:jc w:val="right"/>
              <w:ind w:right="22"/>
              <w:spacing w:after="0"/>
              <w:rPr>
                <w:sz w:val="20"/>
                <w:szCs w:val="20"/>
                <w:color w:val="auto"/>
              </w:rPr>
            </w:pPr>
            <w:r>
              <w:rPr>
                <w:rFonts w:ascii="Arial" w:cs="Arial" w:eastAsia="Arial" w:hAnsi="Arial"/>
                <w:sz w:val="16"/>
                <w:szCs w:val="16"/>
                <w:color w:val="auto"/>
              </w:rPr>
              <w:t>Receivable</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Residential mortgage loans:</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1-4 family first-lien residential mortgages</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1,226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747</w:t>
            </w:r>
          </w:p>
        </w:tc>
        <w:tc>
          <w:tcPr>
            <w:tcW w:w="320" w:type="dxa"/>
            <w:vAlign w:val="bottom"/>
          </w:tcPr>
          <w:p>
            <w:pPr>
              <w:ind w:left="1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1,376</w:t>
            </w:r>
          </w:p>
        </w:tc>
        <w:tc>
          <w:tcPr>
            <w:tcW w:w="3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3,349</w:t>
            </w:r>
          </w:p>
        </w:tc>
        <w:tc>
          <w:tcPr>
            <w:tcW w:w="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252,852</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256,201</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Construction</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2,479</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2,479</w:t>
            </w: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Loans held-for-sale</w:t>
            </w:r>
          </w:p>
        </w:tc>
        <w:tc>
          <w:tcPr>
            <w:tcW w:w="5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residential mortgage loans</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1,226</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747</w:t>
            </w: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1,376</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3,349</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255,331</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258,680</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Arial" w:cs="Arial" w:eastAsia="Arial" w:hAnsi="Arial"/>
                <w:sz w:val="16"/>
                <w:szCs w:val="16"/>
                <w:color w:val="auto"/>
              </w:rPr>
              <w:t>Commercial loans:</w:t>
            </w: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Real estate</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5,190</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1,217</w:t>
            </w: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7,305</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13,712</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341,893</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355,605</w:t>
            </w: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Lines of credit</w:t>
            </w:r>
          </w:p>
        </w:tc>
        <w:tc>
          <w:tcPr>
            <w:tcW w:w="5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369</w:t>
            </w:r>
          </w:p>
        </w:tc>
        <w:tc>
          <w:tcPr>
            <w:tcW w:w="2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3,110</w:t>
            </w:r>
          </w:p>
        </w:tc>
        <w:tc>
          <w:tcPr>
            <w:tcW w:w="34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3,479</w:t>
            </w:r>
          </w:p>
        </w:tc>
        <w:tc>
          <w:tcPr>
            <w:tcW w:w="32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67,145</w:t>
            </w:r>
          </w:p>
        </w:tc>
        <w:tc>
          <w:tcPr>
            <w:tcW w:w="28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70,624</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commercial and industrial</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105</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1,667</w:t>
            </w: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5,976</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7,748</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76,833</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84,581</w:t>
            </w:r>
          </w:p>
        </w:tc>
        <w:tc>
          <w:tcPr>
            <w:tcW w:w="0" w:type="dxa"/>
            <w:vAlign w:val="bottom"/>
          </w:tcPr>
          <w:p>
            <w:pPr>
              <w:spacing w:after="0"/>
              <w:rPr>
                <w:sz w:val="1"/>
                <w:szCs w:val="1"/>
                <w:color w:val="auto"/>
              </w:rPr>
            </w:pPr>
          </w:p>
        </w:tc>
      </w:tr>
      <w:tr>
        <w:trPr>
          <w:trHeight w:val="251"/>
        </w:trPr>
        <w:tc>
          <w:tcPr>
            <w:tcW w:w="3400" w:type="dxa"/>
            <w:vAlign w:val="bottom"/>
          </w:tcPr>
          <w:p>
            <w:pPr>
              <w:ind w:left="180"/>
              <w:spacing w:after="0"/>
              <w:rPr>
                <w:sz w:val="20"/>
                <w:szCs w:val="20"/>
                <w:color w:val="auto"/>
              </w:rPr>
            </w:pPr>
            <w:r>
              <w:rPr>
                <w:rFonts w:ascii="Arial" w:cs="Arial" w:eastAsia="Arial" w:hAnsi="Arial"/>
                <w:sz w:val="16"/>
                <w:szCs w:val="16"/>
                <w:color w:val="auto"/>
              </w:rPr>
              <w:t>Paycheck Protection Program loans</w:t>
            </w:r>
          </w:p>
        </w:tc>
        <w:tc>
          <w:tcPr>
            <w:tcW w:w="560" w:type="dxa"/>
            <w:vAlign w:val="bottom"/>
          </w:tcPr>
          <w:p>
            <w:pPr>
              <w:spacing w:after="0"/>
              <w:rPr>
                <w:sz w:val="21"/>
                <w:szCs w:val="21"/>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181</w:t>
            </w:r>
          </w:p>
        </w:tc>
        <w:tc>
          <w:tcPr>
            <w:tcW w:w="280" w:type="dxa"/>
            <w:vAlign w:val="bottom"/>
          </w:tcPr>
          <w:p>
            <w:pPr>
              <w:spacing w:after="0"/>
              <w:rPr>
                <w:sz w:val="21"/>
                <w:szCs w:val="21"/>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Tax exempt loans</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3,963</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3,963</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Arial" w:cs="Arial" w:eastAsia="Arial" w:hAnsi="Arial"/>
                <w:sz w:val="16"/>
                <w:szCs w:val="16"/>
                <w:color w:val="auto"/>
              </w:rPr>
              <w:t>Total commercial loans</w:t>
            </w:r>
          </w:p>
        </w:tc>
        <w:tc>
          <w:tcPr>
            <w:tcW w:w="5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5,664</w:t>
            </w:r>
          </w:p>
        </w:tc>
        <w:tc>
          <w:tcPr>
            <w:tcW w:w="2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2,884</w:t>
            </w:r>
          </w:p>
        </w:tc>
        <w:tc>
          <w:tcPr>
            <w:tcW w:w="320" w:type="dxa"/>
            <w:vAlign w:val="bottom"/>
          </w:tcPr>
          <w:p>
            <w:pPr>
              <w:spacing w:after="0"/>
              <w:rPr>
                <w:sz w:val="17"/>
                <w:szCs w:val="17"/>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16,391</w:t>
            </w:r>
          </w:p>
        </w:tc>
        <w:tc>
          <w:tcPr>
            <w:tcW w:w="34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24,939</w:t>
            </w:r>
          </w:p>
        </w:tc>
        <w:tc>
          <w:tcPr>
            <w:tcW w:w="3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490,015</w:t>
            </w:r>
          </w:p>
        </w:tc>
        <w:tc>
          <w:tcPr>
            <w:tcW w:w="28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514,954</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Consumer loans:</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Home equity and junior liens</w:t>
            </w:r>
          </w:p>
        </w:tc>
        <w:tc>
          <w:tcPr>
            <w:tcW w:w="5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25</w:t>
            </w:r>
          </w:p>
        </w:tc>
        <w:tc>
          <w:tcPr>
            <w:tcW w:w="2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157</w:t>
            </w:r>
          </w:p>
        </w:tc>
        <w:tc>
          <w:tcPr>
            <w:tcW w:w="320" w:type="dxa"/>
            <w:vAlign w:val="bottom"/>
          </w:tcPr>
          <w:p>
            <w:pPr>
              <w:spacing w:after="0"/>
              <w:rPr>
                <w:sz w:val="17"/>
                <w:szCs w:val="17"/>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136</w:t>
            </w:r>
          </w:p>
        </w:tc>
        <w:tc>
          <w:tcPr>
            <w:tcW w:w="34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318</w:t>
            </w:r>
          </w:p>
        </w:tc>
        <w:tc>
          <w:tcPr>
            <w:tcW w:w="32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33,710</w:t>
            </w:r>
          </w:p>
        </w:tc>
        <w:tc>
          <w:tcPr>
            <w:tcW w:w="28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34,028</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consumer</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512</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263</w:t>
            </w: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2,267</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3,042</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81,604</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84,646</w:t>
            </w:r>
          </w:p>
        </w:tc>
        <w:tc>
          <w:tcPr>
            <w:tcW w:w="0" w:type="dxa"/>
            <w:vAlign w:val="bottom"/>
          </w:tcPr>
          <w:p>
            <w:pPr>
              <w:spacing w:after="0"/>
              <w:rPr>
                <w:sz w:val="1"/>
                <w:szCs w:val="1"/>
                <w:color w:val="auto"/>
              </w:rPr>
            </w:pPr>
          </w:p>
        </w:tc>
      </w:tr>
      <w:tr>
        <w:trPr>
          <w:trHeight w:val="202"/>
        </w:trPr>
        <w:tc>
          <w:tcPr>
            <w:tcW w:w="3400" w:type="dxa"/>
            <w:vAlign w:val="bottom"/>
          </w:tcPr>
          <w:p>
            <w:pPr>
              <w:ind w:left="20"/>
              <w:spacing w:after="0"/>
              <w:rPr>
                <w:sz w:val="20"/>
                <w:szCs w:val="20"/>
                <w:color w:val="auto"/>
              </w:rPr>
            </w:pPr>
            <w:r>
              <w:rPr>
                <w:rFonts w:ascii="Arial" w:cs="Arial" w:eastAsia="Arial" w:hAnsi="Arial"/>
                <w:sz w:val="16"/>
                <w:szCs w:val="16"/>
                <w:color w:val="auto"/>
              </w:rPr>
              <w:t>Total consumer loans</w:t>
            </w:r>
          </w:p>
        </w:tc>
        <w:tc>
          <w:tcPr>
            <w:tcW w:w="560" w:type="dxa"/>
            <w:vAlign w:val="bottom"/>
          </w:tcPr>
          <w:p>
            <w:pPr>
              <w:spacing w:after="0"/>
              <w:rPr>
                <w:sz w:val="17"/>
                <w:szCs w:val="17"/>
                <w:color w:val="auto"/>
              </w:rPr>
            </w:pPr>
          </w:p>
        </w:tc>
        <w:tc>
          <w:tcPr>
            <w:tcW w:w="940" w:type="dxa"/>
            <w:vAlign w:val="bottom"/>
            <w:vMerge w:val="restart"/>
          </w:tcPr>
          <w:p>
            <w:pPr>
              <w:jc w:val="right"/>
              <w:ind w:right="62"/>
              <w:spacing w:after="0"/>
              <w:rPr>
                <w:sz w:val="20"/>
                <w:szCs w:val="20"/>
                <w:color w:val="auto"/>
              </w:rPr>
            </w:pPr>
            <w:r>
              <w:rPr>
                <w:rFonts w:ascii="Arial" w:cs="Arial" w:eastAsia="Arial" w:hAnsi="Arial"/>
                <w:sz w:val="16"/>
                <w:szCs w:val="16"/>
                <w:color w:val="auto"/>
              </w:rPr>
              <w:t>537</w:t>
            </w:r>
          </w:p>
        </w:tc>
        <w:tc>
          <w:tcPr>
            <w:tcW w:w="260" w:type="dxa"/>
            <w:vAlign w:val="bottom"/>
          </w:tcPr>
          <w:p>
            <w:pPr>
              <w:spacing w:after="0"/>
              <w:rPr>
                <w:sz w:val="17"/>
                <w:szCs w:val="17"/>
                <w:color w:val="auto"/>
              </w:rPr>
            </w:pPr>
          </w:p>
        </w:tc>
        <w:tc>
          <w:tcPr>
            <w:tcW w:w="940" w:type="dxa"/>
            <w:vAlign w:val="bottom"/>
            <w:vMerge w:val="restart"/>
          </w:tcPr>
          <w:p>
            <w:pPr>
              <w:jc w:val="right"/>
              <w:ind w:right="62"/>
              <w:spacing w:after="0"/>
              <w:rPr>
                <w:sz w:val="20"/>
                <w:szCs w:val="20"/>
                <w:color w:val="auto"/>
              </w:rPr>
            </w:pPr>
            <w:r>
              <w:rPr>
                <w:rFonts w:ascii="Arial" w:cs="Arial" w:eastAsia="Arial" w:hAnsi="Arial"/>
                <w:sz w:val="16"/>
                <w:szCs w:val="16"/>
                <w:color w:val="auto"/>
              </w:rPr>
              <w:t>420</w:t>
            </w:r>
          </w:p>
        </w:tc>
        <w:tc>
          <w:tcPr>
            <w:tcW w:w="320" w:type="dxa"/>
            <w:vAlign w:val="bottom"/>
          </w:tcPr>
          <w:p>
            <w:pPr>
              <w:spacing w:after="0"/>
              <w:rPr>
                <w:sz w:val="17"/>
                <w:szCs w:val="17"/>
                <w:color w:val="auto"/>
              </w:rPr>
            </w:pPr>
          </w:p>
        </w:tc>
        <w:tc>
          <w:tcPr>
            <w:tcW w:w="880" w:type="dxa"/>
            <w:vAlign w:val="bottom"/>
            <w:vMerge w:val="restart"/>
          </w:tcPr>
          <w:p>
            <w:pPr>
              <w:jc w:val="right"/>
              <w:ind w:right="42"/>
              <w:spacing w:after="0"/>
              <w:rPr>
                <w:sz w:val="20"/>
                <w:szCs w:val="20"/>
                <w:color w:val="auto"/>
              </w:rPr>
            </w:pPr>
            <w:r>
              <w:rPr>
                <w:rFonts w:ascii="Arial" w:cs="Arial" w:eastAsia="Arial" w:hAnsi="Arial"/>
                <w:sz w:val="16"/>
                <w:szCs w:val="16"/>
                <w:color w:val="auto"/>
              </w:rPr>
              <w:t>2,403</w:t>
            </w:r>
          </w:p>
        </w:tc>
        <w:tc>
          <w:tcPr>
            <w:tcW w:w="340" w:type="dxa"/>
            <w:vAlign w:val="bottom"/>
          </w:tcPr>
          <w:p>
            <w:pPr>
              <w:spacing w:after="0"/>
              <w:rPr>
                <w:sz w:val="17"/>
                <w:szCs w:val="17"/>
                <w:color w:val="auto"/>
              </w:rPr>
            </w:pPr>
          </w:p>
        </w:tc>
        <w:tc>
          <w:tcPr>
            <w:tcW w:w="780" w:type="dxa"/>
            <w:vAlign w:val="bottom"/>
            <w:vMerge w:val="restart"/>
          </w:tcPr>
          <w:p>
            <w:pPr>
              <w:jc w:val="right"/>
              <w:ind w:right="42"/>
              <w:spacing w:after="0"/>
              <w:rPr>
                <w:sz w:val="20"/>
                <w:szCs w:val="20"/>
                <w:color w:val="auto"/>
              </w:rPr>
            </w:pPr>
            <w:r>
              <w:rPr>
                <w:rFonts w:ascii="Arial" w:cs="Arial" w:eastAsia="Arial" w:hAnsi="Arial"/>
                <w:sz w:val="16"/>
                <w:szCs w:val="16"/>
                <w:color w:val="auto"/>
              </w:rPr>
              <w:t>3,360</w:t>
            </w:r>
          </w:p>
        </w:tc>
        <w:tc>
          <w:tcPr>
            <w:tcW w:w="320" w:type="dxa"/>
            <w:vAlign w:val="bottom"/>
          </w:tcPr>
          <w:p>
            <w:pPr>
              <w:spacing w:after="0"/>
              <w:rPr>
                <w:sz w:val="17"/>
                <w:szCs w:val="17"/>
                <w:color w:val="auto"/>
              </w:rPr>
            </w:pPr>
          </w:p>
        </w:tc>
        <w:tc>
          <w:tcPr>
            <w:tcW w:w="780" w:type="dxa"/>
            <w:vAlign w:val="bottom"/>
            <w:vMerge w:val="restart"/>
          </w:tcPr>
          <w:p>
            <w:pPr>
              <w:jc w:val="right"/>
              <w:ind w:right="42"/>
              <w:spacing w:after="0"/>
              <w:rPr>
                <w:sz w:val="20"/>
                <w:szCs w:val="20"/>
                <w:color w:val="auto"/>
              </w:rPr>
            </w:pPr>
            <w:r>
              <w:rPr>
                <w:rFonts w:ascii="Arial" w:cs="Arial" w:eastAsia="Arial" w:hAnsi="Arial"/>
                <w:sz w:val="16"/>
                <w:szCs w:val="16"/>
                <w:color w:val="auto"/>
              </w:rPr>
              <w:t>115,314</w:t>
            </w:r>
          </w:p>
        </w:tc>
        <w:tc>
          <w:tcPr>
            <w:tcW w:w="280" w:type="dxa"/>
            <w:vAlign w:val="bottom"/>
          </w:tcPr>
          <w:p>
            <w:pPr>
              <w:spacing w:after="0"/>
              <w:rPr>
                <w:sz w:val="17"/>
                <w:szCs w:val="17"/>
                <w:color w:val="auto"/>
              </w:rPr>
            </w:pPr>
          </w:p>
        </w:tc>
        <w:tc>
          <w:tcPr>
            <w:tcW w:w="760" w:type="dxa"/>
            <w:vAlign w:val="bottom"/>
            <w:vMerge w:val="restart"/>
          </w:tcPr>
          <w:p>
            <w:pPr>
              <w:jc w:val="right"/>
              <w:ind w:right="22"/>
              <w:spacing w:after="0"/>
              <w:rPr>
                <w:sz w:val="20"/>
                <w:szCs w:val="20"/>
                <w:color w:val="auto"/>
              </w:rPr>
            </w:pPr>
            <w:r>
              <w:rPr>
                <w:rFonts w:ascii="Arial" w:cs="Arial" w:eastAsia="Arial" w:hAnsi="Arial"/>
                <w:sz w:val="16"/>
                <w:szCs w:val="16"/>
                <w:color w:val="auto"/>
              </w:rPr>
              <w:t>118,674</w:t>
            </w: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34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Total loans</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7,427</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4,051</w:t>
            </w:r>
          </w:p>
        </w:tc>
        <w:tc>
          <w:tcPr>
            <w:tcW w:w="32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20,170</w:t>
            </w:r>
          </w:p>
        </w:tc>
        <w:tc>
          <w:tcPr>
            <w:tcW w:w="3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31,648</w:t>
            </w:r>
          </w:p>
        </w:tc>
        <w:tc>
          <w:tcPr>
            <w:tcW w:w="32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860,660</w:t>
            </w:r>
          </w:p>
        </w:tc>
        <w:tc>
          <w:tcPr>
            <w:tcW w:w="2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892,308</w:t>
            </w:r>
          </w:p>
        </w:tc>
        <w:tc>
          <w:tcPr>
            <w:tcW w:w="0" w:type="dxa"/>
            <w:vAlign w:val="bottom"/>
          </w:tcPr>
          <w:p>
            <w:pPr>
              <w:spacing w:after="0"/>
              <w:rPr>
                <w:sz w:val="1"/>
                <w:szCs w:val="1"/>
                <w:color w:val="auto"/>
              </w:rPr>
            </w:pPr>
          </w:p>
        </w:tc>
      </w:tr>
      <w:tr>
        <w:trPr>
          <w:trHeight w:val="383"/>
        </w:trPr>
        <w:tc>
          <w:tcPr>
            <w:tcW w:w="3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20" w:type="dxa"/>
            <w:vAlign w:val="bottom"/>
            <w:gridSpan w:val="4"/>
          </w:tcPr>
          <w:p>
            <w:pPr>
              <w:ind w:left="140"/>
              <w:spacing w:after="0"/>
              <w:rPr>
                <w:sz w:val="20"/>
                <w:szCs w:val="20"/>
                <w:color w:val="auto"/>
              </w:rPr>
            </w:pPr>
            <w:r>
              <w:rPr>
                <w:rFonts w:ascii="Arial" w:cs="Arial" w:eastAsia="Arial" w:hAnsi="Arial"/>
                <w:sz w:val="16"/>
                <w:szCs w:val="16"/>
                <w:color w:val="auto"/>
              </w:rPr>
              <w:t>As of December 31, 2022</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3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w w:val="97"/>
              </w:rPr>
              <w:t>30-59 Days</w:t>
            </w:r>
          </w:p>
        </w:tc>
        <w:tc>
          <w:tcPr>
            <w:tcW w:w="260" w:type="dxa"/>
            <w:vAlign w:val="bottom"/>
          </w:tcPr>
          <w:p>
            <w:pPr>
              <w:spacing w:after="0"/>
              <w:rPr>
                <w:sz w:val="24"/>
                <w:szCs w:val="24"/>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w w:val="97"/>
              </w:rPr>
              <w:t>60-89 Days</w:t>
            </w:r>
          </w:p>
        </w:tc>
        <w:tc>
          <w:tcPr>
            <w:tcW w:w="320" w:type="dxa"/>
            <w:vAlign w:val="bottom"/>
          </w:tcPr>
          <w:p>
            <w:pPr>
              <w:spacing w:after="0"/>
              <w:rPr>
                <w:sz w:val="24"/>
                <w:szCs w:val="24"/>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90 Days</w:t>
            </w:r>
          </w:p>
        </w:tc>
        <w:tc>
          <w:tcPr>
            <w:tcW w:w="340" w:type="dxa"/>
            <w:vAlign w:val="bottom"/>
          </w:tcPr>
          <w:p>
            <w:pPr>
              <w:spacing w:after="0"/>
              <w:rPr>
                <w:sz w:val="24"/>
                <w:szCs w:val="24"/>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Total</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color w:val="auto"/>
              </w:rPr>
              <w:t>Total Loans</w:t>
            </w:r>
          </w:p>
        </w:tc>
        <w:tc>
          <w:tcPr>
            <w:tcW w:w="0" w:type="dxa"/>
            <w:vAlign w:val="bottom"/>
          </w:tcPr>
          <w:p>
            <w:pPr>
              <w:spacing w:after="0"/>
              <w:rPr>
                <w:sz w:val="1"/>
                <w:szCs w:val="1"/>
                <w:color w:val="auto"/>
              </w:rPr>
            </w:pPr>
          </w:p>
        </w:tc>
      </w:tr>
      <w:tr>
        <w:trPr>
          <w:trHeight w:val="205"/>
        </w:trPr>
        <w:tc>
          <w:tcPr>
            <w:tcW w:w="34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Past Due</w:t>
            </w:r>
          </w:p>
        </w:tc>
        <w:tc>
          <w:tcPr>
            <w:tcW w:w="2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Past Due</w:t>
            </w:r>
          </w:p>
        </w:tc>
        <w:tc>
          <w:tcPr>
            <w:tcW w:w="32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and Over</w:t>
            </w:r>
          </w:p>
        </w:tc>
        <w:tc>
          <w:tcPr>
            <w:tcW w:w="34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w w:val="97"/>
              </w:rPr>
              <w:t>Past Due</w:t>
            </w:r>
          </w:p>
        </w:tc>
        <w:tc>
          <w:tcPr>
            <w:tcW w:w="3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Current</w:t>
            </w:r>
          </w:p>
        </w:tc>
        <w:tc>
          <w:tcPr>
            <w:tcW w:w="1040" w:type="dxa"/>
            <w:vAlign w:val="bottom"/>
            <w:gridSpan w:val="2"/>
          </w:tcPr>
          <w:p>
            <w:pPr>
              <w:jc w:val="right"/>
              <w:ind w:right="22"/>
              <w:spacing w:after="0"/>
              <w:rPr>
                <w:sz w:val="20"/>
                <w:szCs w:val="20"/>
                <w:color w:val="auto"/>
              </w:rPr>
            </w:pPr>
            <w:r>
              <w:rPr>
                <w:rFonts w:ascii="Arial" w:cs="Arial" w:eastAsia="Arial" w:hAnsi="Arial"/>
                <w:sz w:val="16"/>
                <w:szCs w:val="16"/>
                <w:color w:val="auto"/>
              </w:rPr>
              <w:t>Receivable</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Residential mortgage loans:</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1-4 family first-lien residential mortgages</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1,627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620</w:t>
            </w:r>
          </w:p>
        </w:tc>
        <w:tc>
          <w:tcPr>
            <w:tcW w:w="320" w:type="dxa"/>
            <w:vAlign w:val="bottom"/>
          </w:tcPr>
          <w:p>
            <w:pPr>
              <w:ind w:left="1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932</w:t>
            </w:r>
          </w:p>
        </w:tc>
        <w:tc>
          <w:tcPr>
            <w:tcW w:w="3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3,179</w:t>
            </w:r>
          </w:p>
        </w:tc>
        <w:tc>
          <w:tcPr>
            <w:tcW w:w="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254,477</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257,656</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Construction</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5,085</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5,085</w:t>
            </w: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Loans held-for-sale</w:t>
            </w:r>
          </w:p>
        </w:tc>
        <w:tc>
          <w:tcPr>
            <w:tcW w:w="5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residential mortgage loans</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1,627</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620</w:t>
            </w: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932</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3,179</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259,581</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262,760</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Arial" w:cs="Arial" w:eastAsia="Arial" w:hAnsi="Arial"/>
                <w:sz w:val="16"/>
                <w:szCs w:val="16"/>
                <w:color w:val="auto"/>
              </w:rPr>
              <w:t>Commercial loans:</w:t>
            </w: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Real estate</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4,974</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854</w:t>
            </w: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3,499</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9,327</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336,003</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345,330</w:t>
            </w: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Lines of credit</w:t>
            </w:r>
          </w:p>
        </w:tc>
        <w:tc>
          <w:tcPr>
            <w:tcW w:w="5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1,280</w:t>
            </w:r>
          </w:p>
        </w:tc>
        <w:tc>
          <w:tcPr>
            <w:tcW w:w="2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1,584</w:t>
            </w:r>
          </w:p>
        </w:tc>
        <w:tc>
          <w:tcPr>
            <w:tcW w:w="320" w:type="dxa"/>
            <w:vAlign w:val="bottom"/>
          </w:tcPr>
          <w:p>
            <w:pPr>
              <w:spacing w:after="0"/>
              <w:rPr>
                <w:sz w:val="17"/>
                <w:szCs w:val="17"/>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298</w:t>
            </w:r>
          </w:p>
        </w:tc>
        <w:tc>
          <w:tcPr>
            <w:tcW w:w="34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3,162</w:t>
            </w:r>
          </w:p>
        </w:tc>
        <w:tc>
          <w:tcPr>
            <w:tcW w:w="32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78,888</w:t>
            </w:r>
          </w:p>
        </w:tc>
        <w:tc>
          <w:tcPr>
            <w:tcW w:w="28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82,050</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commercial and industrial</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4,721</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999</w:t>
            </w: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1,738</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7,458</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69,815</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77,273</w:t>
            </w: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Paycheck Protection Program loans</w:t>
            </w:r>
          </w:p>
        </w:tc>
        <w:tc>
          <w:tcPr>
            <w:tcW w:w="5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203</w:t>
            </w:r>
          </w:p>
        </w:tc>
        <w:tc>
          <w:tcPr>
            <w:tcW w:w="28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Tax exempt loans</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4,280</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4,280</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Arial" w:cs="Arial" w:eastAsia="Arial" w:hAnsi="Arial"/>
                <w:sz w:val="16"/>
                <w:szCs w:val="16"/>
                <w:color w:val="auto"/>
              </w:rPr>
              <w:t>Total commercial loans</w:t>
            </w:r>
          </w:p>
        </w:tc>
        <w:tc>
          <w:tcPr>
            <w:tcW w:w="5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10,975</w:t>
            </w:r>
          </w:p>
        </w:tc>
        <w:tc>
          <w:tcPr>
            <w:tcW w:w="2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3,437</w:t>
            </w:r>
          </w:p>
        </w:tc>
        <w:tc>
          <w:tcPr>
            <w:tcW w:w="32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5,535</w:t>
            </w:r>
          </w:p>
        </w:tc>
        <w:tc>
          <w:tcPr>
            <w:tcW w:w="34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19,947</w:t>
            </w:r>
          </w:p>
        </w:tc>
        <w:tc>
          <w:tcPr>
            <w:tcW w:w="3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489,189</w:t>
            </w:r>
          </w:p>
        </w:tc>
        <w:tc>
          <w:tcPr>
            <w:tcW w:w="28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509,136</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Consumer loans:</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Home equity and junior liens</w:t>
            </w:r>
          </w:p>
        </w:tc>
        <w:tc>
          <w:tcPr>
            <w:tcW w:w="5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23</w:t>
            </w:r>
          </w:p>
        </w:tc>
        <w:tc>
          <w:tcPr>
            <w:tcW w:w="260" w:type="dxa"/>
            <w:vAlign w:val="bottom"/>
          </w:tcPr>
          <w:p>
            <w:pPr>
              <w:spacing w:after="0"/>
              <w:rPr>
                <w:sz w:val="17"/>
                <w:szCs w:val="17"/>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17</w:t>
            </w:r>
          </w:p>
        </w:tc>
        <w:tc>
          <w:tcPr>
            <w:tcW w:w="320" w:type="dxa"/>
            <w:vAlign w:val="bottom"/>
          </w:tcPr>
          <w:p>
            <w:pPr>
              <w:spacing w:after="0"/>
              <w:rPr>
                <w:sz w:val="17"/>
                <w:szCs w:val="17"/>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279</w:t>
            </w:r>
          </w:p>
        </w:tc>
        <w:tc>
          <w:tcPr>
            <w:tcW w:w="34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319</w:t>
            </w:r>
          </w:p>
        </w:tc>
        <w:tc>
          <w:tcPr>
            <w:tcW w:w="32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33,688</w:t>
            </w:r>
          </w:p>
        </w:tc>
        <w:tc>
          <w:tcPr>
            <w:tcW w:w="28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34,007</w:t>
            </w:r>
          </w:p>
        </w:tc>
        <w:tc>
          <w:tcPr>
            <w:tcW w:w="0" w:type="dxa"/>
            <w:vAlign w:val="bottom"/>
          </w:tcPr>
          <w:p>
            <w:pPr>
              <w:spacing w:after="0"/>
              <w:rPr>
                <w:sz w:val="1"/>
                <w:szCs w:val="1"/>
                <w:color w:val="auto"/>
              </w:rPr>
            </w:pP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consumer</w:t>
            </w:r>
          </w:p>
        </w:tc>
        <w:tc>
          <w:tcPr>
            <w:tcW w:w="5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391</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239</w:t>
            </w: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1,904</w:t>
            </w: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2,534</w:t>
            </w: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90,317</w:t>
            </w: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92,851</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Arial" w:cs="Arial" w:eastAsia="Arial" w:hAnsi="Arial"/>
                <w:sz w:val="16"/>
                <w:szCs w:val="16"/>
                <w:color w:val="auto"/>
              </w:rPr>
              <w:t>Total consumer loans</w:t>
            </w:r>
          </w:p>
        </w:tc>
        <w:tc>
          <w:tcPr>
            <w:tcW w:w="5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414</w:t>
            </w:r>
          </w:p>
        </w:tc>
        <w:tc>
          <w:tcPr>
            <w:tcW w:w="26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256</w:t>
            </w:r>
          </w:p>
        </w:tc>
        <w:tc>
          <w:tcPr>
            <w:tcW w:w="32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2,183</w:t>
            </w:r>
          </w:p>
        </w:tc>
        <w:tc>
          <w:tcPr>
            <w:tcW w:w="34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2,853</w:t>
            </w:r>
          </w:p>
        </w:tc>
        <w:tc>
          <w:tcPr>
            <w:tcW w:w="32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124,005</w:t>
            </w:r>
          </w:p>
        </w:tc>
        <w:tc>
          <w:tcPr>
            <w:tcW w:w="28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126,858</w:t>
            </w:r>
          </w:p>
        </w:tc>
        <w:tc>
          <w:tcPr>
            <w:tcW w:w="0" w:type="dxa"/>
            <w:vAlign w:val="bottom"/>
          </w:tcPr>
          <w:p>
            <w:pPr>
              <w:spacing w:after="0"/>
              <w:rPr>
                <w:sz w:val="1"/>
                <w:szCs w:val="1"/>
                <w:color w:val="auto"/>
              </w:rPr>
            </w:pPr>
          </w:p>
        </w:tc>
      </w:tr>
      <w:tr>
        <w:trPr>
          <w:trHeight w:val="244"/>
        </w:trPr>
        <w:tc>
          <w:tcPr>
            <w:tcW w:w="34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Total loans</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13,016</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4,313</w:t>
            </w:r>
          </w:p>
        </w:tc>
        <w:tc>
          <w:tcPr>
            <w:tcW w:w="32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8,650</w:t>
            </w:r>
          </w:p>
        </w:tc>
        <w:tc>
          <w:tcPr>
            <w:tcW w:w="3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25,979</w:t>
            </w:r>
          </w:p>
        </w:tc>
        <w:tc>
          <w:tcPr>
            <w:tcW w:w="32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872,775</w:t>
            </w:r>
          </w:p>
        </w:tc>
        <w:tc>
          <w:tcPr>
            <w:tcW w:w="2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898,754</w:t>
            </w:r>
          </w:p>
        </w:tc>
        <w:tc>
          <w:tcPr>
            <w:tcW w:w="0" w:type="dxa"/>
            <w:vAlign w:val="bottom"/>
          </w:tcPr>
          <w:p>
            <w:pPr>
              <w:spacing w:after="0"/>
              <w:rPr>
                <w:sz w:val="1"/>
                <w:szCs w:val="1"/>
                <w:color w:val="auto"/>
              </w:rPr>
            </w:pPr>
          </w:p>
        </w:tc>
      </w:tr>
      <w:tr>
        <w:trPr>
          <w:trHeight w:val="359"/>
        </w:trPr>
        <w:tc>
          <w:tcPr>
            <w:tcW w:w="3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gridSpan w:val="2"/>
          </w:tcPr>
          <w:p>
            <w:pPr>
              <w:jc w:val="right"/>
              <w:ind w:right="562"/>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24</w:t>
            </w:r>
            <w:r>
              <w:rPr>
                <w:rFonts w:ascii="Arial" w:cs="Arial" w:eastAsia="Arial" w:hAnsi="Arial"/>
                <w:sz w:val="16"/>
                <w:szCs w:val="16"/>
                <w:color w:val="auto"/>
              </w:rPr>
              <w:t xml:space="preserve"> -</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400" w:type="dxa"/>
            <w:vAlign w:val="bottom"/>
            <w:tcBorders>
              <w:bottom w:val="single" w:sz="8" w:color="EEEEEE"/>
            </w:tcBorders>
          </w:tcPr>
          <w:p>
            <w:pPr>
              <w:spacing w:after="0"/>
              <w:rPr>
                <w:sz w:val="7"/>
                <w:szCs w:val="7"/>
                <w:color w:val="auto"/>
              </w:rPr>
            </w:pPr>
          </w:p>
        </w:tc>
        <w:tc>
          <w:tcPr>
            <w:tcW w:w="560" w:type="dxa"/>
            <w:vAlign w:val="bottom"/>
            <w:tcBorders>
              <w:bottom w:val="single" w:sz="8" w:color="EEEEEE"/>
            </w:tcBorders>
          </w:tcPr>
          <w:p>
            <w:pPr>
              <w:spacing w:after="0"/>
              <w:rPr>
                <w:sz w:val="7"/>
                <w:szCs w:val="7"/>
                <w:color w:val="auto"/>
              </w:rPr>
            </w:pPr>
          </w:p>
        </w:tc>
        <w:tc>
          <w:tcPr>
            <w:tcW w:w="940" w:type="dxa"/>
            <w:vAlign w:val="bottom"/>
            <w:tcBorders>
              <w:bottom w:val="single" w:sz="8" w:color="EEEEEE"/>
            </w:tcBorders>
          </w:tcPr>
          <w:p>
            <w:pPr>
              <w:spacing w:after="0"/>
              <w:rPr>
                <w:sz w:val="7"/>
                <w:szCs w:val="7"/>
                <w:color w:val="auto"/>
              </w:rPr>
            </w:pPr>
          </w:p>
        </w:tc>
        <w:tc>
          <w:tcPr>
            <w:tcW w:w="260" w:type="dxa"/>
            <w:vAlign w:val="bottom"/>
            <w:tcBorders>
              <w:bottom w:val="single" w:sz="8" w:color="EEEEEE"/>
            </w:tcBorders>
          </w:tcPr>
          <w:p>
            <w:pPr>
              <w:spacing w:after="0"/>
              <w:rPr>
                <w:sz w:val="7"/>
                <w:szCs w:val="7"/>
                <w:color w:val="auto"/>
              </w:rPr>
            </w:pPr>
          </w:p>
        </w:tc>
        <w:tc>
          <w:tcPr>
            <w:tcW w:w="940" w:type="dxa"/>
            <w:vAlign w:val="bottom"/>
            <w:tcBorders>
              <w:bottom w:val="single" w:sz="8" w:color="EEEEEE"/>
            </w:tcBorders>
          </w:tcPr>
          <w:p>
            <w:pPr>
              <w:spacing w:after="0"/>
              <w:rPr>
                <w:sz w:val="7"/>
                <w:szCs w:val="7"/>
                <w:color w:val="auto"/>
              </w:rPr>
            </w:pPr>
          </w:p>
        </w:tc>
        <w:tc>
          <w:tcPr>
            <w:tcW w:w="320" w:type="dxa"/>
            <w:vAlign w:val="bottom"/>
            <w:tcBorders>
              <w:bottom w:val="single" w:sz="8" w:color="EEEEEE"/>
            </w:tcBorders>
          </w:tcPr>
          <w:p>
            <w:pPr>
              <w:spacing w:after="0"/>
              <w:rPr>
                <w:sz w:val="7"/>
                <w:szCs w:val="7"/>
                <w:color w:val="auto"/>
              </w:rPr>
            </w:pPr>
          </w:p>
        </w:tc>
        <w:tc>
          <w:tcPr>
            <w:tcW w:w="880" w:type="dxa"/>
            <w:vAlign w:val="bottom"/>
            <w:tcBorders>
              <w:bottom w:val="single" w:sz="8" w:color="EEEEEE"/>
            </w:tcBorders>
          </w:tcPr>
          <w:p>
            <w:pPr>
              <w:spacing w:after="0"/>
              <w:rPr>
                <w:sz w:val="7"/>
                <w:szCs w:val="7"/>
                <w:color w:val="auto"/>
              </w:rPr>
            </w:pPr>
          </w:p>
        </w:tc>
        <w:tc>
          <w:tcPr>
            <w:tcW w:w="340" w:type="dxa"/>
            <w:vAlign w:val="bottom"/>
            <w:tcBorders>
              <w:bottom w:val="single" w:sz="8" w:color="EEEEEE"/>
            </w:tcBorders>
          </w:tcPr>
          <w:p>
            <w:pPr>
              <w:spacing w:after="0"/>
              <w:rPr>
                <w:sz w:val="7"/>
                <w:szCs w:val="7"/>
                <w:color w:val="auto"/>
              </w:rPr>
            </w:pPr>
          </w:p>
        </w:tc>
        <w:tc>
          <w:tcPr>
            <w:tcW w:w="780" w:type="dxa"/>
            <w:vAlign w:val="bottom"/>
            <w:tcBorders>
              <w:bottom w:val="single" w:sz="8" w:color="EEEEEE"/>
            </w:tcBorders>
          </w:tcPr>
          <w:p>
            <w:pPr>
              <w:spacing w:after="0"/>
              <w:rPr>
                <w:sz w:val="7"/>
                <w:szCs w:val="7"/>
                <w:color w:val="auto"/>
              </w:rPr>
            </w:pPr>
          </w:p>
        </w:tc>
        <w:tc>
          <w:tcPr>
            <w:tcW w:w="320" w:type="dxa"/>
            <w:vAlign w:val="bottom"/>
            <w:tcBorders>
              <w:bottom w:val="single" w:sz="8" w:color="EEEEEE"/>
            </w:tcBorders>
          </w:tcPr>
          <w:p>
            <w:pPr>
              <w:spacing w:after="0"/>
              <w:rPr>
                <w:sz w:val="7"/>
                <w:szCs w:val="7"/>
                <w:color w:val="auto"/>
              </w:rPr>
            </w:pPr>
          </w:p>
        </w:tc>
        <w:tc>
          <w:tcPr>
            <w:tcW w:w="780" w:type="dxa"/>
            <w:vAlign w:val="bottom"/>
            <w:tcBorders>
              <w:bottom w:val="single" w:sz="8" w:color="EEEEEE"/>
            </w:tcBorders>
          </w:tcPr>
          <w:p>
            <w:pPr>
              <w:spacing w:after="0"/>
              <w:rPr>
                <w:sz w:val="7"/>
                <w:szCs w:val="7"/>
                <w:color w:val="auto"/>
              </w:rPr>
            </w:pPr>
          </w:p>
        </w:tc>
        <w:tc>
          <w:tcPr>
            <w:tcW w:w="280" w:type="dxa"/>
            <w:vAlign w:val="bottom"/>
            <w:tcBorders>
              <w:bottom w:val="single" w:sz="8" w:color="EEEEEE"/>
            </w:tcBorders>
          </w:tcPr>
          <w:p>
            <w:pPr>
              <w:spacing w:after="0"/>
              <w:rPr>
                <w:sz w:val="7"/>
                <w:szCs w:val="7"/>
                <w:color w:val="auto"/>
              </w:rPr>
            </w:pPr>
          </w:p>
        </w:tc>
        <w:tc>
          <w:tcPr>
            <w:tcW w:w="760" w:type="dxa"/>
            <w:vAlign w:val="bottom"/>
            <w:tcBorders>
              <w:bottom w:val="single" w:sz="8" w:color="EEEEEE"/>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87" w:right="680"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Nonaccrual loans, segregated by class of loan,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June 30,</w:t>
            </w:r>
          </w:p>
        </w:tc>
        <w:tc>
          <w:tcPr>
            <w:tcW w:w="40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December 31,</w:t>
            </w:r>
          </w:p>
        </w:tc>
      </w:tr>
      <w:tr>
        <w:trPr>
          <w:trHeight w:val="205"/>
        </w:trPr>
        <w:tc>
          <w:tcPr>
            <w:tcW w:w="5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70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2023</w:t>
            </w:r>
          </w:p>
        </w:tc>
        <w:tc>
          <w:tcPr>
            <w:tcW w:w="40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2022</w:t>
            </w:r>
          </w:p>
        </w:tc>
      </w:tr>
      <w:tr>
        <w:trPr>
          <w:trHeight w:val="205"/>
        </w:trPr>
        <w:tc>
          <w:tcPr>
            <w:tcW w:w="5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Residential mortgage loans:</w:t>
            </w:r>
          </w:p>
        </w:tc>
        <w:tc>
          <w:tcPr>
            <w:tcW w:w="27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6"/>
                <w:szCs w:val="16"/>
                <w:color w:val="auto"/>
              </w:rPr>
              <w:t>1-4 family first-lien residential mortgages</w:t>
            </w:r>
          </w:p>
        </w:tc>
        <w:tc>
          <w:tcPr>
            <w:tcW w:w="270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1,549</w:t>
            </w:r>
          </w:p>
        </w:tc>
        <w:tc>
          <w:tcPr>
            <w:tcW w:w="4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1,112</w:t>
            </w:r>
          </w:p>
        </w:tc>
      </w:tr>
      <w:tr>
        <w:trPr>
          <w:trHeight w:val="205"/>
        </w:trPr>
        <w:tc>
          <w:tcPr>
            <w:tcW w:w="5060" w:type="dxa"/>
            <w:vAlign w:val="bottom"/>
            <w:shd w:val="clear" w:color="auto" w:fill="CFF0FC"/>
          </w:tcPr>
          <w:p>
            <w:pPr>
              <w:spacing w:after="0"/>
              <w:rPr>
                <w:sz w:val="17"/>
                <w:szCs w:val="17"/>
                <w:color w:val="auto"/>
              </w:rPr>
            </w:pPr>
          </w:p>
        </w:tc>
        <w:tc>
          <w:tcPr>
            <w:tcW w:w="27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1,549</w:t>
            </w: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1,112</w:t>
            </w:r>
          </w:p>
        </w:tc>
      </w:tr>
      <w:tr>
        <w:trPr>
          <w:trHeight w:val="203"/>
        </w:trPr>
        <w:tc>
          <w:tcPr>
            <w:tcW w:w="5060" w:type="dxa"/>
            <w:vAlign w:val="bottom"/>
          </w:tcPr>
          <w:p>
            <w:pPr>
              <w:ind w:left="20"/>
              <w:spacing w:after="0"/>
              <w:rPr>
                <w:sz w:val="20"/>
                <w:szCs w:val="20"/>
                <w:color w:val="auto"/>
              </w:rPr>
            </w:pPr>
            <w:r>
              <w:rPr>
                <w:rFonts w:ascii="Arial" w:cs="Arial" w:eastAsia="Arial" w:hAnsi="Arial"/>
                <w:sz w:val="16"/>
                <w:szCs w:val="16"/>
                <w:color w:val="auto"/>
              </w:rPr>
              <w:t>Commercial loans:</w:t>
            </w:r>
          </w:p>
        </w:tc>
        <w:tc>
          <w:tcPr>
            <w:tcW w:w="2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5"/>
        </w:trPr>
        <w:tc>
          <w:tcPr>
            <w:tcW w:w="5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Real estate</w:t>
            </w:r>
          </w:p>
        </w:tc>
        <w:tc>
          <w:tcPr>
            <w:tcW w:w="27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7,305</w:t>
            </w: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3,504</w:t>
            </w:r>
          </w:p>
        </w:tc>
      </w:tr>
      <w:tr>
        <w:trPr>
          <w:trHeight w:val="203"/>
        </w:trPr>
        <w:tc>
          <w:tcPr>
            <w:tcW w:w="5060" w:type="dxa"/>
            <w:vAlign w:val="bottom"/>
          </w:tcPr>
          <w:p>
            <w:pPr>
              <w:ind w:left="20"/>
              <w:spacing w:after="0"/>
              <w:rPr>
                <w:sz w:val="20"/>
                <w:szCs w:val="20"/>
                <w:color w:val="auto"/>
              </w:rPr>
            </w:pPr>
            <w:r>
              <w:rPr>
                <w:rFonts w:ascii="Arial" w:cs="Arial" w:eastAsia="Arial" w:hAnsi="Arial"/>
                <w:sz w:val="16"/>
                <w:szCs w:val="16"/>
                <w:color w:val="auto"/>
              </w:rPr>
              <w:t>Lines of credit</w:t>
            </w:r>
          </w:p>
        </w:tc>
        <w:tc>
          <w:tcPr>
            <w:tcW w:w="270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3,110</w:t>
            </w:r>
          </w:p>
        </w:tc>
        <w:tc>
          <w:tcPr>
            <w:tcW w:w="40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332</w:t>
            </w:r>
          </w:p>
        </w:tc>
      </w:tr>
      <w:tr>
        <w:trPr>
          <w:trHeight w:val="205"/>
        </w:trPr>
        <w:tc>
          <w:tcPr>
            <w:tcW w:w="5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commercial and industrial</w:t>
            </w:r>
          </w:p>
        </w:tc>
        <w:tc>
          <w:tcPr>
            <w:tcW w:w="27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5,976</w:t>
            </w: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1,884</w:t>
            </w:r>
          </w:p>
        </w:tc>
      </w:tr>
      <w:tr>
        <w:trPr>
          <w:trHeight w:val="203"/>
        </w:trPr>
        <w:tc>
          <w:tcPr>
            <w:tcW w:w="50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16,391</w:t>
            </w:r>
          </w:p>
        </w:tc>
        <w:tc>
          <w:tcPr>
            <w:tcW w:w="40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5,720</w:t>
            </w:r>
          </w:p>
        </w:tc>
      </w:tr>
      <w:tr>
        <w:trPr>
          <w:trHeight w:val="205"/>
        </w:trPr>
        <w:tc>
          <w:tcPr>
            <w:tcW w:w="5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Consumer loans:</w:t>
            </w:r>
          </w:p>
        </w:tc>
        <w:tc>
          <w:tcPr>
            <w:tcW w:w="27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6"/>
                <w:szCs w:val="16"/>
                <w:color w:val="auto"/>
              </w:rPr>
              <w:t>Home equity and junior liens</w:t>
            </w:r>
          </w:p>
        </w:tc>
        <w:tc>
          <w:tcPr>
            <w:tcW w:w="2700" w:type="dxa"/>
            <w:vAlign w:val="bottom"/>
          </w:tcPr>
          <w:p>
            <w:pPr>
              <w:spacing w:after="0"/>
              <w:rPr>
                <w:sz w:val="17"/>
                <w:szCs w:val="17"/>
                <w:color w:val="auto"/>
              </w:rPr>
            </w:pP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136</w:t>
            </w:r>
          </w:p>
        </w:tc>
        <w:tc>
          <w:tcPr>
            <w:tcW w:w="40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279</w:t>
            </w:r>
          </w:p>
        </w:tc>
      </w:tr>
      <w:tr>
        <w:trPr>
          <w:trHeight w:val="205"/>
        </w:trPr>
        <w:tc>
          <w:tcPr>
            <w:tcW w:w="5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consumer</w:t>
            </w:r>
          </w:p>
        </w:tc>
        <w:tc>
          <w:tcPr>
            <w:tcW w:w="27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2,273</w:t>
            </w: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1,904</w:t>
            </w:r>
          </w:p>
        </w:tc>
      </w:tr>
      <w:tr>
        <w:trPr>
          <w:trHeight w:val="203"/>
        </w:trPr>
        <w:tc>
          <w:tcPr>
            <w:tcW w:w="5060" w:type="dxa"/>
            <w:vAlign w:val="bottom"/>
          </w:tcPr>
          <w:p>
            <w:pPr>
              <w:ind w:left="20"/>
              <w:spacing w:after="0"/>
              <w:rPr>
                <w:sz w:val="20"/>
                <w:szCs w:val="20"/>
                <w:color w:val="auto"/>
              </w:rPr>
            </w:pPr>
            <w:r>
              <w:rPr>
                <w:rFonts w:ascii="Arial" w:cs="Arial" w:eastAsia="Arial" w:hAnsi="Arial"/>
                <w:sz w:val="16"/>
                <w:szCs w:val="16"/>
                <w:color w:val="auto"/>
              </w:rPr>
              <w:t>Total consumer loans</w:t>
            </w:r>
          </w:p>
        </w:tc>
        <w:tc>
          <w:tcPr>
            <w:tcW w:w="2700" w:type="dxa"/>
            <w:vAlign w:val="bottom"/>
          </w:tcPr>
          <w:p>
            <w:pPr>
              <w:spacing w:after="0"/>
              <w:rPr>
                <w:sz w:val="17"/>
                <w:szCs w:val="17"/>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2,409</w:t>
            </w:r>
          </w:p>
        </w:tc>
        <w:tc>
          <w:tcPr>
            <w:tcW w:w="40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2,183</w:t>
            </w:r>
          </w:p>
        </w:tc>
      </w:tr>
      <w:tr>
        <w:trPr>
          <w:trHeight w:val="244"/>
        </w:trPr>
        <w:tc>
          <w:tcPr>
            <w:tcW w:w="50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Total nonaccrual loans</w:t>
            </w:r>
          </w:p>
        </w:tc>
        <w:tc>
          <w:tcPr>
            <w:tcW w:w="2700" w:type="dxa"/>
            <w:vAlign w:val="bottom"/>
            <w:tcBorders>
              <w:bottom w:val="single" w:sz="8" w:color="auto"/>
            </w:tcBorders>
            <w:shd w:val="clear" w:color="auto" w:fill="CFF0FC"/>
          </w:tcPr>
          <w:p>
            <w:pPr>
              <w:jc w:val="right"/>
              <w:ind w:right="30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6"/>
                <w:szCs w:val="16"/>
                <w:color w:val="auto"/>
              </w:rPr>
              <w:t>20,349</w:t>
            </w:r>
          </w:p>
        </w:tc>
        <w:tc>
          <w:tcPr>
            <w:tcW w:w="40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9,015</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At June 30, 2023, the Bank's 142 nonperforming loans represented 2.3% of total loans, with an aggregate outstanding balance of</w:t>
      </w:r>
    </w:p>
    <w:p>
      <w:pPr>
        <w:spacing w:after="0" w:line="2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$20.3 million, as compared to 126 loans with an aggregate outstanding balance of $9.0 million at December 31, 2022. This increase in nonaccrual balances of $11.3 million was primarily the result of the downgrade of two significant commercial real estate and commercial loan relationships. At June 30, 2023, the number of nonaccrual loans related to these two relationships was 25 loans, with an aggregate outstanding balance of $13.1, as compared to five loans with an aggregate outstanding balance of $ 1.7 million at December 31, 2022. Management is closely monitoring all nonaccrual loans and has incorporated its current estimate of the ultimate collectability of these loans into the reported allowance for credit losses at June 30, 2023.</w:t>
      </w:r>
    </w:p>
    <w:p>
      <w:pPr>
        <w:spacing w:after="0" w:line="1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When the Company modifies a loan within a portfolio segment that is individually evaluated for impairment, a potential impairment is analyzed either based on the present value of the expected future cash flows discounted at the interest rate of the original loan terms or the fair value of the collateral less costs to sell. If it is determined that the value of the loan is less than its recorded investment, then impairment is recognized as a component of the provision for credit losses, an associated increase to the allowance for credit losses or as a charge-off to the allowance for credit losses in the current period.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25</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87" w:right="680"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Impaired Loans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impaired loan information by portfolio class at the indicated dates: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gridSpan w:val="2"/>
          </w:tcPr>
          <w:p>
            <w:pPr>
              <w:jc w:val="right"/>
              <w:ind w:right="162"/>
              <w:spacing w:after="0"/>
              <w:rPr>
                <w:sz w:val="20"/>
                <w:szCs w:val="20"/>
                <w:color w:val="auto"/>
              </w:rPr>
            </w:pPr>
            <w:r>
              <w:rPr>
                <w:rFonts w:ascii="Arial" w:cs="Arial" w:eastAsia="Arial" w:hAnsi="Arial"/>
                <w:sz w:val="16"/>
                <w:szCs w:val="16"/>
                <w:color w:val="auto"/>
              </w:rPr>
              <w:t>June 30, 2023</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gridSpan w:val="3"/>
          </w:tcPr>
          <w:p>
            <w:pPr>
              <w:jc w:val="right"/>
              <w:spacing w:after="0"/>
              <w:rPr>
                <w:sz w:val="20"/>
                <w:szCs w:val="20"/>
                <w:color w:val="auto"/>
              </w:rPr>
            </w:pPr>
            <w:r>
              <w:rPr>
                <w:rFonts w:ascii="Arial" w:cs="Arial" w:eastAsia="Arial" w:hAnsi="Arial"/>
                <w:sz w:val="16"/>
                <w:szCs w:val="16"/>
                <w:color w:val="auto"/>
              </w:rPr>
              <w:t>December 31, 2022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4"/>
        </w:trPr>
        <w:tc>
          <w:tcPr>
            <w:tcW w:w="3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Unpaid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82"/>
              <w:spacing w:after="0"/>
              <w:rPr>
                <w:sz w:val="20"/>
                <w:szCs w:val="20"/>
                <w:color w:val="auto"/>
              </w:rPr>
            </w:pPr>
            <w:r>
              <w:rPr>
                <w:rFonts w:ascii="Arial" w:cs="Arial" w:eastAsia="Arial" w:hAnsi="Arial"/>
                <w:sz w:val="16"/>
                <w:szCs w:val="16"/>
                <w:color w:val="auto"/>
              </w:rPr>
              <w:t>Unpaid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4"/>
        </w:trPr>
        <w:tc>
          <w:tcPr>
            <w:tcW w:w="3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Recorded</w:t>
            </w:r>
          </w:p>
        </w:tc>
        <w:tc>
          <w:tcPr>
            <w:tcW w:w="460" w:type="dxa"/>
            <w:vAlign w:val="bottom"/>
          </w:tcPr>
          <w:p>
            <w:pPr>
              <w:spacing w:after="0"/>
              <w:rPr>
                <w:sz w:val="17"/>
                <w:szCs w:val="17"/>
                <w:color w:val="auto"/>
              </w:rPr>
            </w:pP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Principal</w:t>
            </w:r>
          </w:p>
        </w:tc>
        <w:tc>
          <w:tcPr>
            <w:tcW w:w="240" w:type="dxa"/>
            <w:vAlign w:val="bottom"/>
          </w:tcPr>
          <w:p>
            <w:pPr>
              <w:spacing w:after="0"/>
              <w:rPr>
                <w:sz w:val="17"/>
                <w:szCs w:val="17"/>
                <w:color w:val="auto"/>
              </w:rPr>
            </w:pP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Related</w:t>
            </w:r>
          </w:p>
        </w:tc>
        <w:tc>
          <w:tcPr>
            <w:tcW w:w="26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w w:val="97"/>
              </w:rPr>
              <w:t>Recorded</w:t>
            </w:r>
          </w:p>
        </w:tc>
        <w:tc>
          <w:tcPr>
            <w:tcW w:w="280" w:type="dxa"/>
            <w:vAlign w:val="bottom"/>
          </w:tcPr>
          <w:p>
            <w:pPr>
              <w:spacing w:after="0"/>
              <w:rPr>
                <w:sz w:val="17"/>
                <w:szCs w:val="17"/>
                <w:color w:val="auto"/>
              </w:rPr>
            </w:pPr>
          </w:p>
        </w:tc>
        <w:tc>
          <w:tcPr>
            <w:tcW w:w="920" w:type="dxa"/>
            <w:vAlign w:val="bottom"/>
          </w:tcPr>
          <w:p>
            <w:pPr>
              <w:jc w:val="right"/>
              <w:ind w:right="182"/>
              <w:spacing w:after="0"/>
              <w:rPr>
                <w:sz w:val="20"/>
                <w:szCs w:val="20"/>
                <w:color w:val="auto"/>
              </w:rPr>
            </w:pPr>
            <w:r>
              <w:rPr>
                <w:rFonts w:ascii="Arial" w:cs="Arial" w:eastAsia="Arial" w:hAnsi="Arial"/>
                <w:sz w:val="16"/>
                <w:szCs w:val="16"/>
                <w:color w:val="auto"/>
              </w:rPr>
              <w:t>Principal</w:t>
            </w:r>
          </w:p>
        </w:tc>
        <w:tc>
          <w:tcPr>
            <w:tcW w:w="10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Related</w:t>
            </w:r>
          </w:p>
        </w:tc>
      </w:tr>
      <w:tr>
        <w:trPr>
          <w:trHeight w:val="205"/>
        </w:trPr>
        <w:tc>
          <w:tcPr>
            <w:tcW w:w="34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6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Investment</w:t>
            </w:r>
          </w:p>
        </w:tc>
        <w:tc>
          <w:tcPr>
            <w:tcW w:w="460" w:type="dxa"/>
            <w:vAlign w:val="bottom"/>
          </w:tcPr>
          <w:p>
            <w:pPr>
              <w:spacing w:after="0"/>
              <w:rPr>
                <w:sz w:val="17"/>
                <w:szCs w:val="17"/>
                <w:color w:val="auto"/>
              </w:rPr>
            </w:pP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Balance</w:t>
            </w:r>
          </w:p>
        </w:tc>
        <w:tc>
          <w:tcPr>
            <w:tcW w:w="240" w:type="dxa"/>
            <w:vAlign w:val="bottom"/>
          </w:tcPr>
          <w:p>
            <w:pPr>
              <w:spacing w:after="0"/>
              <w:rPr>
                <w:sz w:val="17"/>
                <w:szCs w:val="17"/>
                <w:color w:val="auto"/>
              </w:rPr>
            </w:pPr>
          </w:p>
        </w:tc>
        <w:tc>
          <w:tcPr>
            <w:tcW w:w="880" w:type="dxa"/>
            <w:vAlign w:val="bottom"/>
          </w:tcPr>
          <w:p>
            <w:pPr>
              <w:jc w:val="right"/>
              <w:ind w:right="82"/>
              <w:spacing w:after="0"/>
              <w:rPr>
                <w:sz w:val="20"/>
                <w:szCs w:val="20"/>
                <w:color w:val="auto"/>
              </w:rPr>
            </w:pPr>
            <w:r>
              <w:rPr>
                <w:rFonts w:ascii="Arial" w:cs="Arial" w:eastAsia="Arial" w:hAnsi="Arial"/>
                <w:sz w:val="16"/>
                <w:szCs w:val="16"/>
                <w:color w:val="auto"/>
                <w:w w:val="95"/>
              </w:rPr>
              <w:t>Allowance</w:t>
            </w:r>
          </w:p>
        </w:tc>
        <w:tc>
          <w:tcPr>
            <w:tcW w:w="1100" w:type="dxa"/>
            <w:vAlign w:val="bottom"/>
            <w:gridSpan w:val="2"/>
          </w:tcPr>
          <w:p>
            <w:pPr>
              <w:jc w:val="right"/>
              <w:ind w:right="82"/>
              <w:spacing w:after="0"/>
              <w:rPr>
                <w:sz w:val="20"/>
                <w:szCs w:val="20"/>
                <w:color w:val="auto"/>
              </w:rPr>
            </w:pPr>
            <w:r>
              <w:rPr>
                <w:rFonts w:ascii="Arial" w:cs="Arial" w:eastAsia="Arial" w:hAnsi="Arial"/>
                <w:sz w:val="16"/>
                <w:szCs w:val="16"/>
                <w:color w:val="auto"/>
              </w:rPr>
              <w:t>Investment</w:t>
            </w:r>
          </w:p>
        </w:tc>
        <w:tc>
          <w:tcPr>
            <w:tcW w:w="280" w:type="dxa"/>
            <w:vAlign w:val="bottom"/>
          </w:tcPr>
          <w:p>
            <w:pPr>
              <w:spacing w:after="0"/>
              <w:rPr>
                <w:sz w:val="17"/>
                <w:szCs w:val="17"/>
                <w:color w:val="auto"/>
              </w:rPr>
            </w:pPr>
          </w:p>
        </w:tc>
        <w:tc>
          <w:tcPr>
            <w:tcW w:w="920" w:type="dxa"/>
            <w:vAlign w:val="bottom"/>
          </w:tcPr>
          <w:p>
            <w:pPr>
              <w:jc w:val="right"/>
              <w:ind w:right="182"/>
              <w:spacing w:after="0"/>
              <w:rPr>
                <w:sz w:val="20"/>
                <w:szCs w:val="20"/>
                <w:color w:val="auto"/>
              </w:rPr>
            </w:pPr>
            <w:r>
              <w:rPr>
                <w:rFonts w:ascii="Arial" w:cs="Arial" w:eastAsia="Arial" w:hAnsi="Arial"/>
                <w:sz w:val="16"/>
                <w:szCs w:val="16"/>
                <w:color w:val="auto"/>
              </w:rPr>
              <w:t>Balance</w:t>
            </w:r>
          </w:p>
        </w:tc>
        <w:tc>
          <w:tcPr>
            <w:tcW w:w="10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w w:val="93"/>
              </w:rPr>
              <w:t>Allowance</w:t>
            </w:r>
          </w:p>
        </w:tc>
      </w:tr>
      <w:tr>
        <w:trPr>
          <w:trHeight w:val="205"/>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With no related allowance recorded:</w:t>
            </w:r>
          </w:p>
        </w:tc>
        <w:tc>
          <w:tcPr>
            <w:tcW w:w="6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1-4 family first-lien residential mortgages</w:t>
            </w:r>
          </w:p>
        </w:tc>
        <w:tc>
          <w:tcPr>
            <w:tcW w:w="6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744</w:t>
            </w:r>
          </w:p>
        </w:tc>
        <w:tc>
          <w:tcPr>
            <w:tcW w:w="4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744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1,048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62"/>
              <w:spacing w:after="0"/>
              <w:rPr>
                <w:sz w:val="20"/>
                <w:szCs w:val="20"/>
                <w:color w:val="auto"/>
              </w:rPr>
            </w:pPr>
            <w:r>
              <w:rPr>
                <w:rFonts w:ascii="Arial" w:cs="Arial" w:eastAsia="Arial" w:hAnsi="Arial"/>
                <w:sz w:val="16"/>
                <w:szCs w:val="16"/>
                <w:color w:val="auto"/>
              </w:rPr>
              <w:t>1,048</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Commercial real estate</w:t>
            </w:r>
          </w:p>
        </w:tc>
        <w:tc>
          <w:tcPr>
            <w:tcW w:w="6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4,640</w:t>
            </w:r>
          </w:p>
        </w:tc>
        <w:tc>
          <w:tcPr>
            <w:tcW w:w="4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4,744</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5,283</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5,386</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Commercial lines of credit</w:t>
            </w:r>
          </w:p>
        </w:tc>
        <w:tc>
          <w:tcPr>
            <w:tcW w:w="6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885</w:t>
            </w:r>
          </w:p>
        </w:tc>
        <w:tc>
          <w:tcPr>
            <w:tcW w:w="460" w:type="dxa"/>
            <w:vAlign w:val="bottom"/>
          </w:tcPr>
          <w:p>
            <w:pPr>
              <w:spacing w:after="0"/>
              <w:rPr>
                <w:sz w:val="17"/>
                <w:szCs w:val="17"/>
                <w:color w:val="auto"/>
              </w:rPr>
            </w:pP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885</w:t>
            </w:r>
          </w:p>
        </w:tc>
        <w:tc>
          <w:tcPr>
            <w:tcW w:w="240" w:type="dxa"/>
            <w:vAlign w:val="bottom"/>
          </w:tcPr>
          <w:p>
            <w:pPr>
              <w:spacing w:after="0"/>
              <w:rPr>
                <w:sz w:val="17"/>
                <w:szCs w:val="17"/>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2,218</w:t>
            </w:r>
          </w:p>
        </w:tc>
        <w:tc>
          <w:tcPr>
            <w:tcW w:w="280" w:type="dxa"/>
            <w:vAlign w:val="bottom"/>
          </w:tcPr>
          <w:p>
            <w:pPr>
              <w:spacing w:after="0"/>
              <w:rPr>
                <w:sz w:val="17"/>
                <w:szCs w:val="17"/>
                <w:color w:val="auto"/>
              </w:rPr>
            </w:pPr>
          </w:p>
        </w:tc>
        <w:tc>
          <w:tcPr>
            <w:tcW w:w="920" w:type="dxa"/>
            <w:vAlign w:val="bottom"/>
          </w:tcPr>
          <w:p>
            <w:pPr>
              <w:jc w:val="right"/>
              <w:ind w:right="162"/>
              <w:spacing w:after="0"/>
              <w:rPr>
                <w:sz w:val="20"/>
                <w:szCs w:val="20"/>
                <w:color w:val="auto"/>
              </w:rPr>
            </w:pPr>
            <w:r>
              <w:rPr>
                <w:rFonts w:ascii="Arial" w:cs="Arial" w:eastAsia="Arial" w:hAnsi="Arial"/>
                <w:sz w:val="16"/>
                <w:szCs w:val="16"/>
                <w:color w:val="auto"/>
              </w:rPr>
              <w:t>2,218</w:t>
            </w:r>
          </w:p>
        </w:tc>
        <w:tc>
          <w:tcPr>
            <w:tcW w:w="10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commercial and industrial</w:t>
            </w:r>
          </w:p>
        </w:tc>
        <w:tc>
          <w:tcPr>
            <w:tcW w:w="6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3,191</w:t>
            </w:r>
          </w:p>
        </w:tc>
        <w:tc>
          <w:tcPr>
            <w:tcW w:w="4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3,191</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2,780</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2,829</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Home equity and junior liens</w:t>
            </w:r>
          </w:p>
        </w:tc>
        <w:tc>
          <w:tcPr>
            <w:tcW w:w="6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w:t>
            </w:r>
          </w:p>
        </w:tc>
        <w:tc>
          <w:tcPr>
            <w:tcW w:w="460" w:type="dxa"/>
            <w:vAlign w:val="bottom"/>
          </w:tcPr>
          <w:p>
            <w:pPr>
              <w:spacing w:after="0"/>
              <w:rPr>
                <w:sz w:val="17"/>
                <w:szCs w:val="17"/>
                <w:color w:val="auto"/>
              </w:rPr>
            </w:pP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84</w:t>
            </w:r>
          </w:p>
        </w:tc>
        <w:tc>
          <w:tcPr>
            <w:tcW w:w="240" w:type="dxa"/>
            <w:vAlign w:val="bottom"/>
          </w:tcPr>
          <w:p>
            <w:pPr>
              <w:spacing w:after="0"/>
              <w:rPr>
                <w:sz w:val="17"/>
                <w:szCs w:val="17"/>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182</w:t>
            </w:r>
          </w:p>
        </w:tc>
        <w:tc>
          <w:tcPr>
            <w:tcW w:w="280" w:type="dxa"/>
            <w:vAlign w:val="bottom"/>
          </w:tcPr>
          <w:p>
            <w:pPr>
              <w:spacing w:after="0"/>
              <w:rPr>
                <w:sz w:val="17"/>
                <w:szCs w:val="17"/>
                <w:color w:val="auto"/>
              </w:rPr>
            </w:pPr>
          </w:p>
        </w:tc>
        <w:tc>
          <w:tcPr>
            <w:tcW w:w="920" w:type="dxa"/>
            <w:vAlign w:val="bottom"/>
          </w:tcPr>
          <w:p>
            <w:pPr>
              <w:jc w:val="right"/>
              <w:ind w:right="182"/>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05"/>
        </w:trPr>
        <w:tc>
          <w:tcPr>
            <w:tcW w:w="34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r>
      <w:tr>
        <w:trPr>
          <w:trHeight w:val="204"/>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With an allowance recorded:</w:t>
            </w: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4"/>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1-4 family first-lien residential mortgages</w:t>
            </w:r>
          </w:p>
        </w:tc>
        <w:tc>
          <w:tcPr>
            <w:tcW w:w="6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w:t>
            </w:r>
          </w:p>
        </w:tc>
        <w:tc>
          <w:tcPr>
            <w:tcW w:w="4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930</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127</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450</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91</w:t>
            </w: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Commercial real estate</w:t>
            </w:r>
          </w:p>
        </w:tc>
        <w:tc>
          <w:tcPr>
            <w:tcW w:w="6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4,953</w:t>
            </w:r>
          </w:p>
        </w:tc>
        <w:tc>
          <w:tcPr>
            <w:tcW w:w="460" w:type="dxa"/>
            <w:vAlign w:val="bottom"/>
          </w:tcPr>
          <w:p>
            <w:pPr>
              <w:spacing w:after="0"/>
              <w:rPr>
                <w:sz w:val="17"/>
                <w:szCs w:val="17"/>
                <w:color w:val="auto"/>
              </w:rPr>
            </w:pP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4,953</w:t>
            </w:r>
          </w:p>
        </w:tc>
        <w:tc>
          <w:tcPr>
            <w:tcW w:w="240" w:type="dxa"/>
            <w:vAlign w:val="bottom"/>
          </w:tcPr>
          <w:p>
            <w:pPr>
              <w:spacing w:after="0"/>
              <w:rPr>
                <w:sz w:val="17"/>
                <w:szCs w:val="17"/>
                <w:color w:val="auto"/>
              </w:rPr>
            </w:pP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606</w:t>
            </w:r>
          </w:p>
        </w:tc>
        <w:tc>
          <w:tcPr>
            <w:tcW w:w="26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2,625</w:t>
            </w:r>
          </w:p>
        </w:tc>
        <w:tc>
          <w:tcPr>
            <w:tcW w:w="280" w:type="dxa"/>
            <w:vAlign w:val="bottom"/>
          </w:tcPr>
          <w:p>
            <w:pPr>
              <w:spacing w:after="0"/>
              <w:rPr>
                <w:sz w:val="17"/>
                <w:szCs w:val="17"/>
                <w:color w:val="auto"/>
              </w:rPr>
            </w:pPr>
          </w:p>
        </w:tc>
        <w:tc>
          <w:tcPr>
            <w:tcW w:w="920" w:type="dxa"/>
            <w:vAlign w:val="bottom"/>
          </w:tcPr>
          <w:p>
            <w:pPr>
              <w:jc w:val="right"/>
              <w:ind w:right="162"/>
              <w:spacing w:after="0"/>
              <w:rPr>
                <w:sz w:val="20"/>
                <w:szCs w:val="20"/>
                <w:color w:val="auto"/>
              </w:rPr>
            </w:pPr>
            <w:r>
              <w:rPr>
                <w:rFonts w:ascii="Arial" w:cs="Arial" w:eastAsia="Arial" w:hAnsi="Arial"/>
                <w:sz w:val="16"/>
                <w:szCs w:val="16"/>
                <w:color w:val="auto"/>
              </w:rPr>
              <w:t>2,625</w:t>
            </w:r>
          </w:p>
        </w:tc>
        <w:tc>
          <w:tcPr>
            <w:tcW w:w="10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346</w:t>
            </w: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Commercial lines of credit</w:t>
            </w:r>
          </w:p>
        </w:tc>
        <w:tc>
          <w:tcPr>
            <w:tcW w:w="6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2,351</w:t>
            </w:r>
          </w:p>
        </w:tc>
        <w:tc>
          <w:tcPr>
            <w:tcW w:w="4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2,362</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1,891</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3,059</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3,066</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2,957</w:t>
            </w: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Other commercial and industrial</w:t>
            </w:r>
          </w:p>
        </w:tc>
        <w:tc>
          <w:tcPr>
            <w:tcW w:w="6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5,494</w:t>
            </w:r>
          </w:p>
        </w:tc>
        <w:tc>
          <w:tcPr>
            <w:tcW w:w="460" w:type="dxa"/>
            <w:vAlign w:val="bottom"/>
          </w:tcPr>
          <w:p>
            <w:pPr>
              <w:spacing w:after="0"/>
              <w:rPr>
                <w:sz w:val="17"/>
                <w:szCs w:val="17"/>
                <w:color w:val="auto"/>
              </w:rPr>
            </w:pP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5,494</w:t>
            </w:r>
          </w:p>
        </w:tc>
        <w:tc>
          <w:tcPr>
            <w:tcW w:w="240" w:type="dxa"/>
            <w:vAlign w:val="bottom"/>
          </w:tcPr>
          <w:p>
            <w:pPr>
              <w:spacing w:after="0"/>
              <w:rPr>
                <w:sz w:val="17"/>
                <w:szCs w:val="17"/>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3,629</w:t>
            </w:r>
          </w:p>
        </w:tc>
        <w:tc>
          <w:tcPr>
            <w:tcW w:w="26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1,998</w:t>
            </w:r>
          </w:p>
        </w:tc>
        <w:tc>
          <w:tcPr>
            <w:tcW w:w="280" w:type="dxa"/>
            <w:vAlign w:val="bottom"/>
          </w:tcPr>
          <w:p>
            <w:pPr>
              <w:spacing w:after="0"/>
              <w:rPr>
                <w:sz w:val="17"/>
                <w:szCs w:val="17"/>
                <w:color w:val="auto"/>
              </w:rPr>
            </w:pPr>
          </w:p>
        </w:tc>
        <w:tc>
          <w:tcPr>
            <w:tcW w:w="920" w:type="dxa"/>
            <w:vAlign w:val="bottom"/>
          </w:tcPr>
          <w:p>
            <w:pPr>
              <w:jc w:val="right"/>
              <w:ind w:right="162"/>
              <w:spacing w:after="0"/>
              <w:rPr>
                <w:sz w:val="20"/>
                <w:szCs w:val="20"/>
                <w:color w:val="auto"/>
              </w:rPr>
            </w:pPr>
            <w:r>
              <w:rPr>
                <w:rFonts w:ascii="Arial" w:cs="Arial" w:eastAsia="Arial" w:hAnsi="Arial"/>
                <w:sz w:val="16"/>
                <w:szCs w:val="16"/>
                <w:color w:val="auto"/>
              </w:rPr>
              <w:t>1,998</w:t>
            </w:r>
          </w:p>
        </w:tc>
        <w:tc>
          <w:tcPr>
            <w:tcW w:w="10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1,285</w:t>
            </w: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Home equity and junior liens</w:t>
            </w:r>
          </w:p>
        </w:tc>
        <w:tc>
          <w:tcPr>
            <w:tcW w:w="6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w:t>
            </w:r>
          </w:p>
        </w:tc>
        <w:tc>
          <w:tcPr>
            <w:tcW w:w="4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535</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114</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536</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114</w:t>
            </w:r>
          </w:p>
        </w:tc>
      </w:tr>
      <w:tr>
        <w:trPr>
          <w:trHeight w:val="204"/>
        </w:trPr>
        <w:tc>
          <w:tcPr>
            <w:tcW w:w="3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4"/>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Total:</w:t>
            </w:r>
          </w:p>
        </w:tc>
        <w:tc>
          <w:tcPr>
            <w:tcW w:w="6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1-4 family first-lien residential mortgages</w:t>
            </w:r>
          </w:p>
        </w:tc>
        <w:tc>
          <w:tcPr>
            <w:tcW w:w="6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1,674</w:t>
            </w:r>
          </w:p>
        </w:tc>
        <w:tc>
          <w:tcPr>
            <w:tcW w:w="460" w:type="dxa"/>
            <w:vAlign w:val="bottom"/>
          </w:tcPr>
          <w:p>
            <w:pPr>
              <w:spacing w:after="0"/>
              <w:rPr>
                <w:sz w:val="17"/>
                <w:szCs w:val="17"/>
                <w:color w:val="auto"/>
              </w:rPr>
            </w:pP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1,674</w:t>
            </w:r>
          </w:p>
        </w:tc>
        <w:tc>
          <w:tcPr>
            <w:tcW w:w="240" w:type="dxa"/>
            <w:vAlign w:val="bottom"/>
          </w:tcPr>
          <w:p>
            <w:pPr>
              <w:spacing w:after="0"/>
              <w:rPr>
                <w:sz w:val="17"/>
                <w:szCs w:val="17"/>
                <w:color w:val="auto"/>
              </w:rPr>
            </w:pP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127</w:t>
            </w:r>
          </w:p>
        </w:tc>
        <w:tc>
          <w:tcPr>
            <w:tcW w:w="26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1,498</w:t>
            </w:r>
          </w:p>
        </w:tc>
        <w:tc>
          <w:tcPr>
            <w:tcW w:w="280" w:type="dxa"/>
            <w:vAlign w:val="bottom"/>
          </w:tcPr>
          <w:p>
            <w:pPr>
              <w:spacing w:after="0"/>
              <w:rPr>
                <w:sz w:val="17"/>
                <w:szCs w:val="17"/>
                <w:color w:val="auto"/>
              </w:rPr>
            </w:pPr>
          </w:p>
        </w:tc>
        <w:tc>
          <w:tcPr>
            <w:tcW w:w="920" w:type="dxa"/>
            <w:vAlign w:val="bottom"/>
          </w:tcPr>
          <w:p>
            <w:pPr>
              <w:jc w:val="right"/>
              <w:ind w:right="162"/>
              <w:spacing w:after="0"/>
              <w:rPr>
                <w:sz w:val="20"/>
                <w:szCs w:val="20"/>
                <w:color w:val="auto"/>
              </w:rPr>
            </w:pPr>
            <w:r>
              <w:rPr>
                <w:rFonts w:ascii="Arial" w:cs="Arial" w:eastAsia="Arial" w:hAnsi="Arial"/>
                <w:sz w:val="16"/>
                <w:szCs w:val="16"/>
                <w:color w:val="auto"/>
              </w:rPr>
              <w:t>1,498</w:t>
            </w:r>
          </w:p>
        </w:tc>
        <w:tc>
          <w:tcPr>
            <w:tcW w:w="10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91</w:t>
            </w: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Commercial real estate</w:t>
            </w:r>
          </w:p>
        </w:tc>
        <w:tc>
          <w:tcPr>
            <w:tcW w:w="6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9,593</w:t>
            </w:r>
          </w:p>
        </w:tc>
        <w:tc>
          <w:tcPr>
            <w:tcW w:w="4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9,697</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606</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7,908</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8,011</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346</w:t>
            </w: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Commercial lines of credit</w:t>
            </w:r>
          </w:p>
        </w:tc>
        <w:tc>
          <w:tcPr>
            <w:tcW w:w="6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3,236</w:t>
            </w:r>
          </w:p>
        </w:tc>
        <w:tc>
          <w:tcPr>
            <w:tcW w:w="460" w:type="dxa"/>
            <w:vAlign w:val="bottom"/>
          </w:tcPr>
          <w:p>
            <w:pPr>
              <w:spacing w:after="0"/>
              <w:rPr>
                <w:sz w:val="17"/>
                <w:szCs w:val="17"/>
                <w:color w:val="auto"/>
              </w:rPr>
            </w:pP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3,247</w:t>
            </w:r>
          </w:p>
        </w:tc>
        <w:tc>
          <w:tcPr>
            <w:tcW w:w="240" w:type="dxa"/>
            <w:vAlign w:val="bottom"/>
          </w:tcPr>
          <w:p>
            <w:pPr>
              <w:spacing w:after="0"/>
              <w:rPr>
                <w:sz w:val="17"/>
                <w:szCs w:val="17"/>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1,891</w:t>
            </w:r>
          </w:p>
        </w:tc>
        <w:tc>
          <w:tcPr>
            <w:tcW w:w="26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5,277</w:t>
            </w:r>
          </w:p>
        </w:tc>
        <w:tc>
          <w:tcPr>
            <w:tcW w:w="280" w:type="dxa"/>
            <w:vAlign w:val="bottom"/>
          </w:tcPr>
          <w:p>
            <w:pPr>
              <w:spacing w:after="0"/>
              <w:rPr>
                <w:sz w:val="17"/>
                <w:szCs w:val="17"/>
                <w:color w:val="auto"/>
              </w:rPr>
            </w:pPr>
          </w:p>
        </w:tc>
        <w:tc>
          <w:tcPr>
            <w:tcW w:w="920" w:type="dxa"/>
            <w:vAlign w:val="bottom"/>
          </w:tcPr>
          <w:p>
            <w:pPr>
              <w:jc w:val="right"/>
              <w:ind w:right="162"/>
              <w:spacing w:after="0"/>
              <w:rPr>
                <w:sz w:val="20"/>
                <w:szCs w:val="20"/>
                <w:color w:val="auto"/>
              </w:rPr>
            </w:pPr>
            <w:r>
              <w:rPr>
                <w:rFonts w:ascii="Arial" w:cs="Arial" w:eastAsia="Arial" w:hAnsi="Arial"/>
                <w:sz w:val="16"/>
                <w:szCs w:val="16"/>
                <w:color w:val="auto"/>
              </w:rPr>
              <w:t>5,284</w:t>
            </w:r>
          </w:p>
        </w:tc>
        <w:tc>
          <w:tcPr>
            <w:tcW w:w="10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2,957</w:t>
            </w:r>
          </w:p>
        </w:tc>
      </w:tr>
      <w:tr>
        <w:trPr>
          <w:trHeight w:val="205"/>
        </w:trPr>
        <w:tc>
          <w:tcPr>
            <w:tcW w:w="34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commercial and industrial</w:t>
            </w:r>
          </w:p>
        </w:tc>
        <w:tc>
          <w:tcPr>
            <w:tcW w:w="6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8,685</w:t>
            </w:r>
          </w:p>
        </w:tc>
        <w:tc>
          <w:tcPr>
            <w:tcW w:w="4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8,685</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3,629</w:t>
            </w: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4,778</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4,827</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1,285</w:t>
            </w:r>
          </w:p>
        </w:tc>
      </w:tr>
      <w:tr>
        <w:trPr>
          <w:trHeight w:val="203"/>
        </w:trPr>
        <w:tc>
          <w:tcPr>
            <w:tcW w:w="3400" w:type="dxa"/>
            <w:vAlign w:val="bottom"/>
          </w:tcPr>
          <w:p>
            <w:pPr>
              <w:ind w:left="180"/>
              <w:spacing w:after="0"/>
              <w:rPr>
                <w:sz w:val="20"/>
                <w:szCs w:val="20"/>
                <w:color w:val="auto"/>
              </w:rPr>
            </w:pPr>
            <w:r>
              <w:rPr>
                <w:rFonts w:ascii="Arial" w:cs="Arial" w:eastAsia="Arial" w:hAnsi="Arial"/>
                <w:sz w:val="16"/>
                <w:szCs w:val="16"/>
                <w:color w:val="auto"/>
              </w:rPr>
              <w:t>Home equity and junior liens</w:t>
            </w:r>
          </w:p>
        </w:tc>
        <w:tc>
          <w:tcPr>
            <w:tcW w:w="6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619</w:t>
            </w:r>
          </w:p>
        </w:tc>
        <w:tc>
          <w:tcPr>
            <w:tcW w:w="460" w:type="dxa"/>
            <w:vAlign w:val="bottom"/>
          </w:tcPr>
          <w:p>
            <w:pPr>
              <w:spacing w:after="0"/>
              <w:rPr>
                <w:sz w:val="17"/>
                <w:szCs w:val="17"/>
                <w:color w:val="auto"/>
              </w:rPr>
            </w:pP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619</w:t>
            </w:r>
          </w:p>
        </w:tc>
        <w:tc>
          <w:tcPr>
            <w:tcW w:w="240" w:type="dxa"/>
            <w:vAlign w:val="bottom"/>
          </w:tcPr>
          <w:p>
            <w:pPr>
              <w:spacing w:after="0"/>
              <w:rPr>
                <w:sz w:val="17"/>
                <w:szCs w:val="17"/>
                <w:color w:val="auto"/>
              </w:rPr>
            </w:pP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114</w:t>
            </w:r>
          </w:p>
        </w:tc>
        <w:tc>
          <w:tcPr>
            <w:tcW w:w="260" w:type="dxa"/>
            <w:vAlign w:val="bottom"/>
          </w:tcPr>
          <w:p>
            <w:pPr>
              <w:spacing w:after="0"/>
              <w:rPr>
                <w:sz w:val="17"/>
                <w:szCs w:val="17"/>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718</w:t>
            </w:r>
          </w:p>
        </w:tc>
        <w:tc>
          <w:tcPr>
            <w:tcW w:w="280" w:type="dxa"/>
            <w:vAlign w:val="bottom"/>
          </w:tcPr>
          <w:p>
            <w:pPr>
              <w:spacing w:after="0"/>
              <w:rPr>
                <w:sz w:val="17"/>
                <w:szCs w:val="17"/>
                <w:color w:val="auto"/>
              </w:rPr>
            </w:pPr>
          </w:p>
        </w:tc>
        <w:tc>
          <w:tcPr>
            <w:tcW w:w="920" w:type="dxa"/>
            <w:vAlign w:val="bottom"/>
          </w:tcPr>
          <w:p>
            <w:pPr>
              <w:jc w:val="right"/>
              <w:ind w:right="182"/>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114</w:t>
            </w:r>
          </w:p>
        </w:tc>
      </w:tr>
      <w:tr>
        <w:trPr>
          <w:trHeight w:val="280"/>
        </w:trPr>
        <w:tc>
          <w:tcPr>
            <w:tcW w:w="34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6"/>
                <w:szCs w:val="16"/>
                <w:color w:val="auto"/>
              </w:rPr>
              <w:t>Totals</w:t>
            </w:r>
          </w:p>
        </w:tc>
        <w:tc>
          <w:tcPr>
            <w:tcW w:w="6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23,807</w:t>
            </w:r>
          </w:p>
        </w:tc>
        <w:tc>
          <w:tcPr>
            <w:tcW w:w="46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23,922</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6,367</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20,179</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6"/>
                <w:szCs w:val="16"/>
                <w:color w:val="auto"/>
              </w:rPr>
              <w:t>20,338</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4,793</w:t>
            </w: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average recorded investment in impaired loans for the periods indicated: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320" w:type="dxa"/>
            <w:vAlign w:val="bottom"/>
            <w:gridSpan w:val="3"/>
          </w:tcPr>
          <w:p>
            <w:pPr>
              <w:jc w:val="right"/>
              <w:ind w:right="348"/>
              <w:spacing w:after="0"/>
              <w:rPr>
                <w:sz w:val="20"/>
                <w:szCs w:val="20"/>
                <w:color w:val="auto"/>
              </w:rPr>
            </w:pPr>
            <w:r>
              <w:rPr>
                <w:rFonts w:ascii="Arial" w:cs="Arial" w:eastAsia="Arial" w:hAnsi="Arial"/>
                <w:sz w:val="14"/>
                <w:szCs w:val="14"/>
                <w:color w:val="auto"/>
              </w:rPr>
              <w:t>For the three months ended</w:t>
            </w:r>
          </w:p>
        </w:tc>
        <w:tc>
          <w:tcPr>
            <w:tcW w:w="420" w:type="dxa"/>
            <w:vAlign w:val="bottom"/>
          </w:tcPr>
          <w:p>
            <w:pPr>
              <w:spacing w:after="0"/>
              <w:rPr>
                <w:sz w:val="15"/>
                <w:szCs w:val="15"/>
                <w:color w:val="auto"/>
              </w:rPr>
            </w:pPr>
          </w:p>
        </w:tc>
        <w:tc>
          <w:tcPr>
            <w:tcW w:w="1980" w:type="dxa"/>
            <w:vAlign w:val="bottom"/>
            <w:gridSpan w:val="2"/>
          </w:tcPr>
          <w:p>
            <w:pPr>
              <w:jc w:val="right"/>
              <w:ind w:right="28"/>
              <w:spacing w:after="0"/>
              <w:rPr>
                <w:sz w:val="20"/>
                <w:szCs w:val="20"/>
                <w:color w:val="auto"/>
              </w:rPr>
            </w:pPr>
            <w:r>
              <w:rPr>
                <w:rFonts w:ascii="Arial" w:cs="Arial" w:eastAsia="Arial" w:hAnsi="Arial"/>
                <w:sz w:val="14"/>
                <w:szCs w:val="14"/>
                <w:color w:val="auto"/>
              </w:rPr>
              <w:t>For the six months ended</w:t>
            </w:r>
          </w:p>
        </w:tc>
        <w:tc>
          <w:tcPr>
            <w:tcW w:w="620" w:type="dxa"/>
            <w:vAlign w:val="bottom"/>
          </w:tcPr>
          <w:p>
            <w:pPr>
              <w:spacing w:after="0"/>
              <w:rPr>
                <w:sz w:val="15"/>
                <w:szCs w:val="15"/>
                <w:color w:val="auto"/>
              </w:rPr>
            </w:pPr>
          </w:p>
        </w:tc>
      </w:tr>
      <w:tr>
        <w:trPr>
          <w:trHeight w:val="192"/>
        </w:trPr>
        <w:tc>
          <w:tcPr>
            <w:tcW w:w="3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40" w:type="dxa"/>
            <w:vAlign w:val="bottom"/>
            <w:gridSpan w:val="2"/>
          </w:tcPr>
          <w:p>
            <w:pPr>
              <w:jc w:val="right"/>
              <w:ind w:right="168"/>
              <w:spacing w:after="0"/>
              <w:rPr>
                <w:sz w:val="20"/>
                <w:szCs w:val="20"/>
                <w:color w:val="auto"/>
              </w:rPr>
            </w:pPr>
            <w:r>
              <w:rPr>
                <w:rFonts w:ascii="Arial" w:cs="Arial" w:eastAsia="Arial" w:hAnsi="Arial"/>
                <w:sz w:val="14"/>
                <w:szCs w:val="14"/>
                <w:color w:val="auto"/>
              </w:rPr>
              <w:t>June 30,</w:t>
            </w: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80" w:type="dxa"/>
            <w:vAlign w:val="bottom"/>
            <w:gridSpan w:val="2"/>
          </w:tcPr>
          <w:p>
            <w:pPr>
              <w:jc w:val="right"/>
              <w:ind w:right="568"/>
              <w:spacing w:after="0"/>
              <w:rPr>
                <w:sz w:val="20"/>
                <w:szCs w:val="20"/>
                <w:color w:val="auto"/>
              </w:rPr>
            </w:pPr>
            <w:r>
              <w:rPr>
                <w:rFonts w:ascii="Arial" w:cs="Arial" w:eastAsia="Arial" w:hAnsi="Arial"/>
                <w:sz w:val="14"/>
                <w:szCs w:val="14"/>
                <w:color w:val="auto"/>
              </w:rPr>
              <w:t>June 30,</w:t>
            </w:r>
          </w:p>
        </w:tc>
        <w:tc>
          <w:tcPr>
            <w:tcW w:w="620" w:type="dxa"/>
            <w:vAlign w:val="bottom"/>
          </w:tcPr>
          <w:p>
            <w:pPr>
              <w:spacing w:after="0"/>
              <w:rPr>
                <w:sz w:val="16"/>
                <w:szCs w:val="16"/>
                <w:color w:val="auto"/>
              </w:rPr>
            </w:pPr>
          </w:p>
        </w:tc>
      </w:tr>
      <w:tr>
        <w:trPr>
          <w:trHeight w:val="195"/>
        </w:trPr>
        <w:tc>
          <w:tcPr>
            <w:tcW w:w="38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3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2023</w:t>
            </w:r>
          </w:p>
        </w:tc>
        <w:tc>
          <w:tcPr>
            <w:tcW w:w="5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2022</w:t>
            </w:r>
          </w:p>
        </w:tc>
        <w:tc>
          <w:tcPr>
            <w:tcW w:w="42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2023</w:t>
            </w:r>
          </w:p>
        </w:tc>
        <w:tc>
          <w:tcPr>
            <w:tcW w:w="10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2022</w:t>
            </w:r>
          </w:p>
        </w:tc>
      </w:tr>
      <w:tr>
        <w:trPr>
          <w:trHeight w:val="243"/>
        </w:trPr>
        <w:tc>
          <w:tcPr>
            <w:tcW w:w="38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1-4 family first-lien residential mortgages</w:t>
            </w:r>
          </w:p>
        </w:tc>
        <w:tc>
          <w:tcPr>
            <w:tcW w:w="1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1,581</w:t>
            </w:r>
          </w:p>
        </w:tc>
        <w:tc>
          <w:tcPr>
            <w:tcW w:w="52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1,166</w:t>
            </w:r>
          </w:p>
        </w:tc>
        <w:tc>
          <w:tcPr>
            <w:tcW w:w="42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1,554</w:t>
            </w:r>
          </w:p>
        </w:tc>
        <w:tc>
          <w:tcPr>
            <w:tcW w:w="1000" w:type="dxa"/>
            <w:vAlign w:val="bottom"/>
            <w:shd w:val="clear" w:color="auto" w:fill="CFF0FC"/>
          </w:tcPr>
          <w:p>
            <w:pPr>
              <w:jc w:val="right"/>
              <w:ind w:right="6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1,178</w:t>
            </w:r>
          </w:p>
        </w:tc>
      </w:tr>
      <w:tr>
        <w:trPr>
          <w:trHeight w:val="237"/>
        </w:trPr>
        <w:tc>
          <w:tcPr>
            <w:tcW w:w="3880" w:type="dxa"/>
            <w:vAlign w:val="bottom"/>
          </w:tcPr>
          <w:p>
            <w:pPr>
              <w:ind w:left="180"/>
              <w:spacing w:after="0"/>
              <w:rPr>
                <w:sz w:val="20"/>
                <w:szCs w:val="20"/>
                <w:color w:val="auto"/>
              </w:rPr>
            </w:pPr>
            <w:r>
              <w:rPr>
                <w:rFonts w:ascii="Arial" w:cs="Arial" w:eastAsia="Arial" w:hAnsi="Arial"/>
                <w:sz w:val="14"/>
                <w:szCs w:val="14"/>
                <w:color w:val="auto"/>
              </w:rPr>
              <w:t>Commercial real estate</w:t>
            </w:r>
          </w:p>
        </w:tc>
        <w:tc>
          <w:tcPr>
            <w:tcW w:w="1340" w:type="dxa"/>
            <w:vAlign w:val="bottom"/>
          </w:tcPr>
          <w:p>
            <w:pPr>
              <w:spacing w:after="0"/>
              <w:rPr>
                <w:sz w:val="20"/>
                <w:szCs w:val="20"/>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10,034</w:t>
            </w:r>
          </w:p>
        </w:tc>
        <w:tc>
          <w:tcPr>
            <w:tcW w:w="5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7,035</w:t>
            </w:r>
          </w:p>
        </w:tc>
        <w:tc>
          <w:tcPr>
            <w:tcW w:w="420" w:type="dxa"/>
            <w:vAlign w:val="bottom"/>
          </w:tcPr>
          <w:p>
            <w:pPr>
              <w:spacing w:after="0"/>
              <w:rPr>
                <w:sz w:val="20"/>
                <w:szCs w:val="20"/>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9,325</w:t>
            </w:r>
          </w:p>
        </w:tc>
        <w:tc>
          <w:tcPr>
            <w:tcW w:w="1000" w:type="dxa"/>
            <w:vAlign w:val="bottom"/>
          </w:tcPr>
          <w:p>
            <w:pPr>
              <w:spacing w:after="0"/>
              <w:rPr>
                <w:sz w:val="20"/>
                <w:szCs w:val="20"/>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7,076</w:t>
            </w:r>
          </w:p>
        </w:tc>
      </w:tr>
      <w:tr>
        <w:trPr>
          <w:trHeight w:val="243"/>
        </w:trPr>
        <w:tc>
          <w:tcPr>
            <w:tcW w:w="38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Commercial lines of credit</w:t>
            </w:r>
          </w:p>
        </w:tc>
        <w:tc>
          <w:tcPr>
            <w:tcW w:w="13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2,865</w:t>
            </w:r>
          </w:p>
        </w:tc>
        <w:tc>
          <w:tcPr>
            <w:tcW w:w="5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w:t>
            </w: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3,669</w:t>
            </w: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148</w:t>
            </w:r>
          </w:p>
        </w:tc>
      </w:tr>
      <w:tr>
        <w:trPr>
          <w:trHeight w:val="237"/>
        </w:trPr>
        <w:tc>
          <w:tcPr>
            <w:tcW w:w="3880" w:type="dxa"/>
            <w:vAlign w:val="bottom"/>
          </w:tcPr>
          <w:p>
            <w:pPr>
              <w:ind w:left="180"/>
              <w:spacing w:after="0"/>
              <w:rPr>
                <w:sz w:val="20"/>
                <w:szCs w:val="20"/>
                <w:color w:val="auto"/>
              </w:rPr>
            </w:pPr>
            <w:r>
              <w:rPr>
                <w:rFonts w:ascii="Arial" w:cs="Arial" w:eastAsia="Arial" w:hAnsi="Arial"/>
                <w:sz w:val="14"/>
                <w:szCs w:val="14"/>
                <w:color w:val="auto"/>
              </w:rPr>
              <w:t>Other commercial and industrial</w:t>
            </w:r>
          </w:p>
        </w:tc>
        <w:tc>
          <w:tcPr>
            <w:tcW w:w="1340" w:type="dxa"/>
            <w:vAlign w:val="bottom"/>
          </w:tcPr>
          <w:p>
            <w:pPr>
              <w:spacing w:after="0"/>
              <w:rPr>
                <w:sz w:val="20"/>
                <w:szCs w:val="20"/>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8,469</w:t>
            </w:r>
          </w:p>
        </w:tc>
        <w:tc>
          <w:tcPr>
            <w:tcW w:w="5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2,071</w:t>
            </w:r>
          </w:p>
        </w:tc>
        <w:tc>
          <w:tcPr>
            <w:tcW w:w="420" w:type="dxa"/>
            <w:vAlign w:val="bottom"/>
          </w:tcPr>
          <w:p>
            <w:pPr>
              <w:spacing w:after="0"/>
              <w:rPr>
                <w:sz w:val="20"/>
                <w:szCs w:val="20"/>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7,239</w:t>
            </w:r>
          </w:p>
        </w:tc>
        <w:tc>
          <w:tcPr>
            <w:tcW w:w="1000" w:type="dxa"/>
            <w:vAlign w:val="bottom"/>
          </w:tcPr>
          <w:p>
            <w:pPr>
              <w:spacing w:after="0"/>
              <w:rPr>
                <w:sz w:val="20"/>
                <w:szCs w:val="20"/>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2,117</w:t>
            </w:r>
          </w:p>
        </w:tc>
      </w:tr>
      <w:tr>
        <w:trPr>
          <w:trHeight w:val="243"/>
        </w:trPr>
        <w:tc>
          <w:tcPr>
            <w:tcW w:w="38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Home equity and junior liens</w:t>
            </w:r>
          </w:p>
        </w:tc>
        <w:tc>
          <w:tcPr>
            <w:tcW w:w="13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668</w:t>
            </w:r>
          </w:p>
        </w:tc>
        <w:tc>
          <w:tcPr>
            <w:tcW w:w="5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629</w:t>
            </w: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684</w:t>
            </w:r>
          </w:p>
        </w:tc>
        <w:tc>
          <w:tcPr>
            <w:tcW w:w="10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630</w:t>
            </w:r>
          </w:p>
        </w:tc>
      </w:tr>
      <w:tr>
        <w:trPr>
          <w:trHeight w:val="189"/>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23,617</w:t>
            </w:r>
          </w:p>
        </w:tc>
        <w:tc>
          <w:tcPr>
            <w:tcW w:w="5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11,047</w:t>
            </w:r>
          </w:p>
        </w:tc>
        <w:tc>
          <w:tcPr>
            <w:tcW w:w="4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22,471</w:t>
            </w:r>
          </w:p>
        </w:tc>
        <w:tc>
          <w:tcPr>
            <w:tcW w:w="10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11,149</w:t>
            </w: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cash basis interest income recognized on impaired loans for the periods indicated: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color w:val="auto"/>
              </w:rPr>
              <w:t>For the three months ended</w:t>
            </w: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40" w:type="dxa"/>
            <w:vAlign w:val="bottom"/>
            <w:gridSpan w:val="2"/>
          </w:tcPr>
          <w:p>
            <w:pPr>
              <w:jc w:val="right"/>
              <w:ind w:right="88"/>
              <w:spacing w:after="0"/>
              <w:rPr>
                <w:sz w:val="20"/>
                <w:szCs w:val="20"/>
                <w:color w:val="auto"/>
              </w:rPr>
            </w:pPr>
            <w:r>
              <w:rPr>
                <w:rFonts w:ascii="Arial" w:cs="Arial" w:eastAsia="Arial" w:hAnsi="Arial"/>
                <w:sz w:val="14"/>
                <w:szCs w:val="14"/>
                <w:color w:val="auto"/>
              </w:rPr>
              <w:t>For the six months ended</w:t>
            </w:r>
          </w:p>
        </w:tc>
        <w:tc>
          <w:tcPr>
            <w:tcW w:w="560" w:type="dxa"/>
            <w:vAlign w:val="bottom"/>
          </w:tcPr>
          <w:p>
            <w:pPr>
              <w:spacing w:after="0"/>
              <w:rPr>
                <w:sz w:val="15"/>
                <w:szCs w:val="15"/>
                <w:color w:val="auto"/>
              </w:rPr>
            </w:pPr>
          </w:p>
        </w:tc>
      </w:tr>
      <w:tr>
        <w:trPr>
          <w:trHeight w:val="192"/>
        </w:trPr>
        <w:tc>
          <w:tcPr>
            <w:tcW w:w="3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920" w:type="dxa"/>
            <w:vAlign w:val="bottom"/>
            <w:gridSpan w:val="2"/>
          </w:tcPr>
          <w:p>
            <w:pPr>
              <w:jc w:val="right"/>
              <w:ind w:right="548"/>
              <w:spacing w:after="0"/>
              <w:rPr>
                <w:sz w:val="20"/>
                <w:szCs w:val="20"/>
                <w:color w:val="auto"/>
              </w:rPr>
            </w:pPr>
            <w:r>
              <w:rPr>
                <w:rFonts w:ascii="Arial" w:cs="Arial" w:eastAsia="Arial" w:hAnsi="Arial"/>
                <w:sz w:val="14"/>
                <w:szCs w:val="14"/>
                <w:color w:val="auto"/>
              </w:rPr>
              <w:t>June 30,</w:t>
            </w: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40" w:type="dxa"/>
            <w:vAlign w:val="bottom"/>
            <w:gridSpan w:val="2"/>
          </w:tcPr>
          <w:p>
            <w:pPr>
              <w:jc w:val="right"/>
              <w:ind w:right="628"/>
              <w:spacing w:after="0"/>
              <w:rPr>
                <w:sz w:val="20"/>
                <w:szCs w:val="20"/>
                <w:color w:val="auto"/>
              </w:rPr>
            </w:pPr>
            <w:r>
              <w:rPr>
                <w:rFonts w:ascii="Arial" w:cs="Arial" w:eastAsia="Arial" w:hAnsi="Arial"/>
                <w:sz w:val="14"/>
                <w:szCs w:val="14"/>
                <w:color w:val="auto"/>
              </w:rPr>
              <w:t>June 30,</w:t>
            </w:r>
          </w:p>
        </w:tc>
        <w:tc>
          <w:tcPr>
            <w:tcW w:w="560" w:type="dxa"/>
            <w:vAlign w:val="bottom"/>
          </w:tcPr>
          <w:p>
            <w:pPr>
              <w:spacing w:after="0"/>
              <w:rPr>
                <w:sz w:val="16"/>
                <w:szCs w:val="16"/>
                <w:color w:val="auto"/>
              </w:rPr>
            </w:pPr>
          </w:p>
        </w:tc>
      </w:tr>
      <w:tr>
        <w:trPr>
          <w:trHeight w:val="192"/>
        </w:trPr>
        <w:tc>
          <w:tcPr>
            <w:tcW w:w="38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3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2023</w:t>
            </w:r>
          </w:p>
        </w:tc>
        <w:tc>
          <w:tcPr>
            <w:tcW w:w="900" w:type="dxa"/>
            <w:vAlign w:val="bottom"/>
          </w:tcPr>
          <w:p>
            <w:pPr>
              <w:spacing w:after="0"/>
              <w:rPr>
                <w:sz w:val="16"/>
                <w:szCs w:val="16"/>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w w:val="96"/>
              </w:rPr>
              <w:t>2022</w:t>
            </w:r>
          </w:p>
        </w:tc>
        <w:tc>
          <w:tcPr>
            <w:tcW w:w="42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2023</w:t>
            </w:r>
          </w:p>
        </w:tc>
        <w:tc>
          <w:tcPr>
            <w:tcW w:w="106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2022</w:t>
            </w:r>
          </w:p>
        </w:tc>
      </w:tr>
      <w:tr>
        <w:trPr>
          <w:trHeight w:val="255"/>
        </w:trPr>
        <w:tc>
          <w:tcPr>
            <w:tcW w:w="3880" w:type="dxa"/>
            <w:vAlign w:val="bottom"/>
          </w:tcPr>
          <w:p>
            <w:pPr>
              <w:ind w:left="180"/>
              <w:spacing w:after="0"/>
              <w:rPr>
                <w:sz w:val="20"/>
                <w:szCs w:val="20"/>
                <w:color w:val="auto"/>
              </w:rPr>
            </w:pPr>
            <w:r>
              <w:rPr>
                <w:rFonts w:ascii="Arial" w:cs="Arial" w:eastAsia="Arial" w:hAnsi="Arial"/>
                <w:sz w:val="14"/>
                <w:szCs w:val="14"/>
                <w:color w:val="auto"/>
              </w:rPr>
              <w:t>1-4 family first-lien residential mortgages</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24</w:t>
            </w:r>
          </w:p>
        </w:tc>
        <w:tc>
          <w:tcPr>
            <w:tcW w:w="90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14</w:t>
            </w:r>
          </w:p>
        </w:tc>
        <w:tc>
          <w:tcPr>
            <w:tcW w:w="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45</w:t>
            </w:r>
          </w:p>
        </w:tc>
        <w:tc>
          <w:tcPr>
            <w:tcW w:w="106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30</w:t>
            </w:r>
          </w:p>
        </w:tc>
      </w:tr>
      <w:tr>
        <w:trPr>
          <w:trHeight w:val="255"/>
        </w:trPr>
        <w:tc>
          <w:tcPr>
            <w:tcW w:w="38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Commercial real estate</w:t>
            </w:r>
          </w:p>
        </w:tc>
        <w:tc>
          <w:tcPr>
            <w:tcW w:w="13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79</w:t>
            </w:r>
          </w:p>
        </w:tc>
        <w:tc>
          <w:tcPr>
            <w:tcW w:w="900" w:type="dxa"/>
            <w:vAlign w:val="bottom"/>
            <w:shd w:val="clear" w:color="auto" w:fill="CFF0FC"/>
          </w:tcPr>
          <w:p>
            <w:pPr>
              <w:spacing w:after="0"/>
              <w:rPr>
                <w:sz w:val="22"/>
                <w:szCs w:val="2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w:t>
            </w:r>
          </w:p>
        </w:tc>
        <w:tc>
          <w:tcPr>
            <w:tcW w:w="42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140</w:t>
            </w:r>
          </w:p>
        </w:tc>
        <w:tc>
          <w:tcPr>
            <w:tcW w:w="1060" w:type="dxa"/>
            <w:vAlign w:val="bottom"/>
            <w:shd w:val="clear" w:color="auto" w:fill="CFF0FC"/>
          </w:tcPr>
          <w:p>
            <w:pPr>
              <w:spacing w:after="0"/>
              <w:rPr>
                <w:sz w:val="22"/>
                <w:szCs w:val="22"/>
                <w:color w:val="auto"/>
              </w:rPr>
            </w:pPr>
          </w:p>
        </w:tc>
        <w:tc>
          <w:tcPr>
            <w:tcW w:w="5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133</w:t>
            </w:r>
          </w:p>
        </w:tc>
      </w:tr>
      <w:tr>
        <w:trPr>
          <w:trHeight w:val="249"/>
        </w:trPr>
        <w:tc>
          <w:tcPr>
            <w:tcW w:w="3880" w:type="dxa"/>
            <w:vAlign w:val="bottom"/>
          </w:tcPr>
          <w:p>
            <w:pPr>
              <w:ind w:left="180"/>
              <w:spacing w:after="0"/>
              <w:rPr>
                <w:sz w:val="20"/>
                <w:szCs w:val="20"/>
                <w:color w:val="auto"/>
              </w:rPr>
            </w:pPr>
            <w:r>
              <w:rPr>
                <w:rFonts w:ascii="Arial" w:cs="Arial" w:eastAsia="Arial" w:hAnsi="Arial"/>
                <w:sz w:val="14"/>
                <w:szCs w:val="14"/>
                <w:color w:val="auto"/>
              </w:rPr>
              <w:t>Commercial lines of credit</w:t>
            </w:r>
          </w:p>
        </w:tc>
        <w:tc>
          <w:tcPr>
            <w:tcW w:w="1340" w:type="dxa"/>
            <w:vAlign w:val="bottom"/>
          </w:tcPr>
          <w:p>
            <w:pPr>
              <w:spacing w:after="0"/>
              <w:rPr>
                <w:sz w:val="21"/>
                <w:szCs w:val="21"/>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900" w:type="dxa"/>
            <w:vAlign w:val="bottom"/>
          </w:tcPr>
          <w:p>
            <w:pPr>
              <w:spacing w:after="0"/>
              <w:rPr>
                <w:sz w:val="21"/>
                <w:szCs w:val="21"/>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420" w:type="dxa"/>
            <w:vAlign w:val="bottom"/>
          </w:tcPr>
          <w:p>
            <w:pPr>
              <w:spacing w:after="0"/>
              <w:rPr>
                <w:sz w:val="21"/>
                <w:szCs w:val="21"/>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11</w:t>
            </w:r>
          </w:p>
        </w:tc>
        <w:tc>
          <w:tcPr>
            <w:tcW w:w="1060" w:type="dxa"/>
            <w:vAlign w:val="bottom"/>
          </w:tcPr>
          <w:p>
            <w:pPr>
              <w:spacing w:after="0"/>
              <w:rPr>
                <w:sz w:val="21"/>
                <w:szCs w:val="21"/>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55"/>
        </w:trPr>
        <w:tc>
          <w:tcPr>
            <w:tcW w:w="38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Other commercial and industrial</w:t>
            </w:r>
          </w:p>
        </w:tc>
        <w:tc>
          <w:tcPr>
            <w:tcW w:w="13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23</w:t>
            </w:r>
          </w:p>
        </w:tc>
        <w:tc>
          <w:tcPr>
            <w:tcW w:w="900" w:type="dxa"/>
            <w:vAlign w:val="bottom"/>
            <w:shd w:val="clear" w:color="auto" w:fill="CFF0FC"/>
          </w:tcPr>
          <w:p>
            <w:pPr>
              <w:spacing w:after="0"/>
              <w:rPr>
                <w:sz w:val="22"/>
                <w:szCs w:val="22"/>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42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44</w:t>
            </w:r>
          </w:p>
        </w:tc>
        <w:tc>
          <w:tcPr>
            <w:tcW w:w="1060" w:type="dxa"/>
            <w:vAlign w:val="bottom"/>
            <w:shd w:val="clear" w:color="auto" w:fill="CFF0FC"/>
          </w:tcPr>
          <w:p>
            <w:pPr>
              <w:spacing w:after="0"/>
              <w:rPr>
                <w:sz w:val="22"/>
                <w:szCs w:val="22"/>
                <w:color w:val="auto"/>
              </w:rPr>
            </w:pPr>
          </w:p>
        </w:tc>
        <w:tc>
          <w:tcPr>
            <w:tcW w:w="5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42</w:t>
            </w:r>
          </w:p>
        </w:tc>
      </w:tr>
      <w:tr>
        <w:trPr>
          <w:trHeight w:val="249"/>
        </w:trPr>
        <w:tc>
          <w:tcPr>
            <w:tcW w:w="3880" w:type="dxa"/>
            <w:vAlign w:val="bottom"/>
          </w:tcPr>
          <w:p>
            <w:pPr>
              <w:ind w:left="180"/>
              <w:spacing w:after="0"/>
              <w:rPr>
                <w:sz w:val="20"/>
                <w:szCs w:val="20"/>
                <w:color w:val="auto"/>
              </w:rPr>
            </w:pPr>
            <w:r>
              <w:rPr>
                <w:rFonts w:ascii="Arial" w:cs="Arial" w:eastAsia="Arial" w:hAnsi="Arial"/>
                <w:sz w:val="14"/>
                <w:szCs w:val="14"/>
                <w:color w:val="auto"/>
              </w:rPr>
              <w:t>Home equity and junior liens</w:t>
            </w:r>
          </w:p>
        </w:tc>
        <w:tc>
          <w:tcPr>
            <w:tcW w:w="1340" w:type="dxa"/>
            <w:vAlign w:val="bottom"/>
          </w:tcPr>
          <w:p>
            <w:pPr>
              <w:spacing w:after="0"/>
              <w:rPr>
                <w:sz w:val="21"/>
                <w:szCs w:val="21"/>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900" w:type="dxa"/>
            <w:vAlign w:val="bottom"/>
          </w:tcPr>
          <w:p>
            <w:pPr>
              <w:spacing w:after="0"/>
              <w:rPr>
                <w:sz w:val="21"/>
                <w:szCs w:val="21"/>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420" w:type="dxa"/>
            <w:vAlign w:val="bottom"/>
          </w:tcPr>
          <w:p>
            <w:pPr>
              <w:spacing w:after="0"/>
              <w:rPr>
                <w:sz w:val="21"/>
                <w:szCs w:val="21"/>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1060" w:type="dxa"/>
            <w:vAlign w:val="bottom"/>
          </w:tcPr>
          <w:p>
            <w:pPr>
              <w:spacing w:after="0"/>
              <w:rPr>
                <w:sz w:val="21"/>
                <w:szCs w:val="21"/>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12</w:t>
            </w:r>
          </w:p>
        </w:tc>
      </w:tr>
      <w:tr>
        <w:trPr>
          <w:trHeight w:val="292"/>
        </w:trPr>
        <w:tc>
          <w:tcPr>
            <w:tcW w:w="38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144</w:t>
            </w:r>
          </w:p>
        </w:tc>
        <w:tc>
          <w:tcPr>
            <w:tcW w:w="900" w:type="dxa"/>
            <w:vAlign w:val="bottom"/>
            <w:tcBorders>
              <w:bottom w:val="single" w:sz="8" w:color="auto"/>
            </w:tcBorders>
            <w:shd w:val="clear" w:color="auto" w:fill="CFF0FC"/>
          </w:tcPr>
          <w:p>
            <w:pPr>
              <w:jc w:val="right"/>
              <w:ind w:right="58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w:t>
            </w:r>
          </w:p>
        </w:tc>
        <w:tc>
          <w:tcPr>
            <w:tcW w:w="42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263</w:t>
            </w:r>
          </w:p>
        </w:tc>
        <w:tc>
          <w:tcPr>
            <w:tcW w:w="1060" w:type="dxa"/>
            <w:vAlign w:val="bottom"/>
            <w:tcBorders>
              <w:bottom w:val="single" w:sz="8" w:color="auto"/>
            </w:tcBorders>
            <w:shd w:val="clear" w:color="auto" w:fill="CFF0FC"/>
          </w:tcPr>
          <w:p>
            <w:pPr>
              <w:jc w:val="right"/>
              <w:ind w:right="7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220</w:t>
            </w:r>
          </w:p>
        </w:tc>
      </w:tr>
    </w:tbl>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26</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81" w:right="680"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7:  Allowance for Credit Losses</w:t>
      </w:r>
    </w:p>
    <w:p>
      <w:pPr>
        <w:spacing w:after="0" w:line="23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Management extensively reviews recent trends in historical losses, qualitative factors, including concentrations of loans to related borrowers and concentrations of loans by collateral type, and specific reserve needs on loans individually evaluated for impairment in its determination of the adequacy of the credit losses. We recorded $1.1 million in provision for credit losses for the three month period ended June 30, 2023, as compared to $59,000 for the three month period ended June 30, 2022. For the first six months of 2023, we recorded $1.8 million in provision for credit losses compared to $161,000 in the first six months of the prior year.</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increase in provision for credit losses in in the three and six months ended June 30, 2023, as compared to the same three and six month periods in 2022, primarily reflected the recording of additional reserves related to two large loan relationships. The two loan relationships consisted of 25 loans, with aggregate outstanding balances of $13.1 million, including unsecured loan balances of $3.5 million, that have experienced significant credit deterioration during 2023.</w:t>
      </w:r>
    </w:p>
    <w:p>
      <w:pPr>
        <w:spacing w:after="0" w:line="18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At December 31, 2022 the Company calculated its Allowance for Loan losses utilizing the Incurred Loss Model ("ILM") methodology, as required under generally accepted accounting principles ("GAAP") on that date. On January 1, 2023, the Company adopted the Current Expected Credit Loss ("CECL") model methodology in accordance with GAAP requirements that became effective on that date. At December 31, 2022 the Company had a total allowance for loan and lease losses ("ALLL") of $15.3 million, of which $4.8 million was related to specifically-identified loans and $10.5 million was related to loans analyzed collectively on an aggregate pool basis. On January 1, 2023 the Company recorded a one-time CECL transition adjustment (recorded as an adjustment, net of taxes, to retained earnings) of $1.9 million that reversed the $10.5 million in the December 31, 2022 ALLL, that was related to pooled loans, evaluated collectively in the aggregate, as previously calculated under the phased-out ILM methodology, and replaced it with the ACL, as calculated under CECL, in the amount of $12.4 million. The $12.4 million CECL ACL at January 1, 2023 was composed of $8.4 million in reserves calculated using quantitative methodologies based on historical loss experience and $4.0 million based on qualitative factors, as determined by management. The $4.8 million in ALLL related to specifically-identified loans at December 31, 2022 was not affected by the transition to the CECL methodology at January 1, 2023.</w:t>
      </w:r>
    </w:p>
    <w:p>
      <w:pPr>
        <w:spacing w:after="0" w:line="20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transition to CECL on January 1, 2023 also required that new reserves be created in the amounts of $450,000 and $552,000, related to held-to-maturity investments and unfunded commitments, respectively. Including the $1.9 million CECL transition adjustment related to loans, described above, the total CECL transition adjustment related to loans, securities classified as held-to-maturity and unfunded commitments was $ 2.9 million on January 1, 2023. This amount was charged to retained earnings on that date and was not included in net income in 2023.</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total PCL for the three and six months ended June 30, 2023 was $1.1 million and $1.8 million, respectively, of which $1.2 million and $1.9 million related to the Company's loan portfolio for the three and six months ended June 30, 2023, respectively. The ACL related to loans was therefore $18.8 million at June 30, 2023, composed of $6.4 million related to specifically-identified loans, $8.6 million in reserves calculated using quantitative methodologies based on historical loss experience and $3.8 million based on qualitative factors, as determined by management. In addition, during the second quarter of 2023, the Company recorded modest PCL reversals of $29,000 and $16,000 for reserves related to securities classified as held-to-maturity and unfunded commitments, respectively.</w:t>
      </w:r>
    </w:p>
    <w:p>
      <w:pPr>
        <w:spacing w:after="0" w:line="19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table summarizes all activity related to the ACL from December 31, 2022 to June 30, 2023 and to the recorded PCL for the three and six months ended June 30, 2023:</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27</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189" w:right="70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3"/>
        </w:trPr>
        <w:tc>
          <w:tcPr>
            <w:tcW w:w="2880" w:type="dxa"/>
            <w:vAlign w:val="bottom"/>
          </w:tcPr>
          <w:p>
            <w:pPr>
              <w:ind w:left="6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87"/>
        </w:trPr>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ind w:right="142"/>
              <w:spacing w:after="0"/>
              <w:rPr>
                <w:sz w:val="20"/>
                <w:szCs w:val="20"/>
                <w:color w:val="auto"/>
              </w:rPr>
            </w:pPr>
            <w:r>
              <w:rPr>
                <w:rFonts w:ascii="Arial" w:cs="Arial" w:eastAsia="Arial" w:hAnsi="Arial"/>
                <w:sz w:val="16"/>
                <w:szCs w:val="16"/>
                <w:color w:val="auto"/>
                <w:w w:val="98"/>
              </w:rPr>
              <w:t>CECL</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0"/>
        </w:trPr>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tcPr>
          <w:p>
            <w:pPr>
              <w:jc w:val="center"/>
              <w:ind w:right="22"/>
              <w:spacing w:after="0" w:line="180" w:lineRule="exact"/>
              <w:rPr>
                <w:sz w:val="20"/>
                <w:szCs w:val="20"/>
                <w:color w:val="auto"/>
              </w:rPr>
            </w:pPr>
            <w:r>
              <w:rPr>
                <w:rFonts w:ascii="Arial" w:cs="Arial" w:eastAsia="Arial" w:hAnsi="Arial"/>
                <w:sz w:val="16"/>
                <w:szCs w:val="16"/>
                <w:color w:val="auto"/>
                <w:w w:val="96"/>
              </w:rPr>
              <w:t>transitio</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0"/>
        </w:trPr>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142"/>
              <w:spacing w:after="0" w:line="180" w:lineRule="exact"/>
              <w:rPr>
                <w:sz w:val="20"/>
                <w:szCs w:val="20"/>
                <w:color w:val="auto"/>
              </w:rPr>
            </w:pPr>
            <w:r>
              <w:rPr>
                <w:rFonts w:ascii="Arial" w:cs="Arial" w:eastAsia="Arial" w:hAnsi="Arial"/>
                <w:sz w:val="16"/>
                <w:szCs w:val="16"/>
                <w:color w:val="auto"/>
              </w:rPr>
              <w:t>n</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center"/>
              <w:ind w:right="142"/>
              <w:spacing w:after="0" w:line="180" w:lineRule="exact"/>
              <w:rPr>
                <w:sz w:val="20"/>
                <w:szCs w:val="20"/>
                <w:color w:val="auto"/>
              </w:rPr>
            </w:pPr>
            <w:r>
              <w:rPr>
                <w:rFonts w:ascii="Arial" w:cs="Arial" w:eastAsia="Arial" w:hAnsi="Arial"/>
                <w:sz w:val="16"/>
                <w:szCs w:val="16"/>
                <w:color w:val="auto"/>
                <w:w w:val="93"/>
              </w:rPr>
              <w:t>Q1</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jc w:val="center"/>
              <w:ind w:right="82"/>
              <w:spacing w:after="0" w:line="180" w:lineRule="exact"/>
              <w:rPr>
                <w:sz w:val="20"/>
                <w:szCs w:val="20"/>
                <w:color w:val="auto"/>
              </w:rPr>
            </w:pPr>
            <w:r>
              <w:rPr>
                <w:rFonts w:ascii="Arial" w:cs="Arial" w:eastAsia="Arial" w:hAnsi="Arial"/>
                <w:sz w:val="16"/>
                <w:szCs w:val="16"/>
                <w:color w:val="auto"/>
                <w:w w:val="93"/>
              </w:rPr>
              <w:t>Q2</w:t>
            </w:r>
          </w:p>
        </w:tc>
        <w:tc>
          <w:tcPr>
            <w:tcW w:w="160" w:type="dxa"/>
            <w:vAlign w:val="bottom"/>
          </w:tcPr>
          <w:p>
            <w:pPr>
              <w:spacing w:after="0"/>
              <w:rPr>
                <w:sz w:val="15"/>
                <w:szCs w:val="15"/>
                <w:color w:val="auto"/>
              </w:rPr>
            </w:pPr>
          </w:p>
        </w:tc>
        <w:tc>
          <w:tcPr>
            <w:tcW w:w="540" w:type="dxa"/>
            <w:vAlign w:val="bottom"/>
          </w:tcPr>
          <w:p>
            <w:pPr>
              <w:jc w:val="center"/>
              <w:ind w:right="122"/>
              <w:spacing w:after="0" w:line="180" w:lineRule="exact"/>
              <w:rPr>
                <w:sz w:val="20"/>
                <w:szCs w:val="20"/>
                <w:color w:val="auto"/>
              </w:rPr>
            </w:pPr>
            <w:r>
              <w:rPr>
                <w:rFonts w:ascii="Arial" w:cs="Arial" w:eastAsia="Arial" w:hAnsi="Arial"/>
                <w:sz w:val="16"/>
                <w:szCs w:val="16"/>
                <w:color w:val="auto"/>
              </w:rPr>
              <w:t>Q2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102"/>
              <w:spacing w:after="0" w:line="180" w:lineRule="exact"/>
              <w:rPr>
                <w:sz w:val="20"/>
                <w:szCs w:val="20"/>
                <w:color w:val="auto"/>
              </w:rPr>
            </w:pPr>
            <w:r>
              <w:rPr>
                <w:rFonts w:ascii="Arial" w:cs="Arial" w:eastAsia="Arial" w:hAnsi="Arial"/>
                <w:sz w:val="16"/>
                <w:szCs w:val="16"/>
                <w:color w:val="auto"/>
                <w:w w:val="98"/>
              </w:rPr>
              <w:t>CECL</w:t>
            </w:r>
          </w:p>
        </w:tc>
      </w:tr>
      <w:tr>
        <w:trPr>
          <w:trHeight w:val="180"/>
        </w:trPr>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center"/>
              <w:ind w:right="142"/>
              <w:spacing w:after="0" w:line="180" w:lineRule="exact"/>
              <w:rPr>
                <w:sz w:val="20"/>
                <w:szCs w:val="20"/>
                <w:color w:val="auto"/>
              </w:rPr>
            </w:pPr>
            <w:r>
              <w:rPr>
                <w:rFonts w:ascii="Arial" w:cs="Arial" w:eastAsia="Arial" w:hAnsi="Arial"/>
                <w:sz w:val="16"/>
                <w:szCs w:val="16"/>
                <w:color w:val="auto"/>
                <w:w w:val="97"/>
              </w:rPr>
              <w:t>ILM</w:t>
            </w:r>
          </w:p>
        </w:tc>
        <w:tc>
          <w:tcPr>
            <w:tcW w:w="760" w:type="dxa"/>
            <w:vAlign w:val="bottom"/>
            <w:gridSpan w:val="2"/>
          </w:tcPr>
          <w:p>
            <w:pPr>
              <w:jc w:val="center"/>
              <w:ind w:right="22"/>
              <w:spacing w:after="0" w:line="180" w:lineRule="exact"/>
              <w:rPr>
                <w:sz w:val="20"/>
                <w:szCs w:val="20"/>
                <w:color w:val="auto"/>
              </w:rPr>
            </w:pPr>
            <w:r>
              <w:rPr>
                <w:rFonts w:ascii="Arial" w:cs="Arial" w:eastAsia="Arial" w:hAnsi="Arial"/>
                <w:sz w:val="16"/>
                <w:szCs w:val="16"/>
                <w:color w:val="auto"/>
                <w:w w:val="96"/>
              </w:rPr>
              <w:t>adjustm</w:t>
            </w:r>
          </w:p>
        </w:tc>
        <w:tc>
          <w:tcPr>
            <w:tcW w:w="100" w:type="dxa"/>
            <w:vAlign w:val="bottom"/>
          </w:tcPr>
          <w:p>
            <w:pPr>
              <w:spacing w:after="0"/>
              <w:rPr>
                <w:sz w:val="15"/>
                <w:szCs w:val="15"/>
                <w:color w:val="auto"/>
              </w:rPr>
            </w:pPr>
          </w:p>
        </w:tc>
        <w:tc>
          <w:tcPr>
            <w:tcW w:w="560" w:type="dxa"/>
            <w:vAlign w:val="bottom"/>
          </w:tcPr>
          <w:p>
            <w:pPr>
              <w:jc w:val="right"/>
              <w:ind w:right="42"/>
              <w:spacing w:after="0" w:line="180" w:lineRule="exact"/>
              <w:rPr>
                <w:sz w:val="20"/>
                <w:szCs w:val="20"/>
                <w:color w:val="auto"/>
              </w:rPr>
            </w:pPr>
            <w:r>
              <w:rPr>
                <w:rFonts w:ascii="Arial" w:cs="Arial" w:eastAsia="Arial" w:hAnsi="Arial"/>
                <w:sz w:val="16"/>
                <w:szCs w:val="16"/>
                <w:color w:val="auto"/>
                <w:w w:val="98"/>
              </w:rPr>
              <w:t>CECL</w:t>
            </w:r>
          </w:p>
        </w:tc>
        <w:tc>
          <w:tcPr>
            <w:tcW w:w="800" w:type="dxa"/>
            <w:vAlign w:val="bottom"/>
            <w:gridSpan w:val="2"/>
          </w:tcPr>
          <w:p>
            <w:pPr>
              <w:jc w:val="right"/>
              <w:ind w:right="2"/>
              <w:spacing w:after="0" w:line="180" w:lineRule="exact"/>
              <w:rPr>
                <w:sz w:val="20"/>
                <w:szCs w:val="20"/>
                <w:color w:val="auto"/>
              </w:rPr>
            </w:pPr>
            <w:r>
              <w:rPr>
                <w:rFonts w:ascii="Arial" w:cs="Arial" w:eastAsia="Arial" w:hAnsi="Arial"/>
                <w:sz w:val="16"/>
                <w:szCs w:val="16"/>
                <w:color w:val="auto"/>
              </w:rPr>
              <w:t>Q1 2023</w:t>
            </w:r>
          </w:p>
        </w:tc>
        <w:tc>
          <w:tcPr>
            <w:tcW w:w="160" w:type="dxa"/>
            <w:vAlign w:val="bottom"/>
          </w:tcPr>
          <w:p>
            <w:pPr>
              <w:spacing w:after="0"/>
              <w:rPr>
                <w:sz w:val="15"/>
                <w:szCs w:val="15"/>
                <w:color w:val="auto"/>
              </w:rPr>
            </w:pPr>
          </w:p>
        </w:tc>
        <w:tc>
          <w:tcPr>
            <w:tcW w:w="580" w:type="dxa"/>
            <w:vAlign w:val="bottom"/>
          </w:tcPr>
          <w:p>
            <w:pPr>
              <w:jc w:val="right"/>
              <w:ind w:right="162"/>
              <w:spacing w:after="0" w:line="180" w:lineRule="exact"/>
              <w:rPr>
                <w:sz w:val="20"/>
                <w:szCs w:val="20"/>
                <w:color w:val="auto"/>
              </w:rPr>
            </w:pPr>
            <w:r>
              <w:rPr>
                <w:rFonts w:ascii="Arial" w:cs="Arial" w:eastAsia="Arial" w:hAnsi="Arial"/>
                <w:sz w:val="16"/>
                <w:szCs w:val="16"/>
                <w:color w:val="auto"/>
                <w:w w:val="89"/>
              </w:rPr>
              <w:t>2023</w:t>
            </w:r>
          </w:p>
        </w:tc>
        <w:tc>
          <w:tcPr>
            <w:tcW w:w="120" w:type="dxa"/>
            <w:vAlign w:val="bottom"/>
          </w:tcPr>
          <w:p>
            <w:pPr>
              <w:spacing w:after="0"/>
              <w:rPr>
                <w:sz w:val="15"/>
                <w:szCs w:val="15"/>
                <w:color w:val="auto"/>
              </w:rPr>
            </w:pPr>
          </w:p>
        </w:tc>
        <w:tc>
          <w:tcPr>
            <w:tcW w:w="460" w:type="dxa"/>
            <w:vAlign w:val="bottom"/>
          </w:tcPr>
          <w:p>
            <w:pPr>
              <w:jc w:val="center"/>
              <w:ind w:right="142"/>
              <w:spacing w:after="0" w:line="180" w:lineRule="exact"/>
              <w:rPr>
                <w:sz w:val="20"/>
                <w:szCs w:val="20"/>
                <w:color w:val="auto"/>
              </w:rPr>
            </w:pPr>
            <w:r>
              <w:rPr>
                <w:rFonts w:ascii="Arial" w:cs="Arial" w:eastAsia="Arial" w:hAnsi="Arial"/>
                <w:sz w:val="16"/>
                <w:szCs w:val="16"/>
                <w:color w:val="auto"/>
                <w:w w:val="93"/>
              </w:rPr>
              <w:t>Q1</w:t>
            </w:r>
          </w:p>
        </w:tc>
        <w:tc>
          <w:tcPr>
            <w:tcW w:w="100" w:type="dxa"/>
            <w:vAlign w:val="bottom"/>
          </w:tcPr>
          <w:p>
            <w:pPr>
              <w:spacing w:after="0"/>
              <w:rPr>
                <w:sz w:val="15"/>
                <w:szCs w:val="15"/>
                <w:color w:val="auto"/>
              </w:rPr>
            </w:pPr>
          </w:p>
        </w:tc>
        <w:tc>
          <w:tcPr>
            <w:tcW w:w="620" w:type="dxa"/>
            <w:vAlign w:val="bottom"/>
          </w:tcPr>
          <w:p>
            <w:pPr>
              <w:jc w:val="right"/>
              <w:ind w:right="82"/>
              <w:spacing w:after="0" w:line="180" w:lineRule="exact"/>
              <w:rPr>
                <w:sz w:val="20"/>
                <w:szCs w:val="20"/>
                <w:color w:val="auto"/>
              </w:rPr>
            </w:pPr>
            <w:r>
              <w:rPr>
                <w:rFonts w:ascii="Arial" w:cs="Arial" w:eastAsia="Arial" w:hAnsi="Arial"/>
                <w:sz w:val="16"/>
                <w:szCs w:val="16"/>
                <w:color w:val="auto"/>
              </w:rPr>
              <w:t>CECL</w:t>
            </w:r>
          </w:p>
        </w:tc>
        <w:tc>
          <w:tcPr>
            <w:tcW w:w="620" w:type="dxa"/>
            <w:vAlign w:val="bottom"/>
            <w:gridSpan w:val="2"/>
          </w:tcPr>
          <w:p>
            <w:pPr>
              <w:jc w:val="right"/>
              <w:ind w:right="22"/>
              <w:spacing w:after="0" w:line="180" w:lineRule="exact"/>
              <w:rPr>
                <w:sz w:val="20"/>
                <w:szCs w:val="20"/>
                <w:color w:val="auto"/>
              </w:rPr>
            </w:pPr>
            <w:r>
              <w:rPr>
                <w:rFonts w:ascii="Arial" w:cs="Arial" w:eastAsia="Arial" w:hAnsi="Arial"/>
                <w:sz w:val="16"/>
                <w:szCs w:val="16"/>
                <w:color w:val="auto"/>
              </w:rPr>
              <w:t>2023</w:t>
            </w:r>
          </w:p>
        </w:tc>
        <w:tc>
          <w:tcPr>
            <w:tcW w:w="160" w:type="dxa"/>
            <w:vAlign w:val="bottom"/>
          </w:tcPr>
          <w:p>
            <w:pPr>
              <w:spacing w:after="0"/>
              <w:rPr>
                <w:sz w:val="15"/>
                <w:szCs w:val="15"/>
                <w:color w:val="auto"/>
              </w:rPr>
            </w:pPr>
          </w:p>
        </w:tc>
        <w:tc>
          <w:tcPr>
            <w:tcW w:w="540" w:type="dxa"/>
            <w:vAlign w:val="bottom"/>
          </w:tcPr>
          <w:p>
            <w:pPr>
              <w:jc w:val="right"/>
              <w:ind w:right="122"/>
              <w:spacing w:after="0" w:line="180" w:lineRule="exact"/>
              <w:rPr>
                <w:sz w:val="20"/>
                <w:szCs w:val="20"/>
                <w:color w:val="auto"/>
              </w:rPr>
            </w:pPr>
            <w:r>
              <w:rPr>
                <w:rFonts w:ascii="Arial" w:cs="Arial" w:eastAsia="Arial" w:hAnsi="Arial"/>
                <w:sz w:val="16"/>
                <w:szCs w:val="16"/>
                <w:color w:val="auto"/>
                <w:w w:val="89"/>
              </w:rPr>
              <w:t>2023</w:t>
            </w:r>
          </w:p>
        </w:tc>
        <w:tc>
          <w:tcPr>
            <w:tcW w:w="120" w:type="dxa"/>
            <w:vAlign w:val="bottom"/>
          </w:tcPr>
          <w:p>
            <w:pPr>
              <w:spacing w:after="0"/>
              <w:rPr>
                <w:sz w:val="15"/>
                <w:szCs w:val="15"/>
                <w:color w:val="auto"/>
              </w:rPr>
            </w:pPr>
          </w:p>
        </w:tc>
        <w:tc>
          <w:tcPr>
            <w:tcW w:w="420" w:type="dxa"/>
            <w:vAlign w:val="bottom"/>
          </w:tcPr>
          <w:p>
            <w:pPr>
              <w:jc w:val="center"/>
              <w:ind w:right="122"/>
              <w:spacing w:after="0" w:line="180" w:lineRule="exact"/>
              <w:rPr>
                <w:sz w:val="20"/>
                <w:szCs w:val="20"/>
                <w:color w:val="auto"/>
              </w:rPr>
            </w:pPr>
            <w:r>
              <w:rPr>
                <w:rFonts w:ascii="Arial" w:cs="Arial" w:eastAsia="Arial" w:hAnsi="Arial"/>
                <w:sz w:val="16"/>
                <w:szCs w:val="16"/>
                <w:color w:val="auto"/>
              </w:rPr>
              <w:t>Q2</w:t>
            </w:r>
          </w:p>
        </w:tc>
        <w:tc>
          <w:tcPr>
            <w:tcW w:w="100" w:type="dxa"/>
            <w:vAlign w:val="bottom"/>
          </w:tcPr>
          <w:p>
            <w:pPr>
              <w:spacing w:after="0"/>
              <w:rPr>
                <w:sz w:val="15"/>
                <w:szCs w:val="15"/>
                <w:color w:val="auto"/>
              </w:rPr>
            </w:pPr>
          </w:p>
        </w:tc>
        <w:tc>
          <w:tcPr>
            <w:tcW w:w="680" w:type="dxa"/>
            <w:vAlign w:val="bottom"/>
          </w:tcPr>
          <w:p>
            <w:pPr>
              <w:jc w:val="center"/>
              <w:ind w:right="102"/>
              <w:spacing w:after="0" w:line="180" w:lineRule="exact"/>
              <w:rPr>
                <w:sz w:val="20"/>
                <w:szCs w:val="20"/>
                <w:color w:val="auto"/>
              </w:rPr>
            </w:pPr>
            <w:r>
              <w:rPr>
                <w:rFonts w:ascii="Arial" w:cs="Arial" w:eastAsia="Arial" w:hAnsi="Arial"/>
                <w:sz w:val="16"/>
                <w:szCs w:val="16"/>
                <w:color w:val="auto"/>
                <w:w w:val="93"/>
              </w:rPr>
              <w:t>ACL at</w:t>
            </w:r>
          </w:p>
        </w:tc>
      </w:tr>
      <w:tr>
        <w:trPr>
          <w:trHeight w:val="180"/>
        </w:trPr>
        <w:tc>
          <w:tcPr>
            <w:tcW w:w="2880" w:type="dxa"/>
            <w:vAlign w:val="bottom"/>
          </w:tcPr>
          <w:p>
            <w:pPr>
              <w:spacing w:after="0"/>
              <w:rPr>
                <w:sz w:val="15"/>
                <w:szCs w:val="15"/>
                <w:color w:val="auto"/>
              </w:rPr>
            </w:pPr>
          </w:p>
        </w:tc>
        <w:tc>
          <w:tcPr>
            <w:tcW w:w="780" w:type="dxa"/>
            <w:vAlign w:val="bottom"/>
            <w:gridSpan w:val="2"/>
          </w:tcPr>
          <w:p>
            <w:pPr>
              <w:jc w:val="center"/>
              <w:spacing w:after="0" w:line="180" w:lineRule="exact"/>
              <w:rPr>
                <w:sz w:val="20"/>
                <w:szCs w:val="20"/>
                <w:color w:val="auto"/>
              </w:rPr>
            </w:pPr>
            <w:r>
              <w:rPr>
                <w:rFonts w:ascii="Arial" w:cs="Arial" w:eastAsia="Arial" w:hAnsi="Arial"/>
                <w:sz w:val="16"/>
                <w:szCs w:val="16"/>
                <w:color w:val="auto"/>
                <w:w w:val="97"/>
              </w:rPr>
              <w:t>12/31/2</w:t>
            </w:r>
          </w:p>
        </w:tc>
        <w:tc>
          <w:tcPr>
            <w:tcW w:w="120" w:type="dxa"/>
            <w:vAlign w:val="bottom"/>
          </w:tcPr>
          <w:p>
            <w:pPr>
              <w:spacing w:after="0"/>
              <w:rPr>
                <w:sz w:val="15"/>
                <w:szCs w:val="15"/>
                <w:color w:val="auto"/>
              </w:rPr>
            </w:pPr>
          </w:p>
        </w:tc>
        <w:tc>
          <w:tcPr>
            <w:tcW w:w="640" w:type="dxa"/>
            <w:vAlign w:val="bottom"/>
          </w:tcPr>
          <w:p>
            <w:pPr>
              <w:jc w:val="center"/>
              <w:ind w:right="142"/>
              <w:spacing w:after="0" w:line="180" w:lineRule="exact"/>
              <w:rPr>
                <w:sz w:val="20"/>
                <w:szCs w:val="20"/>
                <w:color w:val="auto"/>
              </w:rPr>
            </w:pPr>
            <w:r>
              <w:rPr>
                <w:rFonts w:ascii="Arial" w:cs="Arial" w:eastAsia="Arial" w:hAnsi="Arial"/>
                <w:sz w:val="16"/>
                <w:szCs w:val="16"/>
                <w:color w:val="auto"/>
                <w:w w:val="98"/>
              </w:rPr>
              <w:t>ent</w:t>
            </w:r>
          </w:p>
        </w:tc>
        <w:tc>
          <w:tcPr>
            <w:tcW w:w="660" w:type="dxa"/>
            <w:vAlign w:val="bottom"/>
            <w:gridSpan w:val="2"/>
          </w:tcPr>
          <w:p>
            <w:pPr>
              <w:jc w:val="right"/>
              <w:ind w:right="22"/>
              <w:spacing w:after="0" w:line="180" w:lineRule="exact"/>
              <w:rPr>
                <w:sz w:val="20"/>
                <w:szCs w:val="20"/>
                <w:color w:val="auto"/>
              </w:rPr>
            </w:pPr>
            <w:r>
              <w:rPr>
                <w:rFonts w:ascii="Arial" w:cs="Arial" w:eastAsia="Arial" w:hAnsi="Arial"/>
                <w:sz w:val="16"/>
                <w:szCs w:val="16"/>
                <w:color w:val="auto"/>
              </w:rPr>
              <w:t>ACL at</w:t>
            </w:r>
          </w:p>
        </w:tc>
        <w:tc>
          <w:tcPr>
            <w:tcW w:w="800" w:type="dxa"/>
            <w:vAlign w:val="bottom"/>
            <w:gridSpan w:val="2"/>
          </w:tcPr>
          <w:p>
            <w:pPr>
              <w:jc w:val="right"/>
              <w:ind w:right="22"/>
              <w:spacing w:after="0" w:line="180" w:lineRule="exact"/>
              <w:rPr>
                <w:sz w:val="20"/>
                <w:szCs w:val="20"/>
                <w:color w:val="auto"/>
              </w:rPr>
            </w:pPr>
            <w:r>
              <w:rPr>
                <w:rFonts w:ascii="Arial" w:cs="Arial" w:eastAsia="Arial" w:hAnsi="Arial"/>
                <w:sz w:val="16"/>
                <w:szCs w:val="16"/>
                <w:color w:val="auto"/>
              </w:rPr>
              <w:t>Charge-</w:t>
            </w:r>
          </w:p>
        </w:tc>
        <w:tc>
          <w:tcPr>
            <w:tcW w:w="740" w:type="dxa"/>
            <w:vAlign w:val="bottom"/>
            <w:gridSpan w:val="2"/>
          </w:tcPr>
          <w:p>
            <w:pPr>
              <w:ind w:left="80"/>
              <w:spacing w:after="0" w:line="180" w:lineRule="exact"/>
              <w:rPr>
                <w:sz w:val="20"/>
                <w:szCs w:val="20"/>
                <w:color w:val="auto"/>
              </w:rPr>
            </w:pPr>
            <w:r>
              <w:rPr>
                <w:rFonts w:ascii="Arial" w:cs="Arial" w:eastAsia="Arial" w:hAnsi="Arial"/>
                <w:sz w:val="16"/>
                <w:szCs w:val="16"/>
                <w:color w:val="auto"/>
              </w:rPr>
              <w:t>Recove</w:t>
            </w:r>
          </w:p>
        </w:tc>
        <w:tc>
          <w:tcPr>
            <w:tcW w:w="580" w:type="dxa"/>
            <w:vAlign w:val="bottom"/>
            <w:gridSpan w:val="2"/>
          </w:tcPr>
          <w:p>
            <w:pPr>
              <w:jc w:val="right"/>
              <w:ind w:right="102"/>
              <w:spacing w:after="0" w:line="180" w:lineRule="exact"/>
              <w:rPr>
                <w:sz w:val="20"/>
                <w:szCs w:val="20"/>
                <w:color w:val="auto"/>
              </w:rPr>
            </w:pPr>
            <w:r>
              <w:rPr>
                <w:rFonts w:ascii="Arial" w:cs="Arial" w:eastAsia="Arial" w:hAnsi="Arial"/>
                <w:sz w:val="16"/>
                <w:szCs w:val="16"/>
                <w:color w:val="auto"/>
              </w:rPr>
              <w:t>2023</w:t>
            </w:r>
          </w:p>
        </w:tc>
        <w:tc>
          <w:tcPr>
            <w:tcW w:w="100" w:type="dxa"/>
            <w:vAlign w:val="bottom"/>
          </w:tcPr>
          <w:p>
            <w:pPr>
              <w:spacing w:after="0"/>
              <w:rPr>
                <w:sz w:val="15"/>
                <w:szCs w:val="15"/>
                <w:color w:val="auto"/>
              </w:rPr>
            </w:pPr>
          </w:p>
        </w:tc>
        <w:tc>
          <w:tcPr>
            <w:tcW w:w="620" w:type="dxa"/>
            <w:vAlign w:val="bottom"/>
          </w:tcPr>
          <w:p>
            <w:pPr>
              <w:jc w:val="right"/>
              <w:ind w:right="42"/>
              <w:spacing w:after="0" w:line="180" w:lineRule="exact"/>
              <w:rPr>
                <w:sz w:val="20"/>
                <w:szCs w:val="20"/>
                <w:color w:val="auto"/>
              </w:rPr>
            </w:pPr>
            <w:r>
              <w:rPr>
                <w:rFonts w:ascii="Arial" w:cs="Arial" w:eastAsia="Arial" w:hAnsi="Arial"/>
                <w:sz w:val="16"/>
                <w:szCs w:val="16"/>
                <w:color w:val="auto"/>
                <w:w w:val="98"/>
              </w:rPr>
              <w:t>ACL at</w:t>
            </w:r>
          </w:p>
        </w:tc>
        <w:tc>
          <w:tcPr>
            <w:tcW w:w="620" w:type="dxa"/>
            <w:vAlign w:val="bottom"/>
            <w:gridSpan w:val="2"/>
          </w:tcPr>
          <w:p>
            <w:pPr>
              <w:ind w:left="120"/>
              <w:spacing w:after="0" w:line="180" w:lineRule="exact"/>
              <w:rPr>
                <w:sz w:val="20"/>
                <w:szCs w:val="20"/>
                <w:color w:val="auto"/>
              </w:rPr>
            </w:pPr>
            <w:r>
              <w:rPr>
                <w:rFonts w:ascii="Arial" w:cs="Arial" w:eastAsia="Arial" w:hAnsi="Arial"/>
                <w:sz w:val="16"/>
                <w:szCs w:val="16"/>
                <w:color w:val="auto"/>
              </w:rPr>
              <w:t>Charg</w:t>
            </w:r>
          </w:p>
        </w:tc>
        <w:tc>
          <w:tcPr>
            <w:tcW w:w="700" w:type="dxa"/>
            <w:vAlign w:val="bottom"/>
            <w:gridSpan w:val="2"/>
          </w:tcPr>
          <w:p>
            <w:pPr>
              <w:ind w:left="60"/>
              <w:spacing w:after="0" w:line="180" w:lineRule="exact"/>
              <w:rPr>
                <w:sz w:val="20"/>
                <w:szCs w:val="20"/>
                <w:color w:val="auto"/>
              </w:rPr>
            </w:pPr>
            <w:r>
              <w:rPr>
                <w:rFonts w:ascii="Arial" w:cs="Arial" w:eastAsia="Arial" w:hAnsi="Arial"/>
                <w:sz w:val="16"/>
                <w:szCs w:val="16"/>
                <w:color w:val="auto"/>
              </w:rPr>
              <w:t>Recove</w:t>
            </w:r>
          </w:p>
        </w:tc>
        <w:tc>
          <w:tcPr>
            <w:tcW w:w="540" w:type="dxa"/>
            <w:vAlign w:val="bottom"/>
            <w:gridSpan w:val="2"/>
          </w:tcPr>
          <w:p>
            <w:pPr>
              <w:jc w:val="right"/>
              <w:ind w:right="62"/>
              <w:spacing w:after="0" w:line="180" w:lineRule="exact"/>
              <w:rPr>
                <w:sz w:val="20"/>
                <w:szCs w:val="20"/>
                <w:color w:val="auto"/>
              </w:rPr>
            </w:pPr>
            <w:r>
              <w:rPr>
                <w:rFonts w:ascii="Arial" w:cs="Arial" w:eastAsia="Arial" w:hAnsi="Arial"/>
                <w:sz w:val="16"/>
                <w:szCs w:val="16"/>
                <w:color w:val="auto"/>
              </w:rPr>
              <w:t>2023</w:t>
            </w:r>
          </w:p>
        </w:tc>
        <w:tc>
          <w:tcPr>
            <w:tcW w:w="780" w:type="dxa"/>
            <w:vAlign w:val="bottom"/>
            <w:gridSpan w:val="2"/>
          </w:tcPr>
          <w:p>
            <w:pPr>
              <w:jc w:val="center"/>
              <w:ind w:right="2"/>
              <w:spacing w:after="0" w:line="180" w:lineRule="exact"/>
              <w:rPr>
                <w:sz w:val="20"/>
                <w:szCs w:val="20"/>
                <w:color w:val="auto"/>
              </w:rPr>
            </w:pPr>
            <w:r>
              <w:rPr>
                <w:rFonts w:ascii="Arial" w:cs="Arial" w:eastAsia="Arial" w:hAnsi="Arial"/>
                <w:sz w:val="16"/>
                <w:szCs w:val="16"/>
                <w:color w:val="auto"/>
                <w:w w:val="99"/>
              </w:rPr>
              <w:t>6/30/202</w:t>
            </w:r>
          </w:p>
        </w:tc>
      </w:tr>
      <w:tr>
        <w:trPr>
          <w:trHeight w:val="198"/>
        </w:trPr>
        <w:tc>
          <w:tcPr>
            <w:tcW w:w="2880" w:type="dxa"/>
            <w:vAlign w:val="bottom"/>
          </w:tcPr>
          <w:p>
            <w:pPr>
              <w:ind w:left="20"/>
              <w:spacing w:after="0"/>
              <w:rPr>
                <w:sz w:val="20"/>
                <w:szCs w:val="20"/>
                <w:color w:val="auto"/>
              </w:rPr>
            </w:pPr>
            <w:r>
              <w:rPr>
                <w:rFonts w:ascii="Arial" w:cs="Arial" w:eastAsia="Arial" w:hAnsi="Arial"/>
                <w:sz w:val="16"/>
                <w:szCs w:val="16"/>
                <w:color w:val="auto"/>
              </w:rPr>
              <w:t>ACL - loans</w:t>
            </w:r>
          </w:p>
        </w:tc>
        <w:tc>
          <w:tcPr>
            <w:tcW w:w="180" w:type="dxa"/>
            <w:vAlign w:val="bottom"/>
          </w:tcPr>
          <w:p>
            <w:pPr>
              <w:spacing w:after="0"/>
              <w:rPr>
                <w:sz w:val="17"/>
                <w:szCs w:val="17"/>
                <w:color w:val="auto"/>
              </w:rPr>
            </w:pPr>
          </w:p>
        </w:tc>
        <w:tc>
          <w:tcPr>
            <w:tcW w:w="600" w:type="dxa"/>
            <w:vAlign w:val="bottom"/>
          </w:tcPr>
          <w:p>
            <w:pPr>
              <w:jc w:val="center"/>
              <w:ind w:right="142"/>
              <w:spacing w:after="0"/>
              <w:rPr>
                <w:sz w:val="20"/>
                <w:szCs w:val="20"/>
                <w:color w:val="auto"/>
              </w:rPr>
            </w:pPr>
            <w:r>
              <w:rPr>
                <w:rFonts w:ascii="Arial" w:cs="Arial" w:eastAsia="Arial" w:hAnsi="Arial"/>
                <w:sz w:val="16"/>
                <w:szCs w:val="16"/>
                <w:color w:val="auto"/>
                <w:w w:val="97"/>
              </w:rPr>
              <w:t>022</w:t>
            </w:r>
          </w:p>
        </w:tc>
        <w:tc>
          <w:tcPr>
            <w:tcW w:w="760" w:type="dxa"/>
            <w:vAlign w:val="bottom"/>
            <w:gridSpan w:val="2"/>
          </w:tcPr>
          <w:p>
            <w:pPr>
              <w:ind w:left="20"/>
              <w:spacing w:after="0"/>
              <w:rPr>
                <w:sz w:val="20"/>
                <w:szCs w:val="20"/>
                <w:color w:val="auto"/>
              </w:rPr>
            </w:pPr>
            <w:r>
              <w:rPr>
                <w:rFonts w:ascii="Arial" w:cs="Arial" w:eastAsia="Arial" w:hAnsi="Arial"/>
                <w:sz w:val="16"/>
                <w:szCs w:val="16"/>
                <w:color w:val="auto"/>
              </w:rPr>
              <w:t>1/1/2023</w:t>
            </w:r>
          </w:p>
        </w:tc>
        <w:tc>
          <w:tcPr>
            <w:tcW w:w="660" w:type="dxa"/>
            <w:vAlign w:val="bottom"/>
            <w:gridSpan w:val="2"/>
          </w:tcPr>
          <w:p>
            <w:pPr>
              <w:ind w:left="20"/>
              <w:spacing w:after="0"/>
              <w:rPr>
                <w:sz w:val="20"/>
                <w:szCs w:val="20"/>
                <w:color w:val="auto"/>
              </w:rPr>
            </w:pPr>
            <w:r>
              <w:rPr>
                <w:rFonts w:ascii="Arial" w:cs="Arial" w:eastAsia="Arial" w:hAnsi="Arial"/>
                <w:sz w:val="16"/>
                <w:szCs w:val="16"/>
                <w:color w:val="auto"/>
                <w:w w:val="99"/>
              </w:rPr>
              <w:t>1/1/2023</w:t>
            </w:r>
          </w:p>
        </w:tc>
        <w:tc>
          <w:tcPr>
            <w:tcW w:w="240" w:type="dxa"/>
            <w:vAlign w:val="bottom"/>
          </w:tcPr>
          <w:p>
            <w:pPr>
              <w:spacing w:after="0"/>
              <w:rPr>
                <w:sz w:val="17"/>
                <w:szCs w:val="17"/>
                <w:color w:val="auto"/>
              </w:rPr>
            </w:pPr>
          </w:p>
        </w:tc>
        <w:tc>
          <w:tcPr>
            <w:tcW w:w="560" w:type="dxa"/>
            <w:vAlign w:val="bottom"/>
          </w:tcPr>
          <w:p>
            <w:pPr>
              <w:jc w:val="right"/>
              <w:ind w:right="182"/>
              <w:spacing w:after="0"/>
              <w:rPr>
                <w:sz w:val="20"/>
                <w:szCs w:val="20"/>
                <w:color w:val="auto"/>
              </w:rPr>
            </w:pPr>
            <w:r>
              <w:rPr>
                <w:rFonts w:ascii="Arial" w:cs="Arial" w:eastAsia="Arial" w:hAnsi="Arial"/>
                <w:sz w:val="16"/>
                <w:szCs w:val="16"/>
                <w:color w:val="auto"/>
              </w:rPr>
              <w:t>offs</w:t>
            </w:r>
          </w:p>
        </w:tc>
        <w:tc>
          <w:tcPr>
            <w:tcW w:w="160" w:type="dxa"/>
            <w:vAlign w:val="bottom"/>
          </w:tcPr>
          <w:p>
            <w:pPr>
              <w:spacing w:after="0"/>
              <w:rPr>
                <w:sz w:val="17"/>
                <w:szCs w:val="17"/>
                <w:color w:val="auto"/>
              </w:rPr>
            </w:pPr>
          </w:p>
        </w:tc>
        <w:tc>
          <w:tcPr>
            <w:tcW w:w="580" w:type="dxa"/>
            <w:vAlign w:val="bottom"/>
          </w:tcPr>
          <w:p>
            <w:pPr>
              <w:jc w:val="right"/>
              <w:ind w:right="202"/>
              <w:spacing w:after="0"/>
              <w:rPr>
                <w:sz w:val="20"/>
                <w:szCs w:val="20"/>
                <w:color w:val="auto"/>
              </w:rPr>
            </w:pPr>
            <w:r>
              <w:rPr>
                <w:rFonts w:ascii="Arial" w:cs="Arial" w:eastAsia="Arial" w:hAnsi="Arial"/>
                <w:sz w:val="16"/>
                <w:szCs w:val="16"/>
                <w:color w:val="auto"/>
              </w:rPr>
              <w:t>ries</w:t>
            </w:r>
          </w:p>
        </w:tc>
        <w:tc>
          <w:tcPr>
            <w:tcW w:w="580" w:type="dxa"/>
            <w:vAlign w:val="bottom"/>
            <w:gridSpan w:val="2"/>
          </w:tcPr>
          <w:p>
            <w:pPr>
              <w:jc w:val="right"/>
              <w:ind w:right="122"/>
              <w:spacing w:after="0"/>
              <w:rPr>
                <w:sz w:val="20"/>
                <w:szCs w:val="20"/>
                <w:color w:val="auto"/>
              </w:rPr>
            </w:pPr>
            <w:r>
              <w:rPr>
                <w:rFonts w:ascii="Arial" w:cs="Arial" w:eastAsia="Arial" w:hAnsi="Arial"/>
                <w:sz w:val="16"/>
                <w:szCs w:val="16"/>
                <w:color w:val="auto"/>
              </w:rPr>
              <w:t>PCL</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w w:val="95"/>
              </w:rPr>
              <w:t>3/31/2023</w:t>
            </w:r>
          </w:p>
        </w:tc>
        <w:tc>
          <w:tcPr>
            <w:tcW w:w="620" w:type="dxa"/>
            <w:vAlign w:val="bottom"/>
            <w:gridSpan w:val="2"/>
          </w:tcPr>
          <w:p>
            <w:pPr>
              <w:ind w:left="140"/>
              <w:spacing w:after="0"/>
              <w:rPr>
                <w:sz w:val="20"/>
                <w:szCs w:val="20"/>
                <w:color w:val="auto"/>
              </w:rPr>
            </w:pPr>
            <w:r>
              <w:rPr>
                <w:rFonts w:ascii="Arial" w:cs="Arial" w:eastAsia="Arial" w:hAnsi="Arial"/>
                <w:sz w:val="16"/>
                <w:szCs w:val="16"/>
                <w:color w:val="auto"/>
              </w:rPr>
              <w:t>e-offs</w:t>
            </w:r>
          </w:p>
        </w:tc>
        <w:tc>
          <w:tcPr>
            <w:tcW w:w="160" w:type="dxa"/>
            <w:vAlign w:val="bottom"/>
          </w:tcPr>
          <w:p>
            <w:pPr>
              <w:spacing w:after="0"/>
              <w:rPr>
                <w:sz w:val="17"/>
                <w:szCs w:val="17"/>
                <w:color w:val="auto"/>
              </w:rPr>
            </w:pPr>
          </w:p>
        </w:tc>
        <w:tc>
          <w:tcPr>
            <w:tcW w:w="540" w:type="dxa"/>
            <w:vAlign w:val="bottom"/>
          </w:tcPr>
          <w:p>
            <w:pPr>
              <w:jc w:val="right"/>
              <w:ind w:right="162"/>
              <w:spacing w:after="0"/>
              <w:rPr>
                <w:sz w:val="20"/>
                <w:szCs w:val="20"/>
                <w:color w:val="auto"/>
              </w:rPr>
            </w:pPr>
            <w:r>
              <w:rPr>
                <w:rFonts w:ascii="Arial" w:cs="Arial" w:eastAsia="Arial" w:hAnsi="Arial"/>
                <w:sz w:val="16"/>
                <w:szCs w:val="16"/>
                <w:color w:val="auto"/>
              </w:rPr>
              <w:t>ries</w:t>
            </w:r>
          </w:p>
        </w:tc>
        <w:tc>
          <w:tcPr>
            <w:tcW w:w="540" w:type="dxa"/>
            <w:vAlign w:val="bottom"/>
            <w:gridSpan w:val="2"/>
          </w:tcPr>
          <w:p>
            <w:pPr>
              <w:jc w:val="right"/>
              <w:ind w:right="82"/>
              <w:spacing w:after="0"/>
              <w:rPr>
                <w:sz w:val="20"/>
                <w:szCs w:val="20"/>
                <w:color w:val="auto"/>
              </w:rPr>
            </w:pPr>
            <w:r>
              <w:rPr>
                <w:rFonts w:ascii="Arial" w:cs="Arial" w:eastAsia="Arial" w:hAnsi="Arial"/>
                <w:sz w:val="16"/>
                <w:szCs w:val="16"/>
                <w:color w:val="auto"/>
              </w:rPr>
              <w:t>PCL</w:t>
            </w:r>
          </w:p>
        </w:tc>
        <w:tc>
          <w:tcPr>
            <w:tcW w:w="100" w:type="dxa"/>
            <w:vAlign w:val="bottom"/>
          </w:tcPr>
          <w:p>
            <w:pPr>
              <w:spacing w:after="0"/>
              <w:rPr>
                <w:sz w:val="17"/>
                <w:szCs w:val="17"/>
                <w:color w:val="auto"/>
              </w:rPr>
            </w:pPr>
          </w:p>
        </w:tc>
        <w:tc>
          <w:tcPr>
            <w:tcW w:w="680" w:type="dxa"/>
            <w:vAlign w:val="bottom"/>
          </w:tcPr>
          <w:p>
            <w:pPr>
              <w:jc w:val="center"/>
              <w:ind w:right="102"/>
              <w:spacing w:after="0"/>
              <w:rPr>
                <w:sz w:val="20"/>
                <w:szCs w:val="20"/>
                <w:color w:val="auto"/>
              </w:rPr>
            </w:pPr>
            <w:r>
              <w:rPr>
                <w:rFonts w:ascii="Arial" w:cs="Arial" w:eastAsia="Arial" w:hAnsi="Arial"/>
                <w:sz w:val="16"/>
                <w:szCs w:val="16"/>
                <w:color w:val="auto"/>
              </w:rPr>
              <w:t>3</w:t>
            </w:r>
          </w:p>
        </w:tc>
      </w:tr>
      <w:tr>
        <w:trPr>
          <w:trHeight w:val="186"/>
        </w:trPr>
        <w:tc>
          <w:tcPr>
            <w:tcW w:w="2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w w:val="96"/>
              </w:rPr>
              <w:t>1,00</w:t>
            </w: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199"/>
        </w:trPr>
        <w:tc>
          <w:tcPr>
            <w:tcW w:w="2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Specifically-identified loans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4,793</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4,793</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ind w:left="6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834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5,627</w:t>
            </w:r>
          </w:p>
        </w:tc>
        <w:tc>
          <w:tcPr>
            <w:tcW w:w="220" w:type="dxa"/>
            <w:vAlign w:val="bottom"/>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w:t>
            </w:r>
          </w:p>
        </w:tc>
        <w:tc>
          <w:tcPr>
            <w:tcW w:w="160" w:type="dxa"/>
            <w:vAlign w:val="bottom"/>
            <w:shd w:val="clear" w:color="auto" w:fill="CFF0FC"/>
          </w:tcPr>
          <w:p>
            <w:pPr>
              <w:ind w:left="60"/>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6,368</w:t>
            </w:r>
          </w:p>
        </w:tc>
      </w:tr>
      <w:tr>
        <w:trPr>
          <w:trHeight w:val="203"/>
        </w:trPr>
        <w:tc>
          <w:tcPr>
            <w:tcW w:w="2880" w:type="dxa"/>
            <w:vAlign w:val="bottom"/>
          </w:tcPr>
          <w:p>
            <w:pPr>
              <w:ind w:left="20"/>
              <w:spacing w:after="0"/>
              <w:rPr>
                <w:sz w:val="20"/>
                <w:szCs w:val="20"/>
                <w:color w:val="auto"/>
              </w:rPr>
            </w:pPr>
            <w:r>
              <w:rPr>
                <w:rFonts w:ascii="Arial" w:cs="Arial" w:eastAsia="Arial" w:hAnsi="Arial"/>
                <w:sz w:val="16"/>
                <w:szCs w:val="16"/>
                <w:color w:val="auto"/>
              </w:rPr>
              <w:t>Pooled loans under ILM</w:t>
            </w:r>
          </w:p>
        </w:tc>
        <w:tc>
          <w:tcPr>
            <w:tcW w:w="180" w:type="dxa"/>
            <w:vAlign w:val="bottom"/>
          </w:tcPr>
          <w:p>
            <w:pPr>
              <w:spacing w:after="0"/>
              <w:rPr>
                <w:sz w:val="17"/>
                <w:szCs w:val="17"/>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color w:val="auto"/>
                <w:w w:val="93"/>
              </w:rPr>
              <w:t>10,526</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7"/>
              </w:rPr>
              <w:t>(10,526)</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05"/>
        </w:trPr>
        <w:tc>
          <w:tcPr>
            <w:tcW w:w="2880" w:type="dxa"/>
            <w:vAlign w:val="bottom"/>
            <w:shd w:val="clear" w:color="auto" w:fill="CFF0FC"/>
          </w:tcPr>
          <w:p>
            <w:pPr>
              <w:ind w:left="20"/>
              <w:spacing w:after="0"/>
              <w:rPr>
                <w:sz w:val="20"/>
                <w:szCs w:val="20"/>
                <w:color w:val="auto"/>
              </w:rPr>
            </w:pPr>
            <w:r>
              <w:rPr>
                <w:rFonts w:ascii="Arial" w:cs="Arial" w:eastAsia="Arial" w:hAnsi="Arial"/>
                <w:sz w:val="16"/>
                <w:szCs w:val="16"/>
                <w:color w:val="auto"/>
                <w:w w:val="99"/>
              </w:rPr>
              <w:t>Pooled loans under CECL - Quantitative</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8,444</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8,444</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8,691</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0"/>
              </w:rPr>
              <w:t>(106 )</w:t>
            </w: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8,592</w:t>
            </w:r>
          </w:p>
        </w:tc>
      </w:tr>
      <w:tr>
        <w:trPr>
          <w:trHeight w:val="203"/>
        </w:trPr>
        <w:tc>
          <w:tcPr>
            <w:tcW w:w="2880" w:type="dxa"/>
            <w:vAlign w:val="bottom"/>
          </w:tcPr>
          <w:p>
            <w:pPr>
              <w:ind w:left="20"/>
              <w:spacing w:after="0"/>
              <w:rPr>
                <w:sz w:val="20"/>
                <w:szCs w:val="20"/>
                <w:color w:val="auto"/>
              </w:rPr>
            </w:pPr>
            <w:r>
              <w:rPr>
                <w:rFonts w:ascii="Arial" w:cs="Arial" w:eastAsia="Arial" w:hAnsi="Arial"/>
                <w:sz w:val="16"/>
                <w:szCs w:val="16"/>
                <w:color w:val="auto"/>
              </w:rPr>
              <w:t>Pooled loans under CECL - Qualitative</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3,965</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3,965</w:t>
            </w:r>
          </w:p>
        </w:tc>
        <w:tc>
          <w:tcPr>
            <w:tcW w:w="24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5"/>
              </w:rPr>
              <w:t>(397 )</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3,549</w:t>
            </w:r>
          </w:p>
        </w:tc>
        <w:tc>
          <w:tcPr>
            <w:tcW w:w="2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20" w:type="dxa"/>
            <w:vAlign w:val="bottom"/>
          </w:tcPr>
          <w:p>
            <w:pPr>
              <w:jc w:val="right"/>
              <w:ind w:right="22"/>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3,836</w:t>
            </w:r>
          </w:p>
        </w:tc>
      </w:tr>
      <w:tr>
        <w:trPr>
          <w:trHeight w:val="186"/>
        </w:trPr>
        <w:tc>
          <w:tcPr>
            <w:tcW w:w="2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w w:val="96"/>
              </w:rPr>
              <w:t>1,18</w:t>
            </w: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199"/>
        </w:trPr>
        <w:tc>
          <w:tcPr>
            <w:tcW w:w="28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Total ACL related to loans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93"/>
              </w:rPr>
              <w:t>15,319</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1,883</w:t>
            </w:r>
          </w:p>
        </w:tc>
        <w:tc>
          <w:tcPr>
            <w:tcW w:w="100" w:type="dxa"/>
            <w:vAlign w:val="bottom"/>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17,202</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119</w:t>
            </w:r>
          </w:p>
        </w:tc>
        <w:tc>
          <w:tcPr>
            <w:tcW w:w="160" w:type="dxa"/>
            <w:vAlign w:val="bottom"/>
            <w:shd w:val="clear" w:color="auto" w:fill="CFF0FC"/>
          </w:tcPr>
          <w:p>
            <w:pPr>
              <w:ind w:left="6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17,867</w:t>
            </w:r>
          </w:p>
        </w:tc>
        <w:tc>
          <w:tcPr>
            <w:tcW w:w="220" w:type="dxa"/>
            <w:vAlign w:val="bottom"/>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w:t>
            </w:r>
          </w:p>
        </w:tc>
        <w:tc>
          <w:tcPr>
            <w:tcW w:w="160" w:type="dxa"/>
            <w:vAlign w:val="bottom"/>
            <w:shd w:val="clear" w:color="auto" w:fill="CFF0FC"/>
          </w:tcPr>
          <w:p>
            <w:pPr>
              <w:ind w:left="60"/>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18,796</w:t>
            </w:r>
          </w:p>
        </w:tc>
      </w:tr>
      <w:tr>
        <w:trPr>
          <w:trHeight w:val="204"/>
        </w:trPr>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85"/>
        </w:trPr>
        <w:tc>
          <w:tcPr>
            <w:tcW w:w="2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ACL - related to held-to-maturity</w:t>
            </w: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199"/>
        </w:trPr>
        <w:tc>
          <w:tcPr>
            <w:tcW w:w="2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investments (1)</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w:t>
            </w:r>
          </w:p>
        </w:tc>
        <w:tc>
          <w:tcPr>
            <w:tcW w:w="24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421</w:t>
            </w:r>
          </w:p>
        </w:tc>
      </w:tr>
      <w:tr>
        <w:trPr>
          <w:trHeight w:val="185"/>
        </w:trPr>
        <w:tc>
          <w:tcPr>
            <w:tcW w:w="2880" w:type="dxa"/>
            <w:vAlign w:val="bottom"/>
          </w:tcPr>
          <w:p>
            <w:pPr>
              <w:ind w:left="20"/>
              <w:spacing w:after="0"/>
              <w:rPr>
                <w:sz w:val="20"/>
                <w:szCs w:val="20"/>
                <w:color w:val="auto"/>
              </w:rPr>
            </w:pPr>
            <w:r>
              <w:rPr>
                <w:rFonts w:ascii="Arial" w:cs="Arial" w:eastAsia="Arial" w:hAnsi="Arial"/>
                <w:sz w:val="16"/>
                <w:szCs w:val="16"/>
                <w:color w:val="auto"/>
              </w:rPr>
              <w:t>ACL - related to unfunded commitments</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8"/>
        </w:trPr>
        <w:tc>
          <w:tcPr>
            <w:tcW w:w="2880" w:type="dxa"/>
            <w:vAlign w:val="bottom"/>
          </w:tcPr>
          <w:p>
            <w:pPr>
              <w:ind w:left="20"/>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7"/>
                <w:szCs w:val="17"/>
                <w:color w:val="auto"/>
              </w:rPr>
            </w:pP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552</w:t>
            </w:r>
          </w:p>
        </w:tc>
        <w:tc>
          <w:tcPr>
            <w:tcW w:w="24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552</w:t>
            </w:r>
          </w:p>
        </w:tc>
        <w:tc>
          <w:tcPr>
            <w:tcW w:w="2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536</w:t>
            </w:r>
          </w:p>
        </w:tc>
      </w:tr>
      <w:tr>
        <w:trPr>
          <w:trHeight w:val="186"/>
        </w:trPr>
        <w:tc>
          <w:tcPr>
            <w:tcW w:w="2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w w:val="96"/>
              </w:rPr>
              <w:t>1,14</w:t>
            </w: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238"/>
        </w:trPr>
        <w:tc>
          <w:tcPr>
            <w:tcW w:w="28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2,885</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r>
    </w:tbl>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ind w:left="240" w:hanging="234"/>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 Reported on the Statements of Financial Condition as an adjustment to held-to-maturity investment securities</w:t>
      </w:r>
    </w:p>
    <w:p>
      <w:pPr>
        <w:spacing w:after="0" w:line="6" w:lineRule="exact"/>
        <w:rPr>
          <w:rFonts w:ascii="Arial" w:cs="Arial" w:eastAsia="Arial" w:hAnsi="Arial"/>
          <w:sz w:val="16"/>
          <w:szCs w:val="16"/>
          <w:color w:val="auto"/>
        </w:rPr>
      </w:pPr>
    </w:p>
    <w:p>
      <w:pPr>
        <w:ind w:left="240" w:hanging="234"/>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 Reported on the Statements of Financial Condition as an adjustment to other liabilities</w:t>
      </w:r>
    </w:p>
    <w:p>
      <w:pPr>
        <w:spacing w:after="0" w:line="338" w:lineRule="exact"/>
        <w:rPr>
          <w:rFonts w:ascii="Arial" w:cs="Arial" w:eastAsia="Arial" w:hAnsi="Arial"/>
          <w:sz w:val="16"/>
          <w:szCs w:val="16"/>
          <w:color w:val="auto"/>
        </w:rPr>
      </w:pPr>
    </w:p>
    <w:p>
      <w:pPr>
        <w:ind w:left="5200" w:hanging="93"/>
        <w:spacing w:after="0"/>
        <w:tabs>
          <w:tab w:leader="none" w:pos="5200" w:val="left"/>
        </w:tabs>
        <w:numPr>
          <w:ilvl w:val="1"/>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28 </w:t>
      </w:r>
      <w:r>
        <w:rPr>
          <w:rFonts w:ascii="Arial" w:cs="Arial" w:eastAsia="Arial" w:hAnsi="Arial"/>
          <w:sz w:val="16"/>
          <w:szCs w:val="16"/>
          <w:color w:val="auto"/>
        </w:rPr>
        <w:t>-</w:t>
      </w:r>
    </w:p>
    <w:p>
      <w:pPr>
        <w:sectPr>
          <w:pgSz w:w="11900" w:h="16840" w:orient="portrait"/>
          <w:cols w:equalWidth="0" w:num="1">
            <w:col w:w="10560"/>
          </w:cols>
          <w:pgMar w:left="660" w:top="1120" w:right="680" w:bottom="1440" w:gutter="0" w:footer="0" w:header="0"/>
        </w:sectPr>
      </w:pPr>
    </w:p>
    <w:bookmarkStart w:id="28" w:name="page29"/>
    <w:bookmarkEnd w:id="28"/>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Summarized in the tables below are changes in the allowance for credit losses for loans for the indicated periods and information pertaining to the allocation of the balances of the credit losses, loans receivable based on individual, and collective impairment evaluation by loan portfolio class. An allocation of a portion of the allowance to a given portfolio class does not limit the Company’s ability to absorb losses in another portfolio class.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780" w:type="dxa"/>
            <w:vAlign w:val="bottom"/>
            <w:gridSpan w:val="7"/>
          </w:tcPr>
          <w:p>
            <w:pPr>
              <w:ind w:left="940"/>
              <w:spacing w:after="0"/>
              <w:rPr>
                <w:sz w:val="20"/>
                <w:szCs w:val="20"/>
                <w:color w:val="auto"/>
              </w:rPr>
            </w:pPr>
            <w:r>
              <w:rPr>
                <w:rFonts w:ascii="Arial" w:cs="Arial" w:eastAsia="Arial" w:hAnsi="Arial"/>
                <w:sz w:val="14"/>
                <w:szCs w:val="14"/>
                <w:color w:val="auto"/>
              </w:rPr>
              <w:t>For the three months ended June 30, 2023</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1-4 family</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first-lien</w:t>
            </w:r>
          </w:p>
        </w:tc>
        <w:tc>
          <w:tcPr>
            <w:tcW w:w="24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Residential</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Paycheck</w:t>
            </w: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residential</w:t>
            </w:r>
          </w:p>
        </w:tc>
        <w:tc>
          <w:tcPr>
            <w:tcW w:w="24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construction</w:t>
            </w:r>
          </w:p>
        </w:tc>
        <w:tc>
          <w:tcPr>
            <w:tcW w:w="1100" w:type="dxa"/>
            <w:vAlign w:val="bottom"/>
            <w:gridSpan w:val="2"/>
          </w:tcPr>
          <w:p>
            <w:pPr>
              <w:jc w:val="right"/>
              <w:ind w:right="108"/>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commercial</w:t>
            </w:r>
          </w:p>
        </w:tc>
        <w:tc>
          <w:tcPr>
            <w:tcW w:w="3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Protection</w:t>
            </w:r>
          </w:p>
        </w:tc>
        <w:tc>
          <w:tcPr>
            <w:tcW w:w="0" w:type="dxa"/>
            <w:vAlign w:val="bottom"/>
          </w:tcPr>
          <w:p>
            <w:pPr>
              <w:spacing w:after="0"/>
              <w:rPr>
                <w:sz w:val="1"/>
                <w:szCs w:val="1"/>
                <w:color w:val="auto"/>
              </w:rPr>
            </w:pPr>
          </w:p>
        </w:tc>
      </w:tr>
      <w:tr>
        <w:trPr>
          <w:trHeight w:val="195"/>
        </w:trPr>
        <w:tc>
          <w:tcPr>
            <w:tcW w:w="29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mortgage</w:t>
            </w:r>
          </w:p>
        </w:tc>
        <w:tc>
          <w:tcPr>
            <w:tcW w:w="24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mortgage</w:t>
            </w:r>
          </w:p>
        </w:tc>
        <w:tc>
          <w:tcPr>
            <w:tcW w:w="22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real estate</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lines of credit</w:t>
            </w:r>
          </w:p>
        </w:tc>
        <w:tc>
          <w:tcPr>
            <w:tcW w:w="12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and industrial</w:t>
            </w:r>
          </w:p>
        </w:tc>
        <w:tc>
          <w:tcPr>
            <w:tcW w:w="3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Program</w:t>
            </w:r>
          </w:p>
        </w:tc>
        <w:tc>
          <w:tcPr>
            <w:tcW w:w="0" w:type="dxa"/>
            <w:vAlign w:val="bottom"/>
          </w:tcPr>
          <w:p>
            <w:pPr>
              <w:spacing w:after="0"/>
              <w:rPr>
                <w:sz w:val="1"/>
                <w:szCs w:val="1"/>
                <w:color w:val="auto"/>
              </w:rPr>
            </w:pPr>
          </w:p>
        </w:tc>
      </w:tr>
      <w:tr>
        <w:trPr>
          <w:trHeight w:val="195"/>
        </w:trPr>
        <w:tc>
          <w:tcPr>
            <w:tcW w:w="29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Allowance for credit losses:</w:t>
            </w:r>
          </w:p>
        </w:tc>
        <w:tc>
          <w:tcPr>
            <w:tcW w:w="3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00" w:type="dxa"/>
            <w:vAlign w:val="bottom"/>
          </w:tcPr>
          <w:p>
            <w:pPr>
              <w:ind w:left="20"/>
              <w:spacing w:after="0"/>
              <w:rPr>
                <w:sz w:val="20"/>
                <w:szCs w:val="20"/>
                <w:color w:val="auto"/>
              </w:rPr>
            </w:pPr>
            <w:r>
              <w:rPr>
                <w:rFonts w:ascii="Arial" w:cs="Arial" w:eastAsia="Arial" w:hAnsi="Arial"/>
                <w:sz w:val="14"/>
                <w:szCs w:val="14"/>
                <w:color w:val="auto"/>
              </w:rPr>
              <w:t>Beginning Balance</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1,937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700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5,182</w:t>
            </w:r>
          </w:p>
        </w:tc>
        <w:tc>
          <w:tcPr>
            <w:tcW w:w="2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2,095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5,082</w:t>
            </w:r>
          </w:p>
        </w:tc>
        <w:tc>
          <w:tcPr>
            <w:tcW w:w="100" w:type="dxa"/>
            <w:vAlign w:val="bottom"/>
          </w:tcPr>
          <w:p>
            <w:pPr>
              <w:spacing w:after="0"/>
              <w:rPr>
                <w:sz w:val="16"/>
                <w:szCs w:val="16"/>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9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Charge-offs</w:t>
            </w:r>
          </w:p>
        </w:tc>
        <w:tc>
          <w:tcPr>
            <w:tcW w:w="32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(263 )</w:t>
            </w: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900" w:type="dxa"/>
            <w:vAlign w:val="bottom"/>
          </w:tcPr>
          <w:p>
            <w:pPr>
              <w:ind w:left="180"/>
              <w:spacing w:after="0"/>
              <w:rPr>
                <w:sz w:val="20"/>
                <w:szCs w:val="20"/>
                <w:color w:val="auto"/>
              </w:rPr>
            </w:pPr>
            <w:r>
              <w:rPr>
                <w:rFonts w:ascii="Arial" w:cs="Arial" w:eastAsia="Arial" w:hAnsi="Arial"/>
                <w:sz w:val="14"/>
                <w:szCs w:val="14"/>
                <w:color w:val="auto"/>
              </w:rPr>
              <w:t>Recoveries</w:t>
            </w:r>
          </w:p>
        </w:tc>
        <w:tc>
          <w:tcPr>
            <w:tcW w:w="32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9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Provisions (credits)</w:t>
            </w:r>
          </w:p>
        </w:tc>
        <w:tc>
          <w:tcPr>
            <w:tcW w:w="32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99</w:t>
            </w: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(66 )</w:t>
            </w: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249</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525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2,036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634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5,431</w:t>
            </w: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2,620</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00" w:type="dxa"/>
            <w:vAlign w:val="bottom"/>
            <w:shd w:val="clear" w:color="auto" w:fill="CFF0FC"/>
          </w:tcPr>
          <w:p>
            <w:pPr>
              <w:ind w:left="20"/>
              <w:spacing w:after="0" w:line="151" w:lineRule="exact"/>
              <w:rPr>
                <w:sz w:val="20"/>
                <w:szCs w:val="20"/>
                <w:color w:val="auto"/>
              </w:rPr>
            </w:pPr>
            <w:r>
              <w:rPr>
                <w:rFonts w:ascii="Arial" w:cs="Arial" w:eastAsia="Arial" w:hAnsi="Arial"/>
                <w:sz w:val="14"/>
                <w:szCs w:val="14"/>
                <w:color w:val="auto"/>
              </w:rPr>
              <w:t>Ending balance: related to loans</w:t>
            </w:r>
          </w:p>
        </w:tc>
        <w:tc>
          <w:tcPr>
            <w:tcW w:w="3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individually evaluated for impairment</w:t>
            </w:r>
          </w:p>
        </w:tc>
        <w:tc>
          <w:tcPr>
            <w:tcW w:w="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127</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4,825</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1,891</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1,745</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900" w:type="dxa"/>
            <w:vAlign w:val="bottom"/>
          </w:tcPr>
          <w:p>
            <w:pPr>
              <w:ind w:left="20"/>
              <w:spacing w:after="0"/>
              <w:rPr>
                <w:sz w:val="20"/>
                <w:szCs w:val="20"/>
                <w:color w:val="auto"/>
              </w:rPr>
            </w:pPr>
            <w:r>
              <w:rPr>
                <w:rFonts w:ascii="Arial" w:cs="Arial" w:eastAsia="Arial" w:hAnsi="Arial"/>
                <w:sz w:val="14"/>
                <w:szCs w:val="14"/>
                <w:color w:val="auto"/>
              </w:rPr>
              <w:t>Ending balance: related to loans</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900" w:type="dxa"/>
            <w:vAlign w:val="bottom"/>
          </w:tcPr>
          <w:p>
            <w:pPr>
              <w:ind w:left="140"/>
              <w:spacing w:after="0"/>
              <w:rPr>
                <w:sz w:val="20"/>
                <w:szCs w:val="20"/>
                <w:color w:val="auto"/>
              </w:rPr>
            </w:pPr>
            <w:r>
              <w:rPr>
                <w:rFonts w:ascii="Arial" w:cs="Arial" w:eastAsia="Arial" w:hAnsi="Arial"/>
                <w:sz w:val="14"/>
                <w:szCs w:val="14"/>
                <w:color w:val="auto"/>
              </w:rPr>
              <w:t>collectively evaluated for impairment</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1,909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634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606</w:t>
            </w:r>
          </w:p>
        </w:tc>
        <w:tc>
          <w:tcPr>
            <w:tcW w:w="2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729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3,447</w:t>
            </w:r>
          </w:p>
        </w:tc>
        <w:tc>
          <w:tcPr>
            <w:tcW w:w="100" w:type="dxa"/>
            <w:vAlign w:val="bottom"/>
          </w:tcPr>
          <w:p>
            <w:pPr>
              <w:spacing w:after="0"/>
              <w:rPr>
                <w:sz w:val="16"/>
                <w:szCs w:val="16"/>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9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Loans receivables:</w:t>
            </w:r>
          </w:p>
        </w:tc>
        <w:tc>
          <w:tcPr>
            <w:tcW w:w="3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256,201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2,479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355,605</w:t>
            </w: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70,624</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84,581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0"/>
        </w:trPr>
        <w:tc>
          <w:tcPr>
            <w:tcW w:w="2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00" w:type="dxa"/>
            <w:vAlign w:val="bottom"/>
            <w:shd w:val="clear" w:color="auto" w:fill="CFF0FC"/>
          </w:tcPr>
          <w:p>
            <w:pPr>
              <w:ind w:left="20"/>
              <w:spacing w:after="0" w:line="151" w:lineRule="exact"/>
              <w:rPr>
                <w:sz w:val="20"/>
                <w:szCs w:val="20"/>
                <w:color w:val="auto"/>
              </w:rPr>
            </w:pPr>
            <w:r>
              <w:rPr>
                <w:rFonts w:ascii="Arial" w:cs="Arial" w:eastAsia="Arial" w:hAnsi="Arial"/>
                <w:sz w:val="14"/>
                <w:szCs w:val="14"/>
                <w:color w:val="auto"/>
              </w:rPr>
              <w:t>Ending balance: individually</w:t>
            </w:r>
          </w:p>
        </w:tc>
        <w:tc>
          <w:tcPr>
            <w:tcW w:w="3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evaluated for impairment</w:t>
            </w:r>
          </w:p>
        </w:tc>
        <w:tc>
          <w:tcPr>
            <w:tcW w:w="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1,674</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9,593</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3,236</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6,803</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900" w:type="dxa"/>
            <w:vAlign w:val="bottom"/>
          </w:tcPr>
          <w:p>
            <w:pPr>
              <w:ind w:left="20"/>
              <w:spacing w:after="0"/>
              <w:rPr>
                <w:sz w:val="20"/>
                <w:szCs w:val="20"/>
                <w:color w:val="auto"/>
              </w:rPr>
            </w:pPr>
            <w:r>
              <w:rPr>
                <w:rFonts w:ascii="Arial" w:cs="Arial" w:eastAsia="Arial" w:hAnsi="Arial"/>
                <w:sz w:val="14"/>
                <w:szCs w:val="14"/>
                <w:color w:val="auto"/>
              </w:rPr>
              <w:t>Ending balance: collectively</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00" w:type="dxa"/>
            <w:vAlign w:val="bottom"/>
          </w:tcPr>
          <w:p>
            <w:pPr>
              <w:ind w:left="140"/>
              <w:spacing w:after="0"/>
              <w:rPr>
                <w:sz w:val="20"/>
                <w:szCs w:val="20"/>
                <w:color w:val="auto"/>
              </w:rPr>
            </w:pPr>
            <w:r>
              <w:rPr>
                <w:rFonts w:ascii="Arial" w:cs="Arial" w:eastAsia="Arial" w:hAnsi="Arial"/>
                <w:sz w:val="14"/>
                <w:szCs w:val="14"/>
                <w:color w:val="auto"/>
              </w:rPr>
              <w:t>evaluated for impairment</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254,527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2,479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346,012</w:t>
            </w:r>
          </w:p>
        </w:tc>
        <w:tc>
          <w:tcPr>
            <w:tcW w:w="2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67,388</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77,778</w:t>
            </w:r>
          </w:p>
        </w:tc>
        <w:tc>
          <w:tcPr>
            <w:tcW w:w="100" w:type="dxa"/>
            <w:vAlign w:val="bottom"/>
          </w:tcPr>
          <w:p>
            <w:pPr>
              <w:spacing w:after="0"/>
              <w:rPr>
                <w:sz w:val="15"/>
                <w:szCs w:val="15"/>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384"/>
        </w:trPr>
        <w:tc>
          <w:tcPr>
            <w:tcW w:w="2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Home equity</w:t>
            </w:r>
          </w:p>
        </w:tc>
        <w:tc>
          <w:tcPr>
            <w:tcW w:w="22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Tax exempt</w:t>
            </w:r>
          </w:p>
        </w:tc>
        <w:tc>
          <w:tcPr>
            <w:tcW w:w="240" w:type="dxa"/>
            <w:vAlign w:val="bottom"/>
          </w:tcPr>
          <w:p>
            <w:pPr>
              <w:spacing w:after="0"/>
              <w:rPr>
                <w:sz w:val="16"/>
                <w:szCs w:val="16"/>
                <w:color w:val="auto"/>
              </w:rPr>
            </w:pPr>
          </w:p>
        </w:tc>
        <w:tc>
          <w:tcPr>
            <w:tcW w:w="1160" w:type="dxa"/>
            <w:vAlign w:val="bottom"/>
            <w:vMerge w:val="restart"/>
          </w:tcPr>
          <w:p>
            <w:pPr>
              <w:jc w:val="right"/>
              <w:ind w:right="108"/>
              <w:spacing w:after="0"/>
              <w:rPr>
                <w:sz w:val="20"/>
                <w:szCs w:val="20"/>
                <w:color w:val="auto"/>
              </w:rPr>
            </w:pPr>
            <w:r>
              <w:rPr>
                <w:rFonts w:ascii="Arial" w:cs="Arial" w:eastAsia="Arial" w:hAnsi="Arial"/>
                <w:sz w:val="14"/>
                <w:szCs w:val="14"/>
                <w:color w:val="auto"/>
              </w:rPr>
              <w:t>and junior liens</w:t>
            </w:r>
          </w:p>
        </w:tc>
        <w:tc>
          <w:tcPr>
            <w:tcW w:w="220" w:type="dxa"/>
            <w:vAlign w:val="bottom"/>
          </w:tcPr>
          <w:p>
            <w:pPr>
              <w:spacing w:after="0"/>
              <w:rPr>
                <w:sz w:val="16"/>
                <w:szCs w:val="16"/>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Consumer</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9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Allowance for credit losses:</w:t>
            </w:r>
          </w:p>
        </w:tc>
        <w:tc>
          <w:tcPr>
            <w:tcW w:w="3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00" w:type="dxa"/>
            <w:vAlign w:val="bottom"/>
          </w:tcPr>
          <w:p>
            <w:pPr>
              <w:ind w:left="20"/>
              <w:spacing w:after="0"/>
              <w:rPr>
                <w:sz w:val="20"/>
                <w:szCs w:val="20"/>
                <w:color w:val="auto"/>
              </w:rPr>
            </w:pPr>
            <w:r>
              <w:rPr>
                <w:rFonts w:ascii="Arial" w:cs="Arial" w:eastAsia="Arial" w:hAnsi="Arial"/>
                <w:sz w:val="14"/>
                <w:szCs w:val="14"/>
                <w:color w:val="auto"/>
              </w:rPr>
              <w:t>Beginning Balance</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723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2,135</w:t>
            </w:r>
          </w:p>
        </w:tc>
        <w:tc>
          <w:tcPr>
            <w:tcW w:w="2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17,869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Charge-offs</w:t>
            </w:r>
          </w:p>
        </w:tc>
        <w:tc>
          <w:tcPr>
            <w:tcW w:w="32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(109 )</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(372 )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00" w:type="dxa"/>
            <w:vAlign w:val="bottom"/>
          </w:tcPr>
          <w:p>
            <w:pPr>
              <w:ind w:left="180"/>
              <w:spacing w:after="0"/>
              <w:rPr>
                <w:sz w:val="20"/>
                <w:szCs w:val="20"/>
                <w:color w:val="auto"/>
              </w:rPr>
            </w:pPr>
            <w:r>
              <w:rPr>
                <w:rFonts w:ascii="Arial" w:cs="Arial" w:eastAsia="Arial" w:hAnsi="Arial"/>
                <w:sz w:val="14"/>
                <w:szCs w:val="14"/>
                <w:color w:val="auto"/>
              </w:rPr>
              <w:t>Recoveries</w:t>
            </w:r>
          </w:p>
        </w:tc>
        <w:tc>
          <w:tcPr>
            <w:tcW w:w="32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52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0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Provisions (credits)</w:t>
            </w:r>
          </w:p>
        </w:tc>
        <w:tc>
          <w:tcPr>
            <w:tcW w:w="3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(41 )</w:t>
            </w: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108</w:t>
            </w:r>
          </w:p>
        </w:tc>
        <w:tc>
          <w:tcPr>
            <w:tcW w:w="2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00" w:type="dxa"/>
            <w:vAlign w:val="bottom"/>
            <w:vMerge w:val="restart"/>
          </w:tcPr>
          <w:p>
            <w:pPr>
              <w:ind w:left="20"/>
              <w:spacing w:after="0"/>
              <w:rPr>
                <w:sz w:val="20"/>
                <w:szCs w:val="20"/>
                <w:color w:val="auto"/>
              </w:rPr>
            </w:pPr>
            <w:r>
              <w:rPr>
                <w:rFonts w:ascii="Arial" w:cs="Arial" w:eastAsia="Arial" w:hAnsi="Arial"/>
                <w:sz w:val="14"/>
                <w:szCs w:val="14"/>
                <w:color w:val="auto"/>
              </w:rPr>
              <w:t>Ending balance</w:t>
            </w:r>
          </w:p>
        </w:tc>
        <w:tc>
          <w:tcPr>
            <w:tcW w:w="3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15</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88"/>
              <w:spacing w:after="0"/>
              <w:rPr>
                <w:sz w:val="20"/>
                <w:szCs w:val="20"/>
                <w:color w:val="auto"/>
              </w:rPr>
            </w:pPr>
            <w:r>
              <w:rPr>
                <w:rFonts w:ascii="Arial" w:cs="Arial" w:eastAsia="Arial" w:hAnsi="Arial"/>
                <w:sz w:val="14"/>
                <w:szCs w:val="14"/>
                <w:color w:val="auto"/>
              </w:rPr>
              <w:t>682</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2,186</w:t>
            </w:r>
          </w:p>
        </w:tc>
        <w:tc>
          <w:tcPr>
            <w:tcW w:w="22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18,796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2900" w:type="dxa"/>
            <w:vAlign w:val="bottom"/>
            <w:tcBorders>
              <w:bottom w:val="single" w:sz="8" w:color="auto"/>
            </w:tcBorders>
            <w:vMerge w:val="continue"/>
          </w:tcPr>
          <w:p>
            <w:pPr>
              <w:spacing w:after="0"/>
              <w:rPr>
                <w:sz w:val="7"/>
                <w:szCs w:val="7"/>
                <w:color w:val="auto"/>
              </w:rPr>
            </w:pPr>
          </w:p>
        </w:tc>
        <w:tc>
          <w:tcPr>
            <w:tcW w:w="320" w:type="dxa"/>
            <w:vAlign w:val="bottom"/>
            <w:tcBorders>
              <w:bottom w:val="single" w:sz="8" w:color="auto"/>
            </w:tcBorders>
            <w:vMerge w:val="continue"/>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240" w:type="dxa"/>
            <w:vAlign w:val="bottom"/>
            <w:tcBorders>
              <w:bottom w:val="single" w:sz="8" w:color="auto"/>
            </w:tcBorders>
            <w:vMerge w:val="continue"/>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tcBorders>
            <w:vMerge w:val="continue"/>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vMerge w:val="continue"/>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00" w:type="dxa"/>
            <w:vAlign w:val="bottom"/>
            <w:shd w:val="clear" w:color="auto" w:fill="CFF0FC"/>
          </w:tcPr>
          <w:p>
            <w:pPr>
              <w:ind w:left="20"/>
              <w:spacing w:after="0" w:line="151" w:lineRule="exact"/>
              <w:rPr>
                <w:sz w:val="20"/>
                <w:szCs w:val="20"/>
                <w:color w:val="auto"/>
              </w:rPr>
            </w:pPr>
            <w:r>
              <w:rPr>
                <w:rFonts w:ascii="Arial" w:cs="Arial" w:eastAsia="Arial" w:hAnsi="Arial"/>
                <w:sz w:val="14"/>
                <w:szCs w:val="14"/>
                <w:color w:val="auto"/>
              </w:rPr>
              <w:t>Ending balance: related to loans</w:t>
            </w:r>
          </w:p>
        </w:tc>
        <w:tc>
          <w:tcPr>
            <w:tcW w:w="3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individually evaluated for impairment</w:t>
            </w:r>
          </w:p>
        </w:tc>
        <w:tc>
          <w:tcPr>
            <w:tcW w:w="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114</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8,702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20"/>
              <w:spacing w:after="0"/>
              <w:rPr>
                <w:sz w:val="20"/>
                <w:szCs w:val="20"/>
                <w:color w:val="auto"/>
              </w:rPr>
            </w:pPr>
            <w:r>
              <w:rPr>
                <w:rFonts w:ascii="Arial" w:cs="Arial" w:eastAsia="Arial" w:hAnsi="Arial"/>
                <w:sz w:val="14"/>
                <w:szCs w:val="14"/>
                <w:color w:val="auto"/>
              </w:rPr>
              <w:t>Ending balance: related to loans</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900" w:type="dxa"/>
            <w:vAlign w:val="bottom"/>
          </w:tcPr>
          <w:p>
            <w:pPr>
              <w:ind w:left="140"/>
              <w:spacing w:after="0"/>
              <w:rPr>
                <w:sz w:val="20"/>
                <w:szCs w:val="20"/>
                <w:color w:val="auto"/>
              </w:rPr>
            </w:pPr>
            <w:r>
              <w:rPr>
                <w:rFonts w:ascii="Arial" w:cs="Arial" w:eastAsia="Arial" w:hAnsi="Arial"/>
                <w:sz w:val="14"/>
                <w:szCs w:val="14"/>
                <w:color w:val="auto"/>
              </w:rPr>
              <w:t>collectively evaluated for impairment</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568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2,186</w:t>
            </w:r>
          </w:p>
        </w:tc>
        <w:tc>
          <w:tcPr>
            <w:tcW w:w="2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10,094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Loans receivables:</w:t>
            </w:r>
          </w:p>
        </w:tc>
        <w:tc>
          <w:tcPr>
            <w:tcW w:w="3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3,963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34,028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84,646</w:t>
            </w: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892,308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00" w:type="dxa"/>
            <w:vAlign w:val="bottom"/>
            <w:shd w:val="clear" w:color="auto" w:fill="CFF0FC"/>
          </w:tcPr>
          <w:p>
            <w:pPr>
              <w:ind w:left="20"/>
              <w:spacing w:after="0" w:line="151" w:lineRule="exact"/>
              <w:rPr>
                <w:sz w:val="20"/>
                <w:szCs w:val="20"/>
                <w:color w:val="auto"/>
              </w:rPr>
            </w:pPr>
            <w:r>
              <w:rPr>
                <w:rFonts w:ascii="Arial" w:cs="Arial" w:eastAsia="Arial" w:hAnsi="Arial"/>
                <w:sz w:val="14"/>
                <w:szCs w:val="14"/>
                <w:color w:val="auto"/>
              </w:rPr>
              <w:t>Ending balance: individually</w:t>
            </w:r>
          </w:p>
        </w:tc>
        <w:tc>
          <w:tcPr>
            <w:tcW w:w="3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evaluated for impairment</w:t>
            </w:r>
          </w:p>
        </w:tc>
        <w:tc>
          <w:tcPr>
            <w:tcW w:w="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619</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21,925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900" w:type="dxa"/>
            <w:vAlign w:val="bottom"/>
          </w:tcPr>
          <w:p>
            <w:pPr>
              <w:ind w:left="20"/>
              <w:spacing w:after="0"/>
              <w:rPr>
                <w:sz w:val="20"/>
                <w:szCs w:val="20"/>
                <w:color w:val="auto"/>
              </w:rPr>
            </w:pPr>
            <w:r>
              <w:rPr>
                <w:rFonts w:ascii="Arial" w:cs="Arial" w:eastAsia="Arial" w:hAnsi="Arial"/>
                <w:sz w:val="14"/>
                <w:szCs w:val="14"/>
                <w:color w:val="auto"/>
              </w:rPr>
              <w:t>Ending balance: collectively</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00" w:type="dxa"/>
            <w:vAlign w:val="bottom"/>
          </w:tcPr>
          <w:p>
            <w:pPr>
              <w:ind w:left="140"/>
              <w:spacing w:after="0"/>
              <w:rPr>
                <w:sz w:val="20"/>
                <w:szCs w:val="20"/>
                <w:color w:val="auto"/>
              </w:rPr>
            </w:pPr>
            <w:r>
              <w:rPr>
                <w:rFonts w:ascii="Arial" w:cs="Arial" w:eastAsia="Arial" w:hAnsi="Arial"/>
                <w:sz w:val="14"/>
                <w:szCs w:val="14"/>
                <w:color w:val="auto"/>
              </w:rPr>
              <w:t>evaluated for impairment</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3,963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33,409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84,646</w:t>
            </w:r>
          </w:p>
        </w:tc>
        <w:tc>
          <w:tcPr>
            <w:tcW w:w="2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870,383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29</w:t>
      </w:r>
      <w:r>
        <w:rPr>
          <w:rFonts w:ascii="Arial" w:cs="Arial" w:eastAsia="Arial" w:hAnsi="Arial"/>
          <w:sz w:val="16"/>
          <w:szCs w:val="16"/>
          <w:color w:val="auto"/>
        </w:rPr>
        <w:t xml:space="preserve"> -</w:t>
      </w:r>
    </w:p>
    <w:p>
      <w:pPr>
        <w:sectPr>
          <w:pgSz w:w="11900" w:h="16840" w:orient="portrait"/>
          <w:cols w:equalWidth="0" w:num="1">
            <w:col w:w="10560"/>
          </w:cols>
          <w:pgMar w:left="660" w:top="959" w:right="68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2"/>
        </w:trPr>
        <w:tc>
          <w:tcPr>
            <w:tcW w:w="3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700" w:type="dxa"/>
            <w:vAlign w:val="bottom"/>
            <w:gridSpan w:val="5"/>
          </w:tcPr>
          <w:p>
            <w:pPr>
              <w:jc w:val="right"/>
              <w:ind w:right="728"/>
              <w:spacing w:after="0"/>
              <w:rPr>
                <w:sz w:val="20"/>
                <w:szCs w:val="20"/>
                <w:color w:val="auto"/>
              </w:rPr>
            </w:pPr>
            <w:r>
              <w:rPr>
                <w:rFonts w:ascii="Arial" w:cs="Arial" w:eastAsia="Arial" w:hAnsi="Arial"/>
                <w:sz w:val="14"/>
                <w:szCs w:val="14"/>
                <w:color w:val="auto"/>
              </w:rPr>
              <w:t>For the six months ended June 30, 2023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2"/>
        </w:trPr>
        <w:tc>
          <w:tcPr>
            <w:tcW w:w="3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1-4 family</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2"/>
        </w:trPr>
        <w:tc>
          <w:tcPr>
            <w:tcW w:w="3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first-lien</w:t>
            </w:r>
          </w:p>
        </w:tc>
        <w:tc>
          <w:tcPr>
            <w:tcW w:w="46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Residential</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Other</w:t>
            </w:r>
          </w:p>
        </w:tc>
      </w:tr>
      <w:tr>
        <w:trPr>
          <w:trHeight w:val="192"/>
        </w:trPr>
        <w:tc>
          <w:tcPr>
            <w:tcW w:w="3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residential</w:t>
            </w:r>
          </w:p>
        </w:tc>
        <w:tc>
          <w:tcPr>
            <w:tcW w:w="46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construction</w:t>
            </w:r>
          </w:p>
        </w:tc>
        <w:tc>
          <w:tcPr>
            <w:tcW w:w="200" w:type="dxa"/>
            <w:vAlign w:val="bottom"/>
          </w:tcPr>
          <w:p>
            <w:pPr>
              <w:spacing w:after="0"/>
              <w:rPr>
                <w:sz w:val="16"/>
                <w:szCs w:val="16"/>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Commercial</w:t>
            </w:r>
          </w:p>
        </w:tc>
        <w:tc>
          <w:tcPr>
            <w:tcW w:w="26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Commercial</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commercial</w:t>
            </w:r>
          </w:p>
        </w:tc>
      </w:tr>
      <w:tr>
        <w:trPr>
          <w:trHeight w:val="195"/>
        </w:trPr>
        <w:tc>
          <w:tcPr>
            <w:tcW w:w="31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80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mortgage</w:t>
            </w:r>
          </w:p>
        </w:tc>
        <w:tc>
          <w:tcPr>
            <w:tcW w:w="46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mortgage</w:t>
            </w:r>
          </w:p>
        </w:tc>
        <w:tc>
          <w:tcPr>
            <w:tcW w:w="200" w:type="dxa"/>
            <w:vAlign w:val="bottom"/>
          </w:tcPr>
          <w:p>
            <w:pPr>
              <w:spacing w:after="0"/>
              <w:rPr>
                <w:sz w:val="16"/>
                <w:szCs w:val="16"/>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real estate</w:t>
            </w:r>
          </w:p>
        </w:tc>
        <w:tc>
          <w:tcPr>
            <w:tcW w:w="26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lines of credit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and industrial</w:t>
            </w:r>
          </w:p>
        </w:tc>
      </w:tr>
      <w:tr>
        <w:trPr>
          <w:trHeight w:val="195"/>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Allowance for credit losses:</w:t>
            </w:r>
          </w:p>
        </w:tc>
        <w:tc>
          <w:tcPr>
            <w:tcW w:w="8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r>
      <w:tr>
        <w:trPr>
          <w:trHeight w:val="189"/>
        </w:trPr>
        <w:tc>
          <w:tcPr>
            <w:tcW w:w="3180" w:type="dxa"/>
            <w:vAlign w:val="bottom"/>
          </w:tcPr>
          <w:p>
            <w:pPr>
              <w:ind w:left="20"/>
              <w:spacing w:after="0"/>
              <w:rPr>
                <w:sz w:val="20"/>
                <w:szCs w:val="20"/>
                <w:color w:val="auto"/>
              </w:rPr>
            </w:pPr>
            <w:r>
              <w:rPr>
                <w:rFonts w:ascii="Arial" w:cs="Arial" w:eastAsia="Arial" w:hAnsi="Arial"/>
                <w:sz w:val="14"/>
                <w:szCs w:val="14"/>
                <w:color w:val="auto"/>
              </w:rPr>
              <w:t>Beginning Balance</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714</w:t>
            </w:r>
          </w:p>
        </w:tc>
        <w:tc>
          <w:tcPr>
            <w:tcW w:w="460" w:type="dxa"/>
            <w:vAlign w:val="bottom"/>
          </w:tcPr>
          <w:p>
            <w:pPr>
              <w:jc w:val="right"/>
              <w:ind w:right="187"/>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5,881</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3,990</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2,944</w:t>
            </w:r>
          </w:p>
        </w:tc>
      </w:tr>
      <w:tr>
        <w:trPr>
          <w:trHeight w:val="195"/>
        </w:trPr>
        <w:tc>
          <w:tcPr>
            <w:tcW w:w="31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Adoption of New Accounting Standard</w:t>
            </w:r>
          </w:p>
        </w:tc>
        <w:tc>
          <w:tcPr>
            <w:tcW w:w="8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1,396</w:t>
            </w:r>
          </w:p>
        </w:tc>
        <w:tc>
          <w:tcPr>
            <w:tcW w:w="4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969</w:t>
            </w:r>
          </w:p>
        </w:tc>
        <w:tc>
          <w:tcPr>
            <w:tcW w:w="20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(1,744 )</w:t>
            </w: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95</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w:t>
            </w:r>
          </w:p>
        </w:tc>
      </w:tr>
      <w:tr>
        <w:trPr>
          <w:trHeight w:val="189"/>
        </w:trPr>
        <w:tc>
          <w:tcPr>
            <w:tcW w:w="3180" w:type="dxa"/>
            <w:vAlign w:val="bottom"/>
          </w:tcPr>
          <w:p>
            <w:pPr>
              <w:ind w:left="180"/>
              <w:spacing w:after="0"/>
              <w:rPr>
                <w:sz w:val="20"/>
                <w:szCs w:val="20"/>
                <w:color w:val="auto"/>
              </w:rPr>
            </w:pPr>
            <w:r>
              <w:rPr>
                <w:rFonts w:ascii="Arial" w:cs="Arial" w:eastAsia="Arial" w:hAnsi="Arial"/>
                <w:sz w:val="14"/>
                <w:szCs w:val="14"/>
                <w:color w:val="auto"/>
              </w:rPr>
              <w:t>Charge-offs</w:t>
            </w:r>
          </w:p>
        </w:tc>
        <w:tc>
          <w:tcPr>
            <w:tcW w:w="80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(299 )</w:t>
            </w:r>
          </w:p>
        </w:tc>
      </w:tr>
      <w:tr>
        <w:trPr>
          <w:trHeight w:val="195"/>
        </w:trPr>
        <w:tc>
          <w:tcPr>
            <w:tcW w:w="31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Recoveries</w:t>
            </w:r>
          </w:p>
        </w:tc>
        <w:tc>
          <w:tcPr>
            <w:tcW w:w="8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126</w:t>
            </w:r>
          </w:p>
        </w:tc>
      </w:tr>
      <w:tr>
        <w:trPr>
          <w:trHeight w:val="189"/>
        </w:trPr>
        <w:tc>
          <w:tcPr>
            <w:tcW w:w="3180" w:type="dxa"/>
            <w:vAlign w:val="bottom"/>
          </w:tcPr>
          <w:p>
            <w:pPr>
              <w:ind w:left="180"/>
              <w:spacing w:after="0"/>
              <w:rPr>
                <w:sz w:val="20"/>
                <w:szCs w:val="20"/>
                <w:color w:val="auto"/>
              </w:rPr>
            </w:pPr>
            <w:r>
              <w:rPr>
                <w:rFonts w:ascii="Arial" w:cs="Arial" w:eastAsia="Arial" w:hAnsi="Arial"/>
                <w:sz w:val="14"/>
                <w:szCs w:val="14"/>
                <w:color w:val="auto"/>
              </w:rPr>
              <w:t>Provisions</w:t>
            </w:r>
          </w:p>
        </w:tc>
        <w:tc>
          <w:tcPr>
            <w:tcW w:w="8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(74 )</w:t>
            </w:r>
          </w:p>
        </w:tc>
        <w:tc>
          <w:tcPr>
            <w:tcW w:w="46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(335 )</w:t>
            </w:r>
          </w:p>
        </w:tc>
        <w:tc>
          <w:tcPr>
            <w:tcW w:w="200" w:type="dxa"/>
            <w:vAlign w:val="bottom"/>
          </w:tcPr>
          <w:p>
            <w:pPr>
              <w:spacing w:after="0"/>
              <w:rPr>
                <w:sz w:val="16"/>
                <w:szCs w:val="16"/>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1,294</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(1,465 )</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2,411</w:t>
            </w:r>
          </w:p>
        </w:tc>
      </w:tr>
      <w:tr>
        <w:trPr>
          <w:trHeight w:val="232"/>
        </w:trPr>
        <w:tc>
          <w:tcPr>
            <w:tcW w:w="3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Ending balance</w:t>
            </w:r>
          </w:p>
        </w:tc>
        <w:tc>
          <w:tcPr>
            <w:tcW w:w="8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2,036</w:t>
            </w:r>
          </w:p>
        </w:tc>
        <w:tc>
          <w:tcPr>
            <w:tcW w:w="46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634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5,431</w:t>
            </w:r>
          </w:p>
        </w:tc>
        <w:tc>
          <w:tcPr>
            <w:tcW w:w="2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2,620</w:t>
            </w:r>
          </w:p>
        </w:tc>
        <w:tc>
          <w:tcPr>
            <w:tcW w:w="32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5,192</w:t>
            </w:r>
          </w:p>
        </w:tc>
      </w:tr>
      <w:tr>
        <w:trPr>
          <w:trHeight w:val="547"/>
        </w:trPr>
        <w:tc>
          <w:tcPr>
            <w:tcW w:w="3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gridSpan w:val="2"/>
          </w:tcPr>
          <w:p>
            <w:pPr>
              <w:jc w:val="right"/>
              <w:ind w:right="108"/>
              <w:spacing w:after="0"/>
              <w:rPr>
                <w:sz w:val="20"/>
                <w:szCs w:val="20"/>
                <w:color w:val="auto"/>
              </w:rPr>
            </w:pPr>
            <w:r>
              <w:rPr>
                <w:rFonts w:ascii="Arial" w:cs="Arial" w:eastAsia="Arial" w:hAnsi="Arial"/>
                <w:sz w:val="14"/>
                <w:szCs w:val="14"/>
                <w:color w:val="auto"/>
              </w:rPr>
              <w:t>Home equity and</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3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Tax exempt</w:t>
            </w:r>
          </w:p>
        </w:tc>
        <w:tc>
          <w:tcPr>
            <w:tcW w:w="46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junior liens</w:t>
            </w:r>
          </w:p>
        </w:tc>
        <w:tc>
          <w:tcPr>
            <w:tcW w:w="200" w:type="dxa"/>
            <w:vAlign w:val="bottom"/>
          </w:tcPr>
          <w:p>
            <w:pPr>
              <w:spacing w:after="0"/>
              <w:rPr>
                <w:sz w:val="15"/>
                <w:szCs w:val="15"/>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Other consumer</w:t>
            </w:r>
          </w:p>
        </w:tc>
        <w:tc>
          <w:tcPr>
            <w:tcW w:w="2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0"/>
        </w:trPr>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Allowance for credit losses:</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4"/>
        </w:trPr>
        <w:tc>
          <w:tcPr>
            <w:tcW w:w="3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Beginning Balance</w:t>
            </w:r>
          </w:p>
        </w:tc>
        <w:tc>
          <w:tcPr>
            <w:tcW w:w="8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w:t>
            </w:r>
          </w:p>
        </w:tc>
        <w:tc>
          <w:tcPr>
            <w:tcW w:w="460" w:type="dxa"/>
            <w:vAlign w:val="bottom"/>
            <w:shd w:val="clear" w:color="auto" w:fill="CFF0FC"/>
          </w:tcPr>
          <w:p>
            <w:pPr>
              <w:jc w:val="right"/>
              <w:ind w:right="187"/>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741</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1,046</w:t>
            </w: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15,319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1"/>
        </w:trPr>
        <w:tc>
          <w:tcPr>
            <w:tcW w:w="3180" w:type="dxa"/>
            <w:vAlign w:val="bottom"/>
          </w:tcPr>
          <w:p>
            <w:pPr>
              <w:ind w:left="180"/>
              <w:spacing w:after="0"/>
              <w:rPr>
                <w:sz w:val="20"/>
                <w:szCs w:val="20"/>
                <w:color w:val="auto"/>
              </w:rPr>
            </w:pPr>
            <w:r>
              <w:rPr>
                <w:rFonts w:ascii="Arial" w:cs="Arial" w:eastAsia="Arial" w:hAnsi="Arial"/>
                <w:sz w:val="14"/>
                <w:szCs w:val="14"/>
                <w:color w:val="auto"/>
              </w:rPr>
              <w:t>Adoption of New Accounting Standard</w:t>
            </w:r>
          </w:p>
        </w:tc>
        <w:tc>
          <w:tcPr>
            <w:tcW w:w="80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46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(97 )</w:t>
            </w:r>
          </w:p>
        </w:tc>
        <w:tc>
          <w:tcPr>
            <w:tcW w:w="200" w:type="dxa"/>
            <w:vAlign w:val="bottom"/>
          </w:tcPr>
          <w:p>
            <w:pPr>
              <w:spacing w:after="0"/>
              <w:rPr>
                <w:sz w:val="17"/>
                <w:szCs w:val="17"/>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1,243</w:t>
            </w:r>
          </w:p>
        </w:tc>
        <w:tc>
          <w:tcPr>
            <w:tcW w:w="26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1,886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7"/>
        </w:trPr>
        <w:tc>
          <w:tcPr>
            <w:tcW w:w="31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Charge-offs</w:t>
            </w:r>
          </w:p>
        </w:tc>
        <w:tc>
          <w:tcPr>
            <w:tcW w:w="8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(193 )</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(492 )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1"/>
        </w:trPr>
        <w:tc>
          <w:tcPr>
            <w:tcW w:w="3180" w:type="dxa"/>
            <w:vAlign w:val="bottom"/>
          </w:tcPr>
          <w:p>
            <w:pPr>
              <w:ind w:left="180"/>
              <w:spacing w:after="0"/>
              <w:rPr>
                <w:sz w:val="20"/>
                <w:szCs w:val="20"/>
                <w:color w:val="auto"/>
              </w:rPr>
            </w:pPr>
            <w:r>
              <w:rPr>
                <w:rFonts w:ascii="Arial" w:cs="Arial" w:eastAsia="Arial" w:hAnsi="Arial"/>
                <w:sz w:val="14"/>
                <w:szCs w:val="14"/>
                <w:color w:val="auto"/>
              </w:rPr>
              <w:t>Recoveries</w:t>
            </w:r>
          </w:p>
        </w:tc>
        <w:tc>
          <w:tcPr>
            <w:tcW w:w="80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80</w:t>
            </w:r>
          </w:p>
        </w:tc>
        <w:tc>
          <w:tcPr>
            <w:tcW w:w="26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7"/>
        </w:trPr>
        <w:tc>
          <w:tcPr>
            <w:tcW w:w="31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Provisions</w:t>
            </w:r>
          </w:p>
        </w:tc>
        <w:tc>
          <w:tcPr>
            <w:tcW w:w="8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(2 )</w:t>
            </w:r>
          </w:p>
        </w:tc>
        <w:tc>
          <w:tcPr>
            <w:tcW w:w="4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38</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1,877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1"/>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w:t>
            </w:r>
          </w:p>
        </w:tc>
        <w:tc>
          <w:tcPr>
            <w:tcW w:w="46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682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2,186</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18,796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61"/>
        </w:trPr>
        <w:tc>
          <w:tcPr>
            <w:tcW w:w="3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30</w:t>
            </w:r>
            <w:r>
              <w:rPr>
                <w:rFonts w:ascii="Arial" w:cs="Arial" w:eastAsia="Arial" w:hAnsi="Arial"/>
                <w:sz w:val="16"/>
                <w:szCs w:val="16"/>
                <w:color w:val="auto"/>
              </w:rPr>
              <w:t xml:space="preserve"> -</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86"/>
        </w:trPr>
        <w:tc>
          <w:tcPr>
            <w:tcW w:w="3180" w:type="dxa"/>
            <w:vAlign w:val="bottom"/>
            <w:tcBorders>
              <w:bottom w:val="single" w:sz="8" w:color="EEEEEE"/>
            </w:tcBorders>
          </w:tcPr>
          <w:p>
            <w:pPr>
              <w:spacing w:after="0"/>
              <w:rPr>
                <w:sz w:val="7"/>
                <w:szCs w:val="7"/>
                <w:color w:val="auto"/>
              </w:rPr>
            </w:pPr>
          </w:p>
        </w:tc>
        <w:tc>
          <w:tcPr>
            <w:tcW w:w="800" w:type="dxa"/>
            <w:vAlign w:val="bottom"/>
            <w:tcBorders>
              <w:bottom w:val="single" w:sz="8" w:color="EEEEEE"/>
            </w:tcBorders>
          </w:tcPr>
          <w:p>
            <w:pPr>
              <w:spacing w:after="0"/>
              <w:rPr>
                <w:sz w:val="7"/>
                <w:szCs w:val="7"/>
                <w:color w:val="auto"/>
              </w:rPr>
            </w:pPr>
          </w:p>
        </w:tc>
        <w:tc>
          <w:tcPr>
            <w:tcW w:w="1060" w:type="dxa"/>
            <w:vAlign w:val="bottom"/>
            <w:tcBorders>
              <w:bottom w:val="single" w:sz="8" w:color="EEEEEE"/>
            </w:tcBorders>
          </w:tcPr>
          <w:p>
            <w:pPr>
              <w:spacing w:after="0"/>
              <w:rPr>
                <w:sz w:val="7"/>
                <w:szCs w:val="7"/>
                <w:color w:val="auto"/>
              </w:rPr>
            </w:pPr>
          </w:p>
        </w:tc>
        <w:tc>
          <w:tcPr>
            <w:tcW w:w="460" w:type="dxa"/>
            <w:vAlign w:val="bottom"/>
            <w:tcBorders>
              <w:bottom w:val="single" w:sz="8" w:color="EEEEEE"/>
            </w:tcBorders>
          </w:tcPr>
          <w:p>
            <w:pPr>
              <w:spacing w:after="0"/>
              <w:rPr>
                <w:sz w:val="7"/>
                <w:szCs w:val="7"/>
                <w:color w:val="auto"/>
              </w:rPr>
            </w:pPr>
          </w:p>
        </w:tc>
        <w:tc>
          <w:tcPr>
            <w:tcW w:w="98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1200" w:type="dxa"/>
            <w:vAlign w:val="bottom"/>
            <w:tcBorders>
              <w:bottom w:val="single" w:sz="8" w:color="EEEEEE"/>
            </w:tcBorders>
          </w:tcPr>
          <w:p>
            <w:pPr>
              <w:spacing w:after="0"/>
              <w:rPr>
                <w:sz w:val="7"/>
                <w:szCs w:val="7"/>
                <w:color w:val="auto"/>
              </w:rPr>
            </w:pPr>
          </w:p>
        </w:tc>
        <w:tc>
          <w:tcPr>
            <w:tcW w:w="260" w:type="dxa"/>
            <w:vAlign w:val="bottom"/>
            <w:tcBorders>
              <w:bottom w:val="single" w:sz="8" w:color="EEEEEE"/>
            </w:tcBorders>
          </w:tcPr>
          <w:p>
            <w:pPr>
              <w:spacing w:after="0"/>
              <w:rPr>
                <w:sz w:val="7"/>
                <w:szCs w:val="7"/>
                <w:color w:val="auto"/>
              </w:rPr>
            </w:pPr>
          </w:p>
        </w:tc>
        <w:tc>
          <w:tcPr>
            <w:tcW w:w="1060" w:type="dxa"/>
            <w:vAlign w:val="bottom"/>
            <w:tcBorders>
              <w:bottom w:val="single" w:sz="8" w:color="EEEEEE"/>
            </w:tcBorders>
          </w:tcPr>
          <w:p>
            <w:pPr>
              <w:spacing w:after="0"/>
              <w:rPr>
                <w:sz w:val="7"/>
                <w:szCs w:val="7"/>
                <w:color w:val="auto"/>
              </w:rPr>
            </w:pPr>
          </w:p>
        </w:tc>
        <w:tc>
          <w:tcPr>
            <w:tcW w:w="140" w:type="dxa"/>
            <w:vAlign w:val="bottom"/>
            <w:tcBorders>
              <w:bottom w:val="single" w:sz="8" w:color="EEEEEE"/>
            </w:tcBorders>
          </w:tcPr>
          <w:p>
            <w:pPr>
              <w:spacing w:after="0"/>
              <w:rPr>
                <w:sz w:val="7"/>
                <w:szCs w:val="7"/>
                <w:color w:val="auto"/>
              </w:rPr>
            </w:pPr>
          </w:p>
        </w:tc>
        <w:tc>
          <w:tcPr>
            <w:tcW w:w="180" w:type="dxa"/>
            <w:vAlign w:val="bottom"/>
            <w:tcBorders>
              <w:bottom w:val="single" w:sz="8" w:color="EEEEEE"/>
            </w:tcBorders>
          </w:tcPr>
          <w:p>
            <w:pPr>
              <w:spacing w:after="0"/>
              <w:rPr>
                <w:sz w:val="7"/>
                <w:szCs w:val="7"/>
                <w:color w:val="auto"/>
              </w:rPr>
            </w:pPr>
          </w:p>
        </w:tc>
        <w:tc>
          <w:tcPr>
            <w:tcW w:w="1040" w:type="dxa"/>
            <w:vAlign w:val="bottom"/>
            <w:tcBorders>
              <w:bottom w:val="single" w:sz="8" w:color="EEEEEE"/>
            </w:tcBorders>
          </w:tcPr>
          <w:p>
            <w:pPr>
              <w:spacing w:after="0"/>
              <w:rPr>
                <w:sz w:val="7"/>
                <w:szCs w:val="7"/>
                <w:color w:val="auto"/>
              </w:rPr>
            </w:pPr>
          </w:p>
        </w:tc>
      </w:tr>
    </w:tbl>
    <w:p>
      <w:pPr>
        <w:spacing w:after="0"/>
        <w:rPr>
          <w:sz w:val="20"/>
          <w:szCs w:val="20"/>
          <w:color w:val="auto"/>
        </w:rPr>
        <w:sectPr>
          <w:pgSz w:w="11900" w:h="16840" w:orient="portrait"/>
          <w:cols w:equalWidth="0" w:num="1">
            <w:col w:w="10560"/>
          </w:cols>
          <w:pgMar w:left="660" w:top="1377" w:right="680" w:bottom="1440" w:gutter="0" w:footer="0" w:header="0"/>
        </w:sect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bookmarkStart w:id="30" w:name="page31"/>
    <w:bookmarkEnd w:id="30"/>
    <w:tbl>
      <w:tblPr>
        <w:tblLayout w:type="fixed"/>
        <w:tblInd w:w="0" w:type="dxa"/>
        <w:tblCellMar>
          <w:top w:w="0" w:type="dxa"/>
          <w:left w:w="0" w:type="dxa"/>
          <w:bottom w:w="0" w:type="dxa"/>
          <w:right w:w="0" w:type="dxa"/>
        </w:tblCellMar>
      </w:tblPr>
      <w:tr>
        <w:trPr>
          <w:trHeight w:val="182"/>
        </w:trPr>
        <w:tc>
          <w:tcPr>
            <w:tcW w:w="2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740" w:type="dxa"/>
            <w:vAlign w:val="bottom"/>
            <w:gridSpan w:val="5"/>
          </w:tcPr>
          <w:p>
            <w:pPr>
              <w:jc w:val="right"/>
              <w:spacing w:after="0"/>
              <w:rPr>
                <w:sz w:val="20"/>
                <w:szCs w:val="20"/>
                <w:color w:val="auto"/>
              </w:rPr>
            </w:pPr>
            <w:r>
              <w:rPr>
                <w:rFonts w:ascii="Arial" w:cs="Arial" w:eastAsia="Arial" w:hAnsi="Arial"/>
                <w:sz w:val="14"/>
                <w:szCs w:val="14"/>
                <w:color w:val="auto"/>
              </w:rPr>
              <w:t>For the three months ended June 30, 2022</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2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1-4 family</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2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first-lien</w:t>
            </w:r>
          </w:p>
        </w:tc>
        <w:tc>
          <w:tcPr>
            <w:tcW w:w="20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Residential</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Paycheck</w:t>
            </w:r>
          </w:p>
        </w:tc>
      </w:tr>
      <w:tr>
        <w:trPr>
          <w:trHeight w:val="192"/>
        </w:trPr>
        <w:tc>
          <w:tcPr>
            <w:tcW w:w="2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residential</w:t>
            </w:r>
          </w:p>
        </w:tc>
        <w:tc>
          <w:tcPr>
            <w:tcW w:w="20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construction</w:t>
            </w:r>
          </w:p>
        </w:tc>
        <w:tc>
          <w:tcPr>
            <w:tcW w:w="3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Protection</w:t>
            </w:r>
          </w:p>
        </w:tc>
      </w:tr>
      <w:tr>
        <w:trPr>
          <w:trHeight w:val="195"/>
        </w:trPr>
        <w:tc>
          <w:tcPr>
            <w:tcW w:w="27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mortgage</w:t>
            </w:r>
          </w:p>
        </w:tc>
        <w:tc>
          <w:tcPr>
            <w:tcW w:w="20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mortgage</w:t>
            </w:r>
          </w:p>
        </w:tc>
        <w:tc>
          <w:tcPr>
            <w:tcW w:w="3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real estate</w:t>
            </w:r>
          </w:p>
        </w:tc>
        <w:tc>
          <w:tcPr>
            <w:tcW w:w="20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lines of credit</w:t>
            </w:r>
          </w:p>
        </w:tc>
        <w:tc>
          <w:tcPr>
            <w:tcW w:w="16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and industrial</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Program</w:t>
            </w:r>
          </w:p>
        </w:tc>
      </w:tr>
      <w:tr>
        <w:trPr>
          <w:trHeight w:val="195"/>
        </w:trPr>
        <w:tc>
          <w:tcPr>
            <w:tcW w:w="27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Allowance for credit losses:</w:t>
            </w: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2760" w:type="dxa"/>
            <w:vAlign w:val="bottom"/>
          </w:tcPr>
          <w:p>
            <w:pPr>
              <w:ind w:left="20"/>
              <w:spacing w:after="0"/>
              <w:rPr>
                <w:sz w:val="20"/>
                <w:szCs w:val="20"/>
                <w:color w:val="auto"/>
              </w:rPr>
            </w:pPr>
            <w:r>
              <w:rPr>
                <w:rFonts w:ascii="Arial" w:cs="Arial" w:eastAsia="Arial" w:hAnsi="Arial"/>
                <w:sz w:val="14"/>
                <w:szCs w:val="14"/>
                <w:color w:val="auto"/>
              </w:rPr>
              <w:t>Beginning Balance</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830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5,298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1,061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2,737</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r>
      <w:tr>
        <w:trPr>
          <w:trHeight w:val="195"/>
        </w:trPr>
        <w:tc>
          <w:tcPr>
            <w:tcW w:w="27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Charge-offs</w:t>
            </w: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(29 )</w:t>
            </w: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(23 )</w:t>
            </w: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(21 )</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(200 )</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6"/>
                <w:szCs w:val="16"/>
                <w:color w:val="auto"/>
              </w:rPr>
            </w:pPr>
          </w:p>
        </w:tc>
      </w:tr>
      <w:tr>
        <w:trPr>
          <w:trHeight w:val="189"/>
        </w:trPr>
        <w:tc>
          <w:tcPr>
            <w:tcW w:w="2760" w:type="dxa"/>
            <w:vAlign w:val="bottom"/>
          </w:tcPr>
          <w:p>
            <w:pPr>
              <w:ind w:left="180"/>
              <w:spacing w:after="0"/>
              <w:rPr>
                <w:sz w:val="20"/>
                <w:szCs w:val="20"/>
                <w:color w:val="auto"/>
              </w:rPr>
            </w:pPr>
            <w:r>
              <w:rPr>
                <w:rFonts w:ascii="Arial" w:cs="Arial" w:eastAsia="Arial" w:hAnsi="Arial"/>
                <w:sz w:val="14"/>
                <w:szCs w:val="14"/>
                <w:color w:val="auto"/>
              </w:rPr>
              <w:t>Recoveries</w:t>
            </w:r>
          </w:p>
        </w:tc>
        <w:tc>
          <w:tcPr>
            <w:tcW w:w="46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250</w:t>
            </w:r>
          </w:p>
        </w:tc>
        <w:tc>
          <w:tcPr>
            <w:tcW w:w="20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r>
      <w:tr>
        <w:trPr>
          <w:trHeight w:val="195"/>
        </w:trPr>
        <w:tc>
          <w:tcPr>
            <w:tcW w:w="27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Provisions (credits)</w:t>
            </w: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96</w:t>
            </w: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(3 )</w:t>
            </w: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117</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6"/>
                <w:szCs w:val="16"/>
                <w:color w:val="auto"/>
              </w:rPr>
            </w:pPr>
          </w:p>
        </w:tc>
      </w:tr>
      <w:tr>
        <w:trPr>
          <w:trHeight w:val="189"/>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897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5,522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1,157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2,616</w:t>
            </w:r>
          </w:p>
        </w:tc>
        <w:tc>
          <w:tcPr>
            <w:tcW w:w="3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6"/>
                <w:szCs w:val="16"/>
                <w:color w:val="auto"/>
              </w:rPr>
            </w:pP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51"/>
        </w:trPr>
        <w:tc>
          <w:tcPr>
            <w:tcW w:w="2760" w:type="dxa"/>
            <w:vAlign w:val="bottom"/>
            <w:shd w:val="clear" w:color="auto" w:fill="CFF0FC"/>
          </w:tcPr>
          <w:p>
            <w:pPr>
              <w:ind w:left="20"/>
              <w:spacing w:after="0" w:line="151" w:lineRule="exact"/>
              <w:rPr>
                <w:sz w:val="20"/>
                <w:szCs w:val="20"/>
                <w:color w:val="auto"/>
              </w:rPr>
            </w:pPr>
            <w:r>
              <w:rPr>
                <w:rFonts w:ascii="Arial" w:cs="Arial" w:eastAsia="Arial" w:hAnsi="Arial"/>
                <w:sz w:val="14"/>
                <w:szCs w:val="14"/>
                <w:color w:val="auto"/>
              </w:rPr>
              <w:t>Ending balance: related to loans</w:t>
            </w:r>
          </w:p>
        </w:tc>
        <w:tc>
          <w:tcPr>
            <w:tcW w:w="4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8"/>
        </w:trPr>
        <w:tc>
          <w:tcPr>
            <w:tcW w:w="27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individually evaluated for impairment</w:t>
            </w:r>
          </w:p>
        </w:tc>
        <w:tc>
          <w:tcPr>
            <w:tcW w:w="4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95</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44</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359</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1,208</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6"/>
                <w:szCs w:val="16"/>
                <w:color w:val="auto"/>
              </w:rPr>
            </w:pPr>
          </w:p>
        </w:tc>
      </w:tr>
      <w:tr>
        <w:trPr>
          <w:trHeight w:val="172"/>
        </w:trPr>
        <w:tc>
          <w:tcPr>
            <w:tcW w:w="2760" w:type="dxa"/>
            <w:vAlign w:val="bottom"/>
          </w:tcPr>
          <w:p>
            <w:pPr>
              <w:ind w:left="20"/>
              <w:spacing w:after="0"/>
              <w:rPr>
                <w:sz w:val="20"/>
                <w:szCs w:val="20"/>
                <w:color w:val="auto"/>
              </w:rPr>
            </w:pPr>
            <w:r>
              <w:rPr>
                <w:rFonts w:ascii="Arial" w:cs="Arial" w:eastAsia="Arial" w:hAnsi="Arial"/>
                <w:sz w:val="14"/>
                <w:szCs w:val="14"/>
                <w:color w:val="auto"/>
              </w:rPr>
              <w:t>Ending balance: related to loans</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2760" w:type="dxa"/>
            <w:vAlign w:val="bottom"/>
          </w:tcPr>
          <w:p>
            <w:pPr>
              <w:ind w:left="140"/>
              <w:spacing w:after="0"/>
              <w:rPr>
                <w:sz w:val="20"/>
                <w:szCs w:val="20"/>
                <w:color w:val="auto"/>
              </w:rPr>
            </w:pPr>
            <w:r>
              <w:rPr>
                <w:rFonts w:ascii="Arial" w:cs="Arial" w:eastAsia="Arial" w:hAnsi="Arial"/>
                <w:sz w:val="14"/>
                <w:szCs w:val="14"/>
                <w:color w:val="auto"/>
              </w:rPr>
              <w:t>collectively evaluated for impairment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802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5,478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798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1,408</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r>
      <w:tr>
        <w:trPr>
          <w:trHeight w:val="195"/>
        </w:trPr>
        <w:tc>
          <w:tcPr>
            <w:tcW w:w="27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Loans receivables:</w:t>
            </w: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240,997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16,241</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320,439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76,610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70,205</w:t>
            </w:r>
          </w:p>
        </w:tc>
        <w:tc>
          <w:tcPr>
            <w:tcW w:w="3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4,877</w:t>
            </w:r>
          </w:p>
        </w:tc>
        <w:tc>
          <w:tcPr>
            <w:tcW w:w="80" w:type="dxa"/>
            <w:vAlign w:val="bottom"/>
            <w:tcBorders>
              <w:bottom w:val="single" w:sz="8" w:color="auto"/>
            </w:tcBorders>
          </w:tcPr>
          <w:p>
            <w:pPr>
              <w:spacing w:after="0"/>
              <w:rPr>
                <w:sz w:val="16"/>
                <w:szCs w:val="16"/>
                <w:color w:val="auto"/>
              </w:rPr>
            </w:pP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51"/>
        </w:trPr>
        <w:tc>
          <w:tcPr>
            <w:tcW w:w="2760" w:type="dxa"/>
            <w:vAlign w:val="bottom"/>
            <w:shd w:val="clear" w:color="auto" w:fill="CFF0FC"/>
          </w:tcPr>
          <w:p>
            <w:pPr>
              <w:ind w:left="20"/>
              <w:spacing w:after="0" w:line="151" w:lineRule="exact"/>
              <w:rPr>
                <w:sz w:val="20"/>
                <w:szCs w:val="20"/>
                <w:color w:val="auto"/>
              </w:rPr>
            </w:pPr>
            <w:r>
              <w:rPr>
                <w:rFonts w:ascii="Arial" w:cs="Arial" w:eastAsia="Arial" w:hAnsi="Arial"/>
                <w:sz w:val="14"/>
                <w:szCs w:val="14"/>
                <w:color w:val="auto"/>
              </w:rPr>
              <w:t>Ending balance: individually</w:t>
            </w:r>
          </w:p>
        </w:tc>
        <w:tc>
          <w:tcPr>
            <w:tcW w:w="4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8"/>
        </w:trPr>
        <w:tc>
          <w:tcPr>
            <w:tcW w:w="27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evaluated for impairment</w:t>
            </w:r>
          </w:p>
        </w:tc>
        <w:tc>
          <w:tcPr>
            <w:tcW w:w="4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1,141</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144</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6,956</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1,974</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6"/>
                <w:szCs w:val="16"/>
                <w:color w:val="auto"/>
              </w:rPr>
            </w:pPr>
          </w:p>
        </w:tc>
      </w:tr>
      <w:tr>
        <w:trPr>
          <w:trHeight w:val="172"/>
        </w:trPr>
        <w:tc>
          <w:tcPr>
            <w:tcW w:w="2760" w:type="dxa"/>
            <w:vAlign w:val="bottom"/>
          </w:tcPr>
          <w:p>
            <w:pPr>
              <w:ind w:left="20"/>
              <w:spacing w:after="0"/>
              <w:rPr>
                <w:sz w:val="20"/>
                <w:szCs w:val="20"/>
                <w:color w:val="auto"/>
              </w:rPr>
            </w:pPr>
            <w:r>
              <w:rPr>
                <w:rFonts w:ascii="Arial" w:cs="Arial" w:eastAsia="Arial" w:hAnsi="Arial"/>
                <w:sz w:val="14"/>
                <w:szCs w:val="14"/>
                <w:color w:val="auto"/>
              </w:rPr>
              <w:t>Ending balance: collectively</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2"/>
        </w:trPr>
        <w:tc>
          <w:tcPr>
            <w:tcW w:w="2760" w:type="dxa"/>
            <w:vAlign w:val="bottom"/>
          </w:tcPr>
          <w:p>
            <w:pPr>
              <w:ind w:left="140"/>
              <w:spacing w:after="0"/>
              <w:rPr>
                <w:sz w:val="20"/>
                <w:szCs w:val="20"/>
                <w:color w:val="auto"/>
              </w:rPr>
            </w:pPr>
            <w:r>
              <w:rPr>
                <w:rFonts w:ascii="Arial" w:cs="Arial" w:eastAsia="Arial" w:hAnsi="Arial"/>
                <w:sz w:val="14"/>
                <w:szCs w:val="14"/>
                <w:color w:val="auto"/>
              </w:rPr>
              <w:t>evaluated for impairment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239,856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16,241</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320,295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69,654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68,231</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4,877</w:t>
            </w:r>
          </w:p>
        </w:tc>
        <w:tc>
          <w:tcPr>
            <w:tcW w:w="80" w:type="dxa"/>
            <w:vAlign w:val="bottom"/>
          </w:tcPr>
          <w:p>
            <w:pPr>
              <w:spacing w:after="0"/>
              <w:rPr>
                <w:sz w:val="15"/>
                <w:szCs w:val="15"/>
                <w:color w:val="auto"/>
              </w:rPr>
            </w:pPr>
          </w:p>
        </w:tc>
      </w:tr>
      <w:tr>
        <w:trPr>
          <w:trHeight w:val="384"/>
        </w:trPr>
        <w:tc>
          <w:tcPr>
            <w:tcW w:w="2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Home equity</w:t>
            </w:r>
          </w:p>
        </w:tc>
        <w:tc>
          <w:tcPr>
            <w:tcW w:w="300" w:type="dxa"/>
            <w:vAlign w:val="bottom"/>
          </w:tcPr>
          <w:p>
            <w:pPr>
              <w:spacing w:after="0"/>
              <w:rPr>
                <w:sz w:val="24"/>
                <w:szCs w:val="2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5"/>
        </w:trPr>
        <w:tc>
          <w:tcPr>
            <w:tcW w:w="2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Tax exempt</w:t>
            </w:r>
          </w:p>
        </w:tc>
        <w:tc>
          <w:tcPr>
            <w:tcW w:w="20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and junior liens</w:t>
            </w:r>
          </w:p>
        </w:tc>
        <w:tc>
          <w:tcPr>
            <w:tcW w:w="30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Consumer</w:t>
            </w:r>
          </w:p>
        </w:tc>
        <w:tc>
          <w:tcPr>
            <w:tcW w:w="200" w:type="dxa"/>
            <w:vAlign w:val="bottom"/>
          </w:tcPr>
          <w:p>
            <w:pPr>
              <w:spacing w:after="0"/>
              <w:rPr>
                <w:sz w:val="16"/>
                <w:szCs w:val="16"/>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27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Allowance for credit losses:</w:t>
            </w: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2760" w:type="dxa"/>
            <w:vAlign w:val="bottom"/>
          </w:tcPr>
          <w:p>
            <w:pPr>
              <w:ind w:left="20"/>
              <w:spacing w:after="0"/>
              <w:rPr>
                <w:sz w:val="20"/>
                <w:szCs w:val="20"/>
                <w:color w:val="auto"/>
              </w:rPr>
            </w:pPr>
            <w:r>
              <w:rPr>
                <w:rFonts w:ascii="Arial" w:cs="Arial" w:eastAsia="Arial" w:hAnsi="Arial"/>
                <w:sz w:val="14"/>
                <w:szCs w:val="14"/>
                <w:color w:val="auto"/>
              </w:rPr>
              <w:t>Beginning Balance</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676</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1,422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989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13,017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27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Charge-offs</w:t>
            </w: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(51 )</w:t>
            </w: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2760" w:type="dxa"/>
            <w:vAlign w:val="bottom"/>
          </w:tcPr>
          <w:p>
            <w:pPr>
              <w:ind w:left="180"/>
              <w:spacing w:after="0"/>
              <w:rPr>
                <w:sz w:val="20"/>
                <w:szCs w:val="20"/>
                <w:color w:val="auto"/>
              </w:rPr>
            </w:pPr>
            <w:r>
              <w:rPr>
                <w:rFonts w:ascii="Arial" w:cs="Arial" w:eastAsia="Arial" w:hAnsi="Arial"/>
                <w:sz w:val="14"/>
                <w:szCs w:val="14"/>
                <w:color w:val="auto"/>
              </w:rPr>
              <w:t>Recoveries</w:t>
            </w:r>
          </w:p>
        </w:tc>
        <w:tc>
          <w:tcPr>
            <w:tcW w:w="46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30</w:t>
            </w:r>
          </w:p>
        </w:tc>
        <w:tc>
          <w:tcPr>
            <w:tcW w:w="20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276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Provisions (credits)</w:t>
            </w: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74</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142</w:t>
            </w: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(400 )</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09"/>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750</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1,543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589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13,078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2760" w:type="dxa"/>
            <w:vAlign w:val="bottom"/>
            <w:shd w:val="clear" w:color="auto" w:fill="CFF0FC"/>
          </w:tcPr>
          <w:p>
            <w:pPr>
              <w:ind w:left="20"/>
              <w:spacing w:after="0" w:line="151" w:lineRule="exact"/>
              <w:rPr>
                <w:sz w:val="20"/>
                <w:szCs w:val="20"/>
                <w:color w:val="auto"/>
              </w:rPr>
            </w:pPr>
            <w:r>
              <w:rPr>
                <w:rFonts w:ascii="Arial" w:cs="Arial" w:eastAsia="Arial" w:hAnsi="Arial"/>
                <w:sz w:val="14"/>
                <w:szCs w:val="14"/>
                <w:color w:val="auto"/>
              </w:rPr>
              <w:t>Ending balance: related to loans</w:t>
            </w:r>
          </w:p>
        </w:tc>
        <w:tc>
          <w:tcPr>
            <w:tcW w:w="4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8"/>
        </w:trPr>
        <w:tc>
          <w:tcPr>
            <w:tcW w:w="27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individually evaluated for impairment</w:t>
            </w:r>
          </w:p>
        </w:tc>
        <w:tc>
          <w:tcPr>
            <w:tcW w:w="4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114</w:t>
            </w:r>
          </w:p>
        </w:tc>
        <w:tc>
          <w:tcPr>
            <w:tcW w:w="3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2"/>
        </w:trPr>
        <w:tc>
          <w:tcPr>
            <w:tcW w:w="2760" w:type="dxa"/>
            <w:vAlign w:val="bottom"/>
          </w:tcPr>
          <w:p>
            <w:pPr>
              <w:ind w:left="20"/>
              <w:spacing w:after="0"/>
              <w:rPr>
                <w:sz w:val="20"/>
                <w:szCs w:val="20"/>
                <w:color w:val="auto"/>
              </w:rPr>
            </w:pPr>
            <w:r>
              <w:rPr>
                <w:rFonts w:ascii="Arial" w:cs="Arial" w:eastAsia="Arial" w:hAnsi="Arial"/>
                <w:sz w:val="14"/>
                <w:szCs w:val="14"/>
                <w:color w:val="auto"/>
              </w:rPr>
              <w:t>Ending balance: related to loans</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5"/>
        </w:trPr>
        <w:tc>
          <w:tcPr>
            <w:tcW w:w="2760" w:type="dxa"/>
            <w:vAlign w:val="bottom"/>
          </w:tcPr>
          <w:p>
            <w:pPr>
              <w:ind w:left="140"/>
              <w:spacing w:after="0"/>
              <w:rPr>
                <w:sz w:val="20"/>
                <w:szCs w:val="20"/>
                <w:color w:val="auto"/>
              </w:rPr>
            </w:pPr>
            <w:r>
              <w:rPr>
                <w:rFonts w:ascii="Arial" w:cs="Arial" w:eastAsia="Arial" w:hAnsi="Arial"/>
                <w:sz w:val="14"/>
                <w:szCs w:val="14"/>
                <w:color w:val="auto"/>
              </w:rPr>
              <w:t>collectively evaluated for impairment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636</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1,543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589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11,258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27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Loans receivables:</w:t>
            </w:r>
          </w:p>
        </w:tc>
        <w:tc>
          <w:tcPr>
            <w:tcW w:w="4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5,390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33,267</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99,326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867,352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2760" w:type="dxa"/>
            <w:vAlign w:val="bottom"/>
            <w:shd w:val="clear" w:color="auto" w:fill="CFF0FC"/>
          </w:tcPr>
          <w:p>
            <w:pPr>
              <w:ind w:left="20"/>
              <w:spacing w:after="0" w:line="151" w:lineRule="exact"/>
              <w:rPr>
                <w:sz w:val="20"/>
                <w:szCs w:val="20"/>
                <w:color w:val="auto"/>
              </w:rPr>
            </w:pPr>
            <w:r>
              <w:rPr>
                <w:rFonts w:ascii="Arial" w:cs="Arial" w:eastAsia="Arial" w:hAnsi="Arial"/>
                <w:sz w:val="14"/>
                <w:szCs w:val="14"/>
                <w:color w:val="auto"/>
              </w:rPr>
              <w:t>Ending balance: individually</w:t>
            </w:r>
          </w:p>
        </w:tc>
        <w:tc>
          <w:tcPr>
            <w:tcW w:w="4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8"/>
        </w:trPr>
        <w:tc>
          <w:tcPr>
            <w:tcW w:w="27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evaluated for impairment</w:t>
            </w:r>
          </w:p>
        </w:tc>
        <w:tc>
          <w:tcPr>
            <w:tcW w:w="4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628</w:t>
            </w:r>
          </w:p>
        </w:tc>
        <w:tc>
          <w:tcPr>
            <w:tcW w:w="3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10,843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2"/>
        </w:trPr>
        <w:tc>
          <w:tcPr>
            <w:tcW w:w="2760" w:type="dxa"/>
            <w:vAlign w:val="bottom"/>
          </w:tcPr>
          <w:p>
            <w:pPr>
              <w:ind w:left="20"/>
              <w:spacing w:after="0"/>
              <w:rPr>
                <w:sz w:val="20"/>
                <w:szCs w:val="20"/>
                <w:color w:val="auto"/>
              </w:rPr>
            </w:pPr>
            <w:r>
              <w:rPr>
                <w:rFonts w:ascii="Arial" w:cs="Arial" w:eastAsia="Arial" w:hAnsi="Arial"/>
                <w:sz w:val="14"/>
                <w:szCs w:val="14"/>
                <w:color w:val="auto"/>
              </w:rPr>
              <w:t>Ending balance: collectively</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8"/>
        </w:trPr>
        <w:tc>
          <w:tcPr>
            <w:tcW w:w="2760" w:type="dxa"/>
            <w:vAlign w:val="bottom"/>
          </w:tcPr>
          <w:p>
            <w:pPr>
              <w:ind w:left="140"/>
              <w:spacing w:after="0"/>
              <w:rPr>
                <w:sz w:val="20"/>
                <w:szCs w:val="20"/>
                <w:color w:val="auto"/>
              </w:rPr>
            </w:pPr>
            <w:r>
              <w:rPr>
                <w:rFonts w:ascii="Arial" w:cs="Arial" w:eastAsia="Arial" w:hAnsi="Arial"/>
                <w:sz w:val="14"/>
                <w:szCs w:val="14"/>
                <w:color w:val="auto"/>
              </w:rPr>
              <w:t>evaluated for impairment</w:t>
            </w: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5,390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32,639</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99,326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856,509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31</w:t>
      </w:r>
      <w:r>
        <w:rPr>
          <w:rFonts w:ascii="Arial" w:cs="Arial" w:eastAsia="Arial" w:hAnsi="Arial"/>
          <w:sz w:val="16"/>
          <w:szCs w:val="16"/>
          <w:color w:val="auto"/>
        </w:rPr>
        <w:t xml:space="preserve"> -</w:t>
      </w:r>
    </w:p>
    <w:p>
      <w:pPr>
        <w:sectPr>
          <w:pgSz w:w="11900" w:h="16840" w:orient="portrait"/>
          <w:cols w:equalWidth="0" w:num="1">
            <w:col w:w="10560"/>
          </w:cols>
          <w:pgMar w:left="660" w:top="1137" w:right="68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2"/>
        </w:trPr>
        <w:tc>
          <w:tcPr>
            <w:tcW w:w="3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20" w:type="dxa"/>
            <w:vAlign w:val="bottom"/>
            <w:gridSpan w:val="5"/>
          </w:tcPr>
          <w:p>
            <w:pPr>
              <w:jc w:val="right"/>
              <w:ind w:right="628"/>
              <w:spacing w:after="0"/>
              <w:rPr>
                <w:sz w:val="20"/>
                <w:szCs w:val="20"/>
                <w:color w:val="auto"/>
              </w:rPr>
            </w:pPr>
            <w:r>
              <w:rPr>
                <w:rFonts w:ascii="Arial" w:cs="Arial" w:eastAsia="Arial" w:hAnsi="Arial"/>
                <w:sz w:val="14"/>
                <w:szCs w:val="14"/>
                <w:color w:val="auto"/>
              </w:rPr>
              <w:t>For the six months ended June 30, 2022</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1-4 family</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first-lien</w:t>
            </w:r>
          </w:p>
        </w:tc>
        <w:tc>
          <w:tcPr>
            <w:tcW w:w="24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Residential</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Other</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residential</w:t>
            </w:r>
          </w:p>
        </w:tc>
        <w:tc>
          <w:tcPr>
            <w:tcW w:w="24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construction</w:t>
            </w:r>
          </w:p>
        </w:tc>
        <w:tc>
          <w:tcPr>
            <w:tcW w:w="28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Commercial</w:t>
            </w:r>
          </w:p>
        </w:tc>
        <w:tc>
          <w:tcPr>
            <w:tcW w:w="24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commercial</w:t>
            </w:r>
          </w:p>
        </w:tc>
        <w:tc>
          <w:tcPr>
            <w:tcW w:w="0" w:type="dxa"/>
            <w:vAlign w:val="bottom"/>
          </w:tcPr>
          <w:p>
            <w:pPr>
              <w:spacing w:after="0"/>
              <w:rPr>
                <w:sz w:val="1"/>
                <w:szCs w:val="1"/>
                <w:color w:val="auto"/>
              </w:rPr>
            </w:pPr>
          </w:p>
        </w:tc>
      </w:tr>
      <w:tr>
        <w:trPr>
          <w:trHeight w:val="209"/>
        </w:trPr>
        <w:tc>
          <w:tcPr>
            <w:tcW w:w="31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34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mortgage</w:t>
            </w:r>
          </w:p>
        </w:tc>
        <w:tc>
          <w:tcPr>
            <w:tcW w:w="24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mortgage</w:t>
            </w:r>
          </w:p>
        </w:tc>
        <w:tc>
          <w:tcPr>
            <w:tcW w:w="28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real estate</w:t>
            </w:r>
          </w:p>
        </w:tc>
        <w:tc>
          <w:tcPr>
            <w:tcW w:w="24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lines of credit</w:t>
            </w:r>
          </w:p>
        </w:tc>
        <w:tc>
          <w:tcPr>
            <w:tcW w:w="22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and industrial</w:t>
            </w:r>
          </w:p>
        </w:tc>
        <w:tc>
          <w:tcPr>
            <w:tcW w:w="0" w:type="dxa"/>
            <w:vAlign w:val="bottom"/>
          </w:tcPr>
          <w:p>
            <w:pPr>
              <w:spacing w:after="0"/>
              <w:rPr>
                <w:sz w:val="1"/>
                <w:szCs w:val="1"/>
                <w:color w:val="auto"/>
              </w:rPr>
            </w:pPr>
          </w:p>
        </w:tc>
      </w:tr>
      <w:tr>
        <w:trPr>
          <w:trHeight w:val="193"/>
        </w:trPr>
        <w:tc>
          <w:tcPr>
            <w:tcW w:w="31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Allowance for credit losses:</w:t>
            </w:r>
          </w:p>
        </w:tc>
        <w:tc>
          <w:tcPr>
            <w:tcW w:w="13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Pr>
          <w:p>
            <w:pPr>
              <w:ind w:left="20"/>
              <w:spacing w:after="0"/>
              <w:rPr>
                <w:sz w:val="20"/>
                <w:szCs w:val="20"/>
                <w:color w:val="auto"/>
              </w:rPr>
            </w:pPr>
            <w:r>
              <w:rPr>
                <w:rFonts w:ascii="Arial" w:cs="Arial" w:eastAsia="Arial" w:hAnsi="Arial"/>
                <w:sz w:val="14"/>
                <w:szCs w:val="14"/>
                <w:color w:val="auto"/>
              </w:rPr>
              <w:t>Beginning Balance</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872</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ind w:left="1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5,308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935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2,762</w:t>
            </w:r>
          </w:p>
        </w:tc>
        <w:tc>
          <w:tcPr>
            <w:tcW w:w="0" w:type="dxa"/>
            <w:vAlign w:val="bottom"/>
          </w:tcPr>
          <w:p>
            <w:pPr>
              <w:spacing w:after="0"/>
              <w:rPr>
                <w:sz w:val="1"/>
                <w:szCs w:val="1"/>
                <w:color w:val="auto"/>
              </w:rPr>
            </w:pPr>
          </w:p>
        </w:tc>
      </w:tr>
      <w:tr>
        <w:trPr>
          <w:trHeight w:val="195"/>
        </w:trPr>
        <w:tc>
          <w:tcPr>
            <w:tcW w:w="31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Charge-offs</w:t>
            </w:r>
          </w:p>
        </w:tc>
        <w:tc>
          <w:tcPr>
            <w:tcW w:w="13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(29 )</w:t>
            </w: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(23 )</w:t>
            </w: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(38 )</w:t>
            </w: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(200 )</w:t>
            </w:r>
          </w:p>
        </w:tc>
        <w:tc>
          <w:tcPr>
            <w:tcW w:w="0" w:type="dxa"/>
            <w:vAlign w:val="bottom"/>
          </w:tcPr>
          <w:p>
            <w:pPr>
              <w:spacing w:after="0"/>
              <w:rPr>
                <w:sz w:val="1"/>
                <w:szCs w:val="1"/>
                <w:color w:val="auto"/>
              </w:rPr>
            </w:pPr>
          </w:p>
        </w:tc>
      </w:tr>
      <w:tr>
        <w:trPr>
          <w:trHeight w:val="189"/>
        </w:trPr>
        <w:tc>
          <w:tcPr>
            <w:tcW w:w="3120" w:type="dxa"/>
            <w:vAlign w:val="bottom"/>
          </w:tcPr>
          <w:p>
            <w:pPr>
              <w:ind w:left="180"/>
              <w:spacing w:after="0"/>
              <w:rPr>
                <w:sz w:val="20"/>
                <w:szCs w:val="20"/>
                <w:color w:val="auto"/>
              </w:rPr>
            </w:pPr>
            <w:r>
              <w:rPr>
                <w:rFonts w:ascii="Arial" w:cs="Arial" w:eastAsia="Arial" w:hAnsi="Arial"/>
                <w:sz w:val="14"/>
                <w:szCs w:val="14"/>
                <w:color w:val="auto"/>
              </w:rPr>
              <w:t>Recoveries</w:t>
            </w:r>
          </w:p>
        </w:tc>
        <w:tc>
          <w:tcPr>
            <w:tcW w:w="13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250</w:t>
            </w:r>
          </w:p>
        </w:tc>
        <w:tc>
          <w:tcPr>
            <w:tcW w:w="24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5"/>
        </w:trPr>
        <w:tc>
          <w:tcPr>
            <w:tcW w:w="31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Provisions</w:t>
            </w:r>
          </w:p>
        </w:tc>
        <w:tc>
          <w:tcPr>
            <w:tcW w:w="13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54</w:t>
            </w: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(13 )</w:t>
            </w: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260</w:t>
            </w: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897</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5,522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1,157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2,616</w:t>
            </w:r>
          </w:p>
        </w:tc>
        <w:tc>
          <w:tcPr>
            <w:tcW w:w="0" w:type="dxa"/>
            <w:vAlign w:val="bottom"/>
          </w:tcPr>
          <w:p>
            <w:pPr>
              <w:spacing w:after="0"/>
              <w:rPr>
                <w:sz w:val="1"/>
                <w:szCs w:val="1"/>
                <w:color w:val="auto"/>
              </w:rPr>
            </w:pPr>
          </w:p>
        </w:tc>
      </w:tr>
      <w:tr>
        <w:trPr>
          <w:trHeight w:val="20"/>
        </w:trPr>
        <w:tc>
          <w:tcPr>
            <w:tcW w:w="3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9"/>
        </w:trPr>
        <w:tc>
          <w:tcPr>
            <w:tcW w:w="3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Home equity</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Tax exempt</w:t>
            </w:r>
          </w:p>
        </w:tc>
        <w:tc>
          <w:tcPr>
            <w:tcW w:w="1280" w:type="dxa"/>
            <w:vAlign w:val="bottom"/>
            <w:gridSpan w:val="2"/>
          </w:tcPr>
          <w:p>
            <w:pPr>
              <w:jc w:val="right"/>
              <w:ind w:right="88"/>
              <w:spacing w:after="0"/>
              <w:rPr>
                <w:sz w:val="20"/>
                <w:szCs w:val="20"/>
                <w:color w:val="auto"/>
              </w:rPr>
            </w:pPr>
            <w:r>
              <w:rPr>
                <w:rFonts w:ascii="Arial" w:cs="Arial" w:eastAsia="Arial" w:hAnsi="Arial"/>
                <w:sz w:val="14"/>
                <w:szCs w:val="14"/>
                <w:color w:val="auto"/>
              </w:rPr>
              <w:t>and junior liens</w:t>
            </w: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Other consumer</w:t>
            </w:r>
          </w:p>
        </w:tc>
        <w:tc>
          <w:tcPr>
            <w:tcW w:w="24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Unallocated</w:t>
            </w:r>
          </w:p>
        </w:tc>
        <w:tc>
          <w:tcPr>
            <w:tcW w:w="22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8"/>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Allowance for credit losses:</w:t>
            </w: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Beginning Balance</w:t>
            </w:r>
          </w:p>
        </w:tc>
        <w:tc>
          <w:tcPr>
            <w:tcW w:w="13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3</w:t>
            </w:r>
          </w:p>
        </w:tc>
        <w:tc>
          <w:tcPr>
            <w:tcW w:w="2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774</w:t>
            </w:r>
          </w:p>
        </w:tc>
        <w:tc>
          <w:tcPr>
            <w:tcW w:w="2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1,297</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984</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12,935</w:t>
            </w:r>
          </w:p>
        </w:tc>
        <w:tc>
          <w:tcPr>
            <w:tcW w:w="0" w:type="dxa"/>
            <w:vAlign w:val="bottom"/>
          </w:tcPr>
          <w:p>
            <w:pPr>
              <w:spacing w:after="0"/>
              <w:rPr>
                <w:sz w:val="1"/>
                <w:szCs w:val="1"/>
                <w:color w:val="auto"/>
              </w:rPr>
            </w:pPr>
          </w:p>
        </w:tc>
      </w:tr>
      <w:tr>
        <w:trPr>
          <w:trHeight w:val="189"/>
        </w:trPr>
        <w:tc>
          <w:tcPr>
            <w:tcW w:w="3120" w:type="dxa"/>
            <w:vAlign w:val="bottom"/>
          </w:tcPr>
          <w:p>
            <w:pPr>
              <w:ind w:left="180"/>
              <w:spacing w:after="0"/>
              <w:rPr>
                <w:sz w:val="20"/>
                <w:szCs w:val="20"/>
                <w:color w:val="auto"/>
              </w:rPr>
            </w:pPr>
            <w:r>
              <w:rPr>
                <w:rFonts w:ascii="Arial" w:cs="Arial" w:eastAsia="Arial" w:hAnsi="Arial"/>
                <w:sz w:val="14"/>
                <w:szCs w:val="14"/>
                <w:color w:val="auto"/>
              </w:rPr>
              <w:t>Charge-offs</w:t>
            </w:r>
          </w:p>
        </w:tc>
        <w:tc>
          <w:tcPr>
            <w:tcW w:w="13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(80 )</w:t>
            </w:r>
          </w:p>
        </w:tc>
        <w:tc>
          <w:tcPr>
            <w:tcW w:w="24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(370 )</w:t>
            </w:r>
          </w:p>
        </w:tc>
        <w:tc>
          <w:tcPr>
            <w:tcW w:w="0" w:type="dxa"/>
            <w:vAlign w:val="bottom"/>
          </w:tcPr>
          <w:p>
            <w:pPr>
              <w:spacing w:after="0"/>
              <w:rPr>
                <w:sz w:val="1"/>
                <w:szCs w:val="1"/>
                <w:color w:val="auto"/>
              </w:rPr>
            </w:pPr>
          </w:p>
        </w:tc>
      </w:tr>
      <w:tr>
        <w:trPr>
          <w:trHeight w:val="195"/>
        </w:trPr>
        <w:tc>
          <w:tcPr>
            <w:tcW w:w="3120" w:type="dxa"/>
            <w:vAlign w:val="bottom"/>
            <w:shd w:val="clear" w:color="auto" w:fill="CFF0FC"/>
          </w:tcPr>
          <w:p>
            <w:pPr>
              <w:ind w:left="180"/>
              <w:spacing w:after="0"/>
              <w:rPr>
                <w:sz w:val="20"/>
                <w:szCs w:val="20"/>
                <w:color w:val="auto"/>
              </w:rPr>
            </w:pPr>
            <w:r>
              <w:rPr>
                <w:rFonts w:ascii="Arial" w:cs="Arial" w:eastAsia="Arial" w:hAnsi="Arial"/>
                <w:sz w:val="14"/>
                <w:szCs w:val="14"/>
                <w:color w:val="auto"/>
              </w:rPr>
              <w:t>Recoveries</w:t>
            </w:r>
          </w:p>
        </w:tc>
        <w:tc>
          <w:tcPr>
            <w:tcW w:w="13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56</w:t>
            </w: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189"/>
        </w:trPr>
        <w:tc>
          <w:tcPr>
            <w:tcW w:w="3120" w:type="dxa"/>
            <w:vAlign w:val="bottom"/>
          </w:tcPr>
          <w:p>
            <w:pPr>
              <w:ind w:left="180"/>
              <w:spacing w:after="0"/>
              <w:rPr>
                <w:sz w:val="20"/>
                <w:szCs w:val="20"/>
                <w:color w:val="auto"/>
              </w:rPr>
            </w:pPr>
            <w:r>
              <w:rPr>
                <w:rFonts w:ascii="Arial" w:cs="Arial" w:eastAsia="Arial" w:hAnsi="Arial"/>
                <w:sz w:val="14"/>
                <w:szCs w:val="14"/>
                <w:color w:val="auto"/>
              </w:rPr>
              <w:t>Provisions</w:t>
            </w:r>
          </w:p>
        </w:tc>
        <w:tc>
          <w:tcPr>
            <w:tcW w:w="13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(24 )</w:t>
            </w:r>
          </w:p>
        </w:tc>
        <w:tc>
          <w:tcPr>
            <w:tcW w:w="28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270</w:t>
            </w:r>
          </w:p>
        </w:tc>
        <w:tc>
          <w:tcPr>
            <w:tcW w:w="24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(395 )</w:t>
            </w:r>
          </w:p>
        </w:tc>
        <w:tc>
          <w:tcPr>
            <w:tcW w:w="22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89"/>
        </w:trPr>
        <w:tc>
          <w:tcPr>
            <w:tcW w:w="3120" w:type="dxa"/>
            <w:vAlign w:val="bottom"/>
            <w:vMerge w:val="restart"/>
            <w:shd w:val="clear" w:color="auto" w:fill="CFF0FC"/>
          </w:tcPr>
          <w:p>
            <w:pPr>
              <w:ind w:left="20"/>
              <w:spacing w:after="0"/>
              <w:rPr>
                <w:sz w:val="20"/>
                <w:szCs w:val="20"/>
                <w:color w:val="auto"/>
              </w:rPr>
            </w:pPr>
            <w:r>
              <w:rPr>
                <w:rFonts w:ascii="Arial" w:cs="Arial" w:eastAsia="Arial" w:hAnsi="Arial"/>
                <w:sz w:val="14"/>
                <w:szCs w:val="14"/>
                <w:color w:val="auto"/>
              </w:rPr>
              <w:t>Ending balance</w:t>
            </w:r>
          </w:p>
        </w:tc>
        <w:tc>
          <w:tcPr>
            <w:tcW w:w="13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4</w:t>
            </w:r>
          </w:p>
        </w:tc>
        <w:tc>
          <w:tcPr>
            <w:tcW w:w="2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rPr>
              <w:t>750</w:t>
            </w:r>
          </w:p>
        </w:tc>
        <w:tc>
          <w:tcPr>
            <w:tcW w:w="2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rPr>
              <w:t>1,543</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589</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13,078</w:t>
            </w:r>
          </w:p>
        </w:tc>
        <w:tc>
          <w:tcPr>
            <w:tcW w:w="0" w:type="dxa"/>
            <w:vAlign w:val="bottom"/>
          </w:tcPr>
          <w:p>
            <w:pPr>
              <w:spacing w:after="0"/>
              <w:rPr>
                <w:sz w:val="1"/>
                <w:szCs w:val="1"/>
                <w:color w:val="auto"/>
              </w:rPr>
            </w:pPr>
          </w:p>
        </w:tc>
      </w:tr>
      <w:tr>
        <w:trPr>
          <w:trHeight w:val="175"/>
        </w:trPr>
        <w:tc>
          <w:tcPr>
            <w:tcW w:w="3120" w:type="dxa"/>
            <w:vAlign w:val="bottom"/>
            <w:tcBorders>
              <w:bottom w:val="single" w:sz="8" w:color="auto"/>
            </w:tcBorders>
            <w:vMerge w:val="continue"/>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vMerge w:val="continue"/>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Company’s methodology for determining its allowance for credit losses includes an analysis of qualitative factors that are added to the historical loss rates in arriving at the total allowance for credit losses needed for this general pool of loans. The qualitative factors include, but are not limited to, the following:</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national and local economic trends;</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rate of growth in the portfolio;</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•Trends of delinquencies and nonaccrual balances;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loan policy; and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lending management experience and related staffing.</w:t>
      </w:r>
    </w:p>
    <w:p>
      <w:pPr>
        <w:spacing w:after="0" w:line="16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Each factor is assigned a value to reflect improving, stable or declining conditions based on management’s best judgment using relevant information available at the time of the evaluation. These qualitative factors, applied to each product class, make the evaluation inherently subjective, as it requires material estimates that may be susceptible to significant revision as more information becomes available. Adjustments to the factors are supported through documentation of changes in conditions in a narrative accompanying the allowance for credit losses analysis and calculation.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32</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7" w:right="680"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The allocation of the allowance for credit losses summarized on the basis of the Company’s calculation methodology was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0" w:type="dxa"/>
            <w:vAlign w:val="bottom"/>
            <w:gridSpan w:val="2"/>
          </w:tcPr>
          <w:p>
            <w:pPr>
              <w:jc w:val="right"/>
              <w:ind w:right="162"/>
              <w:spacing w:after="0"/>
              <w:rPr>
                <w:sz w:val="20"/>
                <w:szCs w:val="20"/>
                <w:color w:val="auto"/>
              </w:rPr>
            </w:pPr>
            <w:r>
              <w:rPr>
                <w:rFonts w:ascii="Arial" w:cs="Arial" w:eastAsia="Arial" w:hAnsi="Arial"/>
                <w:sz w:val="16"/>
                <w:szCs w:val="16"/>
                <w:color w:val="auto"/>
              </w:rPr>
              <w:t>June 30, 2023</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4"/>
        </w:trPr>
        <w:tc>
          <w:tcPr>
            <w:tcW w:w="3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 family</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4"/>
        </w:trPr>
        <w:tc>
          <w:tcPr>
            <w:tcW w:w="3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first-lien</w:t>
            </w:r>
          </w:p>
        </w:tc>
        <w:tc>
          <w:tcPr>
            <w:tcW w:w="360" w:type="dxa"/>
            <w:vAlign w:val="bottom"/>
          </w:tcPr>
          <w:p>
            <w:pPr>
              <w:spacing w:after="0"/>
              <w:rPr>
                <w:sz w:val="17"/>
                <w:szCs w:val="17"/>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Residential</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Other</w:t>
            </w:r>
          </w:p>
        </w:tc>
      </w:tr>
      <w:tr>
        <w:trPr>
          <w:trHeight w:val="204"/>
        </w:trPr>
        <w:tc>
          <w:tcPr>
            <w:tcW w:w="3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residential</w:t>
            </w:r>
          </w:p>
        </w:tc>
        <w:tc>
          <w:tcPr>
            <w:tcW w:w="360" w:type="dxa"/>
            <w:vAlign w:val="bottom"/>
          </w:tcPr>
          <w:p>
            <w:pPr>
              <w:spacing w:after="0"/>
              <w:rPr>
                <w:sz w:val="17"/>
                <w:szCs w:val="17"/>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construction</w:t>
            </w:r>
          </w:p>
        </w:tc>
        <w:tc>
          <w:tcPr>
            <w:tcW w:w="320" w:type="dxa"/>
            <w:vAlign w:val="bottom"/>
          </w:tcPr>
          <w:p>
            <w:pPr>
              <w:spacing w:after="0"/>
              <w:rPr>
                <w:sz w:val="17"/>
                <w:szCs w:val="17"/>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Commercial</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commercial</w:t>
            </w:r>
          </w:p>
        </w:tc>
      </w:tr>
      <w:tr>
        <w:trPr>
          <w:trHeight w:val="205"/>
        </w:trPr>
        <w:tc>
          <w:tcPr>
            <w:tcW w:w="35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mortgage</w:t>
            </w:r>
          </w:p>
        </w:tc>
        <w:tc>
          <w:tcPr>
            <w:tcW w:w="360" w:type="dxa"/>
            <w:vAlign w:val="bottom"/>
          </w:tcPr>
          <w:p>
            <w:pPr>
              <w:spacing w:after="0"/>
              <w:rPr>
                <w:sz w:val="17"/>
                <w:szCs w:val="17"/>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mortgage</w:t>
            </w:r>
          </w:p>
        </w:tc>
        <w:tc>
          <w:tcPr>
            <w:tcW w:w="32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real estate</w:t>
            </w:r>
          </w:p>
        </w:tc>
        <w:tc>
          <w:tcPr>
            <w:tcW w:w="30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lines of credit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and industrial</w:t>
            </w:r>
          </w:p>
        </w:tc>
      </w:tr>
      <w:tr>
        <w:trPr>
          <w:trHeight w:val="205"/>
        </w:trPr>
        <w:tc>
          <w:tcPr>
            <w:tcW w:w="3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Specifically reserved</w:t>
            </w:r>
          </w:p>
        </w:tc>
        <w:tc>
          <w:tcPr>
            <w:tcW w:w="3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606</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1,892</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3,628</w:t>
            </w:r>
          </w:p>
        </w:tc>
      </w:tr>
      <w:tr>
        <w:trPr>
          <w:trHeight w:val="203"/>
        </w:trPr>
        <w:tc>
          <w:tcPr>
            <w:tcW w:w="3560" w:type="dxa"/>
            <w:vAlign w:val="bottom"/>
          </w:tcPr>
          <w:p>
            <w:pPr>
              <w:ind w:left="20"/>
              <w:spacing w:after="0"/>
              <w:rPr>
                <w:sz w:val="20"/>
                <w:szCs w:val="20"/>
                <w:color w:val="auto"/>
              </w:rPr>
            </w:pPr>
            <w:r>
              <w:rPr>
                <w:rFonts w:ascii="Arial" w:cs="Arial" w:eastAsia="Arial" w:hAnsi="Arial"/>
                <w:sz w:val="16"/>
                <w:szCs w:val="16"/>
                <w:color w:val="auto"/>
              </w:rPr>
              <w:t>Historical loss rate</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1,569</w:t>
            </w:r>
          </w:p>
        </w:tc>
        <w:tc>
          <w:tcPr>
            <w:tcW w:w="360" w:type="dxa"/>
            <w:vAlign w:val="bottom"/>
          </w:tcPr>
          <w:p>
            <w:pPr>
              <w:spacing w:after="0"/>
              <w:rPr>
                <w:sz w:val="17"/>
                <w:szCs w:val="17"/>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444</w:t>
            </w:r>
          </w:p>
        </w:tc>
        <w:tc>
          <w:tcPr>
            <w:tcW w:w="320" w:type="dxa"/>
            <w:vAlign w:val="bottom"/>
          </w:tcPr>
          <w:p>
            <w:pPr>
              <w:spacing w:after="0"/>
              <w:rPr>
                <w:sz w:val="17"/>
                <w:szCs w:val="17"/>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2,795</w:t>
            </w:r>
          </w:p>
        </w:tc>
        <w:tc>
          <w:tcPr>
            <w:tcW w:w="300" w:type="dxa"/>
            <w:vAlign w:val="bottom"/>
          </w:tcPr>
          <w:p>
            <w:pPr>
              <w:spacing w:after="0"/>
              <w:rPr>
                <w:sz w:val="17"/>
                <w:szCs w:val="17"/>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179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976</w:t>
            </w:r>
          </w:p>
        </w:tc>
      </w:tr>
      <w:tr>
        <w:trPr>
          <w:trHeight w:val="205"/>
        </w:trPr>
        <w:tc>
          <w:tcPr>
            <w:tcW w:w="3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Qualitative factors</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190</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2,030</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549</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588</w:t>
            </w:r>
          </w:p>
        </w:tc>
      </w:tr>
      <w:tr>
        <w:trPr>
          <w:trHeight w:val="203"/>
        </w:trPr>
        <w:tc>
          <w:tcPr>
            <w:tcW w:w="35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634</w:t>
            </w:r>
          </w:p>
        </w:tc>
        <w:tc>
          <w:tcPr>
            <w:tcW w:w="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5,431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2,620</w:t>
            </w:r>
          </w:p>
        </w:tc>
        <w:tc>
          <w:tcPr>
            <w:tcW w:w="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5,192</w:t>
            </w: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83"/>
        </w:trPr>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Home equity</w:t>
            </w:r>
          </w:p>
        </w:tc>
        <w:tc>
          <w:tcPr>
            <w:tcW w:w="320" w:type="dxa"/>
            <w:vAlign w:val="bottom"/>
          </w:tcPr>
          <w:p>
            <w:pPr>
              <w:spacing w:after="0"/>
              <w:rPr>
                <w:sz w:val="24"/>
                <w:szCs w:val="24"/>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5"/>
        </w:trPr>
        <w:tc>
          <w:tcPr>
            <w:tcW w:w="3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Tax exempt</w:t>
            </w:r>
          </w:p>
        </w:tc>
        <w:tc>
          <w:tcPr>
            <w:tcW w:w="360" w:type="dxa"/>
            <w:vAlign w:val="bottom"/>
          </w:tcPr>
          <w:p>
            <w:pPr>
              <w:spacing w:after="0"/>
              <w:rPr>
                <w:sz w:val="17"/>
                <w:szCs w:val="17"/>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w w:val="96"/>
              </w:rPr>
              <w:t>and junior liens</w:t>
            </w:r>
          </w:p>
        </w:tc>
        <w:tc>
          <w:tcPr>
            <w:tcW w:w="32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consumer</w:t>
            </w:r>
          </w:p>
        </w:tc>
        <w:tc>
          <w:tcPr>
            <w:tcW w:w="30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5"/>
        </w:trPr>
        <w:tc>
          <w:tcPr>
            <w:tcW w:w="3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Specifically reserved</w:t>
            </w:r>
          </w:p>
        </w:tc>
        <w:tc>
          <w:tcPr>
            <w:tcW w:w="3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424</w:t>
            </w:r>
          </w:p>
        </w:tc>
        <w:tc>
          <w:tcPr>
            <w:tcW w:w="3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1,818</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8,495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6"/>
                <w:szCs w:val="16"/>
                <w:color w:val="auto"/>
              </w:rPr>
              <w:t>Historical loss rate</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17"/>
                <w:szCs w:val="17"/>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187</w:t>
            </w:r>
          </w:p>
        </w:tc>
        <w:tc>
          <w:tcPr>
            <w:tcW w:w="32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324</w:t>
            </w:r>
          </w:p>
        </w:tc>
        <w:tc>
          <w:tcPr>
            <w:tcW w:w="30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6,478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5"/>
        </w:trPr>
        <w:tc>
          <w:tcPr>
            <w:tcW w:w="3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Qualitative factors</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71</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44</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3,823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35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682</w:t>
            </w:r>
          </w:p>
        </w:tc>
        <w:tc>
          <w:tcPr>
            <w:tcW w:w="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2,186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18,796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7"/>
        </w:trPr>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2"/>
        </w:trPr>
        <w:tc>
          <w:tcPr>
            <w:tcW w:w="3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0" w:type="dxa"/>
            <w:vAlign w:val="bottom"/>
            <w:gridSpan w:val="2"/>
          </w:tcPr>
          <w:p>
            <w:pPr>
              <w:jc w:val="right"/>
              <w:ind w:right="162"/>
              <w:spacing w:after="0"/>
              <w:rPr>
                <w:sz w:val="20"/>
                <w:szCs w:val="20"/>
                <w:color w:val="auto"/>
              </w:rPr>
            </w:pPr>
            <w:r>
              <w:rPr>
                <w:rFonts w:ascii="Arial" w:cs="Arial" w:eastAsia="Arial" w:hAnsi="Arial"/>
                <w:sz w:val="16"/>
                <w:szCs w:val="16"/>
                <w:color w:val="auto"/>
              </w:rPr>
              <w:t>June 30, 2022</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4"/>
        </w:trPr>
        <w:tc>
          <w:tcPr>
            <w:tcW w:w="3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 family</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4"/>
        </w:trPr>
        <w:tc>
          <w:tcPr>
            <w:tcW w:w="3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first-lien</w:t>
            </w:r>
          </w:p>
        </w:tc>
        <w:tc>
          <w:tcPr>
            <w:tcW w:w="360" w:type="dxa"/>
            <w:vAlign w:val="bottom"/>
          </w:tcPr>
          <w:p>
            <w:pPr>
              <w:spacing w:after="0"/>
              <w:rPr>
                <w:sz w:val="17"/>
                <w:szCs w:val="17"/>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Residential</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Other</w:t>
            </w:r>
          </w:p>
        </w:tc>
      </w:tr>
      <w:tr>
        <w:trPr>
          <w:trHeight w:val="204"/>
        </w:trPr>
        <w:tc>
          <w:tcPr>
            <w:tcW w:w="3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residential</w:t>
            </w:r>
          </w:p>
        </w:tc>
        <w:tc>
          <w:tcPr>
            <w:tcW w:w="360" w:type="dxa"/>
            <w:vAlign w:val="bottom"/>
          </w:tcPr>
          <w:p>
            <w:pPr>
              <w:spacing w:after="0"/>
              <w:rPr>
                <w:sz w:val="17"/>
                <w:szCs w:val="17"/>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construction</w:t>
            </w:r>
          </w:p>
        </w:tc>
        <w:tc>
          <w:tcPr>
            <w:tcW w:w="320" w:type="dxa"/>
            <w:vAlign w:val="bottom"/>
          </w:tcPr>
          <w:p>
            <w:pPr>
              <w:spacing w:after="0"/>
              <w:rPr>
                <w:sz w:val="17"/>
                <w:szCs w:val="17"/>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Commercial</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commercial</w:t>
            </w:r>
          </w:p>
        </w:tc>
      </w:tr>
      <w:tr>
        <w:trPr>
          <w:trHeight w:val="204"/>
        </w:trPr>
        <w:tc>
          <w:tcPr>
            <w:tcW w:w="35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mortgage</w:t>
            </w:r>
          </w:p>
        </w:tc>
        <w:tc>
          <w:tcPr>
            <w:tcW w:w="360" w:type="dxa"/>
            <w:vAlign w:val="bottom"/>
          </w:tcPr>
          <w:p>
            <w:pPr>
              <w:spacing w:after="0"/>
              <w:rPr>
                <w:sz w:val="17"/>
                <w:szCs w:val="17"/>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mortgage</w:t>
            </w:r>
          </w:p>
        </w:tc>
        <w:tc>
          <w:tcPr>
            <w:tcW w:w="32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real estate</w:t>
            </w:r>
          </w:p>
        </w:tc>
        <w:tc>
          <w:tcPr>
            <w:tcW w:w="30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lines of credit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and industrial</w:t>
            </w:r>
          </w:p>
        </w:tc>
      </w:tr>
      <w:tr>
        <w:trPr>
          <w:trHeight w:val="205"/>
        </w:trPr>
        <w:tc>
          <w:tcPr>
            <w:tcW w:w="3560" w:type="dxa"/>
            <w:vAlign w:val="bottom"/>
          </w:tcPr>
          <w:p>
            <w:pPr>
              <w:ind w:left="20"/>
              <w:spacing w:after="0"/>
              <w:rPr>
                <w:sz w:val="20"/>
                <w:szCs w:val="20"/>
                <w:color w:val="auto"/>
              </w:rPr>
            </w:pPr>
            <w:r>
              <w:rPr>
                <w:rFonts w:ascii="Arial" w:cs="Arial" w:eastAsia="Arial" w:hAnsi="Arial"/>
                <w:sz w:val="16"/>
                <w:szCs w:val="16"/>
                <w:color w:val="auto"/>
              </w:rPr>
              <w:t>Specifically reserved</w:t>
            </w:r>
          </w:p>
        </w:tc>
        <w:tc>
          <w:tcPr>
            <w:tcW w:w="3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95</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44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359</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1,208</w:t>
            </w:r>
          </w:p>
        </w:tc>
      </w:tr>
      <w:tr>
        <w:trPr>
          <w:trHeight w:val="205"/>
        </w:trPr>
        <w:tc>
          <w:tcPr>
            <w:tcW w:w="3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Historical loss rate</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83</w:t>
            </w:r>
          </w:p>
        </w:tc>
      </w:tr>
      <w:tr>
        <w:trPr>
          <w:trHeight w:val="203"/>
        </w:trPr>
        <w:tc>
          <w:tcPr>
            <w:tcW w:w="3560" w:type="dxa"/>
            <w:vAlign w:val="bottom"/>
          </w:tcPr>
          <w:p>
            <w:pPr>
              <w:ind w:left="20"/>
              <w:spacing w:after="0"/>
              <w:rPr>
                <w:sz w:val="20"/>
                <w:szCs w:val="20"/>
                <w:color w:val="auto"/>
              </w:rPr>
            </w:pPr>
            <w:r>
              <w:rPr>
                <w:rFonts w:ascii="Arial" w:cs="Arial" w:eastAsia="Arial" w:hAnsi="Arial"/>
                <w:sz w:val="16"/>
                <w:szCs w:val="16"/>
                <w:color w:val="auto"/>
              </w:rPr>
              <w:t>Qualitative factors</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717</w:t>
            </w:r>
          </w:p>
        </w:tc>
        <w:tc>
          <w:tcPr>
            <w:tcW w:w="360" w:type="dxa"/>
            <w:vAlign w:val="bottom"/>
          </w:tcPr>
          <w:p>
            <w:pPr>
              <w:spacing w:after="0"/>
              <w:rPr>
                <w:sz w:val="17"/>
                <w:szCs w:val="17"/>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5,477</w:t>
            </w:r>
          </w:p>
        </w:tc>
        <w:tc>
          <w:tcPr>
            <w:tcW w:w="300" w:type="dxa"/>
            <w:vAlign w:val="bottom"/>
          </w:tcPr>
          <w:p>
            <w:pPr>
              <w:spacing w:after="0"/>
              <w:rPr>
                <w:sz w:val="17"/>
                <w:szCs w:val="17"/>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761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1,325</w:t>
            </w:r>
          </w:p>
        </w:tc>
      </w:tr>
      <w:tr>
        <w:trPr>
          <w:trHeight w:val="244"/>
        </w:trPr>
        <w:tc>
          <w:tcPr>
            <w:tcW w:w="356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897</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5,522</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1,157</w:t>
            </w:r>
          </w:p>
        </w:tc>
        <w:tc>
          <w:tcPr>
            <w:tcW w:w="28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2,616</w:t>
            </w:r>
          </w:p>
        </w:tc>
      </w:tr>
      <w:tr>
        <w:trPr>
          <w:trHeight w:val="383"/>
        </w:trPr>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Home equity</w:t>
            </w:r>
          </w:p>
        </w:tc>
        <w:tc>
          <w:tcPr>
            <w:tcW w:w="320" w:type="dxa"/>
            <w:vAlign w:val="bottom"/>
          </w:tcPr>
          <w:p>
            <w:pPr>
              <w:spacing w:after="0"/>
              <w:rPr>
                <w:sz w:val="24"/>
                <w:szCs w:val="24"/>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4"/>
        </w:trPr>
        <w:tc>
          <w:tcPr>
            <w:tcW w:w="3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Tax exempt</w:t>
            </w:r>
          </w:p>
        </w:tc>
        <w:tc>
          <w:tcPr>
            <w:tcW w:w="360" w:type="dxa"/>
            <w:vAlign w:val="bottom"/>
          </w:tcPr>
          <w:p>
            <w:pPr>
              <w:spacing w:after="0"/>
              <w:rPr>
                <w:sz w:val="17"/>
                <w:szCs w:val="17"/>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w w:val="96"/>
              </w:rPr>
              <w:t>and junior liens</w:t>
            </w:r>
          </w:p>
        </w:tc>
        <w:tc>
          <w:tcPr>
            <w:tcW w:w="32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consumer</w:t>
            </w:r>
          </w:p>
        </w:tc>
        <w:tc>
          <w:tcPr>
            <w:tcW w:w="300" w:type="dxa"/>
            <w:vAlign w:val="bottom"/>
          </w:tcPr>
          <w:p>
            <w:pPr>
              <w:spacing w:after="0"/>
              <w:rPr>
                <w:sz w:val="17"/>
                <w:szCs w:val="17"/>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Unallocated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Total</w:t>
            </w:r>
          </w:p>
        </w:tc>
      </w:tr>
      <w:tr>
        <w:trPr>
          <w:trHeight w:val="205"/>
        </w:trPr>
        <w:tc>
          <w:tcPr>
            <w:tcW w:w="3560" w:type="dxa"/>
            <w:vAlign w:val="bottom"/>
          </w:tcPr>
          <w:p>
            <w:pPr>
              <w:ind w:left="20"/>
              <w:spacing w:after="0"/>
              <w:rPr>
                <w:sz w:val="20"/>
                <w:szCs w:val="20"/>
                <w:color w:val="auto"/>
              </w:rPr>
            </w:pPr>
            <w:r>
              <w:rPr>
                <w:rFonts w:ascii="Arial" w:cs="Arial" w:eastAsia="Arial" w:hAnsi="Arial"/>
                <w:sz w:val="16"/>
                <w:szCs w:val="16"/>
                <w:color w:val="auto"/>
              </w:rPr>
              <w:t>Specifically reserved</w:t>
            </w:r>
          </w:p>
        </w:tc>
        <w:tc>
          <w:tcPr>
            <w:tcW w:w="3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114</w:t>
            </w:r>
          </w:p>
        </w:tc>
        <w:tc>
          <w:tcPr>
            <w:tcW w:w="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1,820</w:t>
            </w:r>
          </w:p>
        </w:tc>
      </w:tr>
      <w:tr>
        <w:trPr>
          <w:trHeight w:val="205"/>
        </w:trPr>
        <w:tc>
          <w:tcPr>
            <w:tcW w:w="3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Historical loss rate</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321</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1,246</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1,773</w:t>
            </w:r>
          </w:p>
        </w:tc>
      </w:tr>
      <w:tr>
        <w:trPr>
          <w:trHeight w:val="203"/>
        </w:trPr>
        <w:tc>
          <w:tcPr>
            <w:tcW w:w="3560" w:type="dxa"/>
            <w:vAlign w:val="bottom"/>
          </w:tcPr>
          <w:p>
            <w:pPr>
              <w:ind w:left="20"/>
              <w:spacing w:after="0"/>
              <w:rPr>
                <w:sz w:val="20"/>
                <w:szCs w:val="20"/>
                <w:color w:val="auto"/>
              </w:rPr>
            </w:pPr>
            <w:r>
              <w:rPr>
                <w:rFonts w:ascii="Arial" w:cs="Arial" w:eastAsia="Arial" w:hAnsi="Arial"/>
                <w:sz w:val="16"/>
                <w:szCs w:val="16"/>
                <w:color w:val="auto"/>
              </w:rPr>
              <w:t>Qualitative factors</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17"/>
                <w:szCs w:val="17"/>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315</w:t>
            </w:r>
          </w:p>
        </w:tc>
        <w:tc>
          <w:tcPr>
            <w:tcW w:w="32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297</w:t>
            </w:r>
          </w:p>
        </w:tc>
        <w:tc>
          <w:tcPr>
            <w:tcW w:w="30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8,896</w:t>
            </w:r>
          </w:p>
        </w:tc>
      </w:tr>
      <w:tr>
        <w:trPr>
          <w:trHeight w:val="205"/>
        </w:trPr>
        <w:tc>
          <w:tcPr>
            <w:tcW w:w="3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589</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589</w:t>
            </w:r>
          </w:p>
        </w:tc>
      </w:tr>
      <w:tr>
        <w:trPr>
          <w:trHeight w:val="203"/>
        </w:trPr>
        <w:tc>
          <w:tcPr>
            <w:tcW w:w="35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750</w:t>
            </w:r>
          </w:p>
        </w:tc>
        <w:tc>
          <w:tcPr>
            <w:tcW w:w="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1,543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589</w:t>
            </w:r>
          </w:p>
        </w:tc>
        <w:tc>
          <w:tcPr>
            <w:tcW w:w="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13,078</w:t>
            </w: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Foreclosed Real Estate</w:t>
      </w:r>
    </w:p>
    <w:p>
      <w:pPr>
        <w:spacing w:after="0" w:line="247"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The Company is required to disclose the carrying amount of foreclosed real estate properties held as a result of obtaining physical possession of the property at each reporting period.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780" w:type="dxa"/>
            <w:vAlign w:val="bottom"/>
          </w:tcPr>
          <w:p>
            <w:pPr>
              <w:jc w:val="right"/>
              <w:ind w:right="42"/>
              <w:spacing w:after="0"/>
              <w:rPr>
                <w:sz w:val="20"/>
                <w:szCs w:val="20"/>
                <w:color w:val="auto"/>
              </w:rPr>
            </w:pPr>
            <w:r>
              <w:rPr>
                <w:rFonts w:ascii="Arial" w:cs="Arial" w:eastAsia="Arial" w:hAnsi="Arial"/>
                <w:sz w:val="16"/>
                <w:szCs w:val="16"/>
                <w:color w:val="auto"/>
              </w:rPr>
              <w:t>Number of</w:t>
            </w:r>
          </w:p>
        </w:tc>
        <w:tc>
          <w:tcPr>
            <w:tcW w:w="460" w:type="dxa"/>
            <w:vAlign w:val="bottom"/>
          </w:tcPr>
          <w:p>
            <w:pPr>
              <w:spacing w:after="0"/>
              <w:rPr>
                <w:sz w:val="16"/>
                <w:szCs w:val="16"/>
                <w:color w:val="auto"/>
              </w:rPr>
            </w:pPr>
          </w:p>
        </w:tc>
        <w:tc>
          <w:tcPr>
            <w:tcW w:w="1140" w:type="dxa"/>
            <w:vAlign w:val="bottom"/>
          </w:tcPr>
          <w:p>
            <w:pPr>
              <w:jc w:val="right"/>
              <w:ind w:right="242"/>
              <w:spacing w:after="0"/>
              <w:rPr>
                <w:sz w:val="20"/>
                <w:szCs w:val="20"/>
                <w:color w:val="auto"/>
              </w:rPr>
            </w:pPr>
            <w:r>
              <w:rPr>
                <w:rFonts w:ascii="Arial" w:cs="Arial" w:eastAsia="Arial" w:hAnsi="Arial"/>
                <w:sz w:val="16"/>
                <w:szCs w:val="16"/>
                <w:color w:val="auto"/>
              </w:rPr>
              <w:t>June 30,</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Number of</w:t>
            </w:r>
          </w:p>
        </w:tc>
        <w:tc>
          <w:tcPr>
            <w:tcW w:w="240" w:type="dxa"/>
            <w:vAlign w:val="bottom"/>
          </w:tcPr>
          <w:p>
            <w:pPr>
              <w:spacing w:after="0"/>
              <w:rPr>
                <w:sz w:val="16"/>
                <w:szCs w:val="16"/>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w w:val="99"/>
              </w:rPr>
              <w:t>December 31,</w:t>
            </w:r>
          </w:p>
        </w:tc>
        <w:tc>
          <w:tcPr>
            <w:tcW w:w="0" w:type="dxa"/>
            <w:vAlign w:val="bottom"/>
          </w:tcPr>
          <w:p>
            <w:pPr>
              <w:spacing w:after="0"/>
              <w:rPr>
                <w:sz w:val="1"/>
                <w:szCs w:val="1"/>
                <w:color w:val="auto"/>
              </w:rPr>
            </w:pPr>
          </w:p>
        </w:tc>
      </w:tr>
      <w:tr>
        <w:trPr>
          <w:trHeight w:val="198"/>
        </w:trPr>
        <w:tc>
          <w:tcPr>
            <w:tcW w:w="3640" w:type="dxa"/>
            <w:vAlign w:val="bottom"/>
            <w:vMerge w:val="continue"/>
          </w:tcPr>
          <w:p>
            <w:pPr>
              <w:spacing w:after="0"/>
              <w:rPr>
                <w:sz w:val="17"/>
                <w:szCs w:val="17"/>
                <w:color w:val="auto"/>
              </w:rPr>
            </w:pPr>
          </w:p>
        </w:tc>
        <w:tc>
          <w:tcPr>
            <w:tcW w:w="2780" w:type="dxa"/>
            <w:vAlign w:val="bottom"/>
          </w:tcPr>
          <w:p>
            <w:pPr>
              <w:jc w:val="right"/>
              <w:ind w:right="42"/>
              <w:spacing w:after="0"/>
              <w:rPr>
                <w:sz w:val="20"/>
                <w:szCs w:val="20"/>
                <w:color w:val="auto"/>
              </w:rPr>
            </w:pPr>
            <w:r>
              <w:rPr>
                <w:rFonts w:ascii="Arial" w:cs="Arial" w:eastAsia="Arial" w:hAnsi="Arial"/>
                <w:sz w:val="16"/>
                <w:szCs w:val="16"/>
                <w:color w:val="auto"/>
              </w:rPr>
              <w:t>properties</w:t>
            </w:r>
          </w:p>
        </w:tc>
        <w:tc>
          <w:tcPr>
            <w:tcW w:w="460" w:type="dxa"/>
            <w:vAlign w:val="bottom"/>
          </w:tcPr>
          <w:p>
            <w:pPr>
              <w:spacing w:after="0"/>
              <w:rPr>
                <w:sz w:val="17"/>
                <w:szCs w:val="17"/>
                <w:color w:val="auto"/>
              </w:rPr>
            </w:pPr>
          </w:p>
        </w:tc>
        <w:tc>
          <w:tcPr>
            <w:tcW w:w="1140" w:type="dxa"/>
            <w:vAlign w:val="bottom"/>
          </w:tcPr>
          <w:p>
            <w:pPr>
              <w:jc w:val="right"/>
              <w:ind w:right="242"/>
              <w:spacing w:after="0"/>
              <w:rPr>
                <w:sz w:val="20"/>
                <w:szCs w:val="20"/>
                <w:color w:val="auto"/>
              </w:rPr>
            </w:pPr>
            <w:r>
              <w:rPr>
                <w:rFonts w:ascii="Arial" w:cs="Arial" w:eastAsia="Arial" w:hAnsi="Arial"/>
                <w:sz w:val="16"/>
                <w:szCs w:val="16"/>
                <w:color w:val="auto"/>
              </w:rPr>
              <w:t>2023</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properties</w:t>
            </w:r>
          </w:p>
        </w:tc>
        <w:tc>
          <w:tcPr>
            <w:tcW w:w="240" w:type="dxa"/>
            <w:vAlign w:val="bottom"/>
          </w:tcPr>
          <w:p>
            <w:pPr>
              <w:spacing w:after="0"/>
              <w:rPr>
                <w:sz w:val="17"/>
                <w:szCs w:val="17"/>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03"/>
        </w:trPr>
        <w:tc>
          <w:tcPr>
            <w:tcW w:w="3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Foreclosed real estate</w:t>
            </w:r>
          </w:p>
        </w:tc>
        <w:tc>
          <w:tcPr>
            <w:tcW w:w="2780" w:type="dxa"/>
            <w:vAlign w:val="bottom"/>
            <w:vMerge w:val="restart"/>
            <w:shd w:val="clear" w:color="auto" w:fill="CFF0FC"/>
          </w:tcPr>
          <w:p>
            <w:pPr>
              <w:jc w:val="right"/>
              <w:ind w:right="42"/>
              <w:spacing w:after="0"/>
              <w:rPr>
                <w:sz w:val="20"/>
                <w:szCs w:val="20"/>
                <w:color w:val="auto"/>
              </w:rPr>
            </w:pPr>
            <w:r>
              <w:rPr>
                <w:rFonts w:ascii="Arial" w:cs="Arial" w:eastAsia="Arial" w:hAnsi="Arial"/>
                <w:sz w:val="16"/>
                <w:szCs w:val="16"/>
                <w:color w:val="auto"/>
              </w:rPr>
              <w:t>6</w:t>
            </w:r>
          </w:p>
        </w:tc>
        <w:tc>
          <w:tcPr>
            <w:tcW w:w="460" w:type="dxa"/>
            <w:vAlign w:val="bottom"/>
            <w:vMerge w:val="restart"/>
            <w:shd w:val="clear" w:color="auto" w:fill="CFF0FC"/>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242"/>
              <w:spacing w:after="0"/>
              <w:rPr>
                <w:sz w:val="20"/>
                <w:szCs w:val="20"/>
                <w:color w:val="auto"/>
              </w:rPr>
            </w:pPr>
            <w:r>
              <w:rPr>
                <w:rFonts w:ascii="Arial" w:cs="Arial" w:eastAsia="Arial" w:hAnsi="Arial"/>
                <w:sz w:val="16"/>
                <w:szCs w:val="16"/>
                <w:color w:val="auto"/>
              </w:rPr>
              <w:t>277</w:t>
            </w:r>
          </w:p>
        </w:tc>
        <w:tc>
          <w:tcPr>
            <w:tcW w:w="1180" w:type="dxa"/>
            <w:vAlign w:val="bottom"/>
            <w:vMerge w:val="restart"/>
            <w:shd w:val="clear" w:color="auto" w:fill="CFF0FC"/>
          </w:tcPr>
          <w:p>
            <w:pPr>
              <w:jc w:val="right"/>
              <w:ind w:right="42"/>
              <w:spacing w:after="0"/>
              <w:rPr>
                <w:sz w:val="20"/>
                <w:szCs w:val="20"/>
                <w:color w:val="auto"/>
              </w:rPr>
            </w:pPr>
            <w:r>
              <w:rPr>
                <w:rFonts w:ascii="Arial" w:cs="Arial" w:eastAsia="Arial" w:hAnsi="Arial"/>
                <w:sz w:val="16"/>
                <w:szCs w:val="16"/>
                <w:color w:val="auto"/>
              </w:rPr>
              <w:t>2</w:t>
            </w: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137"/>
        </w:trPr>
        <w:tc>
          <w:tcPr>
            <w:tcW w:w="3640" w:type="dxa"/>
            <w:vAlign w:val="bottom"/>
            <w:tcBorders>
              <w:bottom w:val="single" w:sz="8" w:color="auto"/>
            </w:tcBorders>
            <w:shd w:val="clear" w:color="auto" w:fill="CFF0FC"/>
          </w:tcPr>
          <w:p>
            <w:pPr>
              <w:spacing w:after="0"/>
              <w:rPr>
                <w:sz w:val="11"/>
                <w:szCs w:val="11"/>
                <w:color w:val="auto"/>
              </w:rPr>
            </w:pPr>
          </w:p>
        </w:tc>
        <w:tc>
          <w:tcPr>
            <w:tcW w:w="2780" w:type="dxa"/>
            <w:vAlign w:val="bottom"/>
            <w:tcBorders>
              <w:bottom w:val="single" w:sz="8" w:color="auto"/>
            </w:tcBorders>
            <w:vMerge w:val="continue"/>
            <w:shd w:val="clear" w:color="auto" w:fill="CFF0FC"/>
          </w:tcPr>
          <w:p>
            <w:pPr>
              <w:spacing w:after="0"/>
              <w:rPr>
                <w:sz w:val="11"/>
                <w:szCs w:val="11"/>
                <w:color w:val="auto"/>
              </w:rPr>
            </w:pPr>
          </w:p>
        </w:tc>
        <w:tc>
          <w:tcPr>
            <w:tcW w:w="460" w:type="dxa"/>
            <w:vAlign w:val="bottom"/>
            <w:tcBorders>
              <w:bottom w:val="single" w:sz="8" w:color="auto"/>
            </w:tcBorders>
            <w:vMerge w:val="continue"/>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spacing w:after="0"/>
              <w:rPr>
                <w:sz w:val="11"/>
                <w:szCs w:val="11"/>
                <w:color w:val="auto"/>
              </w:rPr>
            </w:pPr>
          </w:p>
        </w:tc>
        <w:tc>
          <w:tcPr>
            <w:tcW w:w="1180" w:type="dxa"/>
            <w:vAlign w:val="bottom"/>
            <w:tcBorders>
              <w:bottom w:val="single" w:sz="8" w:color="auto"/>
            </w:tcBorders>
            <w:vMerge w:val="continue"/>
            <w:shd w:val="clear" w:color="auto" w:fill="CFF0FC"/>
          </w:tcPr>
          <w:p>
            <w:pPr>
              <w:spacing w:after="0"/>
              <w:rPr>
                <w:sz w:val="11"/>
                <w:szCs w:val="11"/>
                <w:color w:val="auto"/>
              </w:rPr>
            </w:pPr>
          </w:p>
        </w:tc>
        <w:tc>
          <w:tcPr>
            <w:tcW w:w="240" w:type="dxa"/>
            <w:vAlign w:val="bottom"/>
            <w:tcBorders>
              <w:bottom w:val="single" w:sz="8" w:color="auto"/>
            </w:tcBorders>
            <w:vMerge w:val="continue"/>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6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At June 30, 2023 and December 31, 2022, the Company reported $301,000 and $542,000, respectively, in real estate loans in the process of foreclosure.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33</w:t>
      </w:r>
      <w:r>
        <w:rPr>
          <w:rFonts w:ascii="Arial" w:cs="Arial" w:eastAsia="Arial" w:hAnsi="Arial"/>
          <w:sz w:val="16"/>
          <w:szCs w:val="16"/>
          <w:color w:val="auto"/>
        </w:rPr>
        <w:t xml:space="preserve"> -</w:t>
      </w:r>
    </w:p>
    <w:p>
      <w:pPr>
        <w:sectPr>
          <w:pgSz w:w="11900" w:h="16840" w:orient="portrait"/>
          <w:cols w:equalWidth="0" w:num="1">
            <w:col w:w="10560"/>
          </w:cols>
          <w:pgMar w:left="660" w:top="959" w:right="680"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9:  Guarantees</w:t>
      </w:r>
    </w:p>
    <w:p>
      <w:pPr>
        <w:spacing w:after="0" w:line="2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does not issue any guarantees that would require liability recognition or disclosure, other than its standby letters of credit. Generally, all letters of credit, when issued have expiration dates within one year. The credit risks involved in issuing letters of credit is essentially the same as those that are involved in extending loan facilities to customers. The Company generally holds collateral and/or personal guarantees supporting these commitments. The Company had $2.9 million of standby letters of credit as of June 30, 2023. Management believes that the proceeds obtained through a liquidation of collateral and the enforcement of guarantees would be sufficient to cover the potential amount of future payments required under the corresponding guarantees. No provision for credit losses have been made for these commitments. The fair value of standby letters of credit was not significant to the Company’s consolidated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18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Accounting guidance related to fair value measurements and disclosures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 value hierarchy:</w:t>
      </w:r>
    </w:p>
    <w:p>
      <w:pPr>
        <w:spacing w:after="0" w:line="139"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Level 1 – Quoted prices (unadjusted) for identical assets or liabilities in active markets that the entity has the ability to access as of the measurement date.</w:t>
      </w:r>
    </w:p>
    <w:p>
      <w:pPr>
        <w:spacing w:after="0" w:line="12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Level 2 – Quoted prices for similar assets and liabilities in active markets; quoted prices for identical or similar assets or liabilities in markets that are not active; and model-derived valuations in which all significant inputs and significant value drivers are observable in active markets.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Level 3 – Model-derived valuations in which one or more significant inputs or significant value drivers are unobservable.</w:t>
      </w:r>
    </w:p>
    <w:p>
      <w:pPr>
        <w:spacing w:after="0" w:line="177"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An asset’s or liability’s level within the fair value hierarchy is based on the lowest level of input that is significant to the fair value measurement.</w:t>
      </w:r>
    </w:p>
    <w:p>
      <w:pPr>
        <w:spacing w:after="0" w:line="12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minimize the use of unobservable inputs, to the extent possible, and considers counterparty credit risk in its assessment of fair value.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used the following methods and significant assumptions to estimate fair value:</w:t>
      </w:r>
    </w:p>
    <w:p>
      <w:pPr>
        <w:spacing w:after="0" w:line="17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Investment securities: The fair values of available-for-sale and marketable equity securities are obtained from an independent third party and are based on quoted prices on nationally recognized securities exchanges where available (Level 1). If quoted prices are not available, fair values are measured by utilizing matrix pricing, which is a mathematical technique used widely in the industry to value debt securities without relying exclusively on quoted prices for specific securities but rather by relying on the securities’ relationship to other benchmark quoted securities (Level 2). Management made no adjustment to the fair value quotes that were received from the independent third party pricing service. Level 3 securities are assets whose fair value cannot be determined by using observable measures, such as market prices or pricing models. Level 3 assets are typically very illiquid, and fair values can only be calculated using estimates or risk-adjusted value ranges. Management applies known factors, such as currently applicable discount rates, to the valuation of those investments in order to determine fair value at the reporting date.</w:t>
      </w:r>
    </w:p>
    <w:p>
      <w:pPr>
        <w:spacing w:after="0" w:line="14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Company holds two corporate investment securities with an amortized historical cost of $4.1 million and an aggregate fair market value of $4.5 million as of June 30, 2023. These securities have an aggregate valuation that is determined using published net asset values (NAV) derived by an analysis of the securities’ underlying assets. These securities are comprised primarily of broadly-diversified real estate holdings and are traded in secondary markets on an infrequent basis. While these securities are redeemable at least annually through tender offers made by respective issuers, the liquidation value of these securities may be below stated NAVs and also subject to restrictions as to the amount that can be redeemed at any single scheduled redemption. The Company anticipates that these securities will be redeemed by respective issuers on</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34</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77" w:right="660"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indeterminate future dates as a consequence of the ultimate liquidation strategies employed by the managers of these portfolios.</w:t>
      </w:r>
    </w:p>
    <w:p>
      <w:pPr>
        <w:spacing w:after="0" w:line="177"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 held two private equity security investments, acquired in 2022, with an aggregate value of $2.4 million at June 30, 2023, valued utilizing the unit of account (Level 2) which includes; financial metrics for the company, specific operating key performance indicators, and market-related inputs.</w:t>
      </w:r>
    </w:p>
    <w:p>
      <w:pPr>
        <w:spacing w:after="0" w:line="136"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Interest rate derivatives: The fair value of the interest rate derivatives, characterized as either fair value or cash flow hedges, are calculated based on a discounted cash flow model. All future floating rate cash flows are projected and both floating rate and fixed rate cash flows are discounted to the valuation date. The benchmark interest rate curve utilized for projecting cash flows and applying appropriate discount rates is built by obtaining publicly available third party market quotes for various swap maturity terms.</w:t>
      </w:r>
    </w:p>
    <w:p>
      <w:pPr>
        <w:spacing w:after="0" w:line="1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Impaired loans: Impaired loans are those loans in which the Company has measured impairment based on the fair value of the loan’s collateral or the discounted value of expected future cash flows. Fair value is generally determined based upon market value evaluations by third parties of the properties and/or estimates by management of working capital collateral or discounted cash flows based upon expected proceeds. These appraisals may include up to three approaches to value: the sales comparison approach, the income approach (for income-producing property), and the cost approach. Management modifies the appraised values, if needed, to take into account recent developments in the market or other factors, such as, changes in absorption rates or market conditions from the time of valuation and anticipated sales values considering management’s plans for disposition. Such modifications to the appraised values could result in lower valuations of such collateral. Estimated costs to sell are based on current amounts of disposal costs for similar assets. These measurements are classified as Level 3 within the valuation hierarchy. Impaired loans are subject to nonrecurring fair value adjustment upon initial recognition or subsequent impairment. A portion of the allowance for credit losses is allocated to impaired loans if the value of such loans is deemed to be less than the unpaid balance.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35</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59" w:right="680" w:bottom="1440" w:gutter="0" w:footer="0" w:header="0"/>
        </w:sectPr>
      </w:pPr>
    </w:p>
    <w:bookmarkStart w:id="35" w:name="page36"/>
    <w:bookmarkEnd w:id="35"/>
    <w:p>
      <w:pPr>
        <w:ind w:right="60"/>
        <w:spacing w:after="0" w:line="275" w:lineRule="auto"/>
        <w:rPr>
          <w:sz w:val="20"/>
          <w:szCs w:val="20"/>
          <w:color w:val="auto"/>
        </w:rPr>
      </w:pPr>
      <w:r>
        <w:rPr>
          <w:rFonts w:ascii="Arial" w:cs="Arial" w:eastAsia="Arial" w:hAnsi="Arial"/>
          <w:sz w:val="18"/>
          <w:szCs w:val="18"/>
          <w:color w:val="auto"/>
        </w:rPr>
        <w:t>The following tables summarize assets measured at fair value on a recurring basis as of the indicated dates, segregated by the level of valuation inputs within the hierarchy utilized to measure fair value: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40" w:type="dxa"/>
            <w:vAlign w:val="bottom"/>
            <w:gridSpan w:val="2"/>
          </w:tcPr>
          <w:p>
            <w:pPr>
              <w:jc w:val="right"/>
              <w:ind w:right="162"/>
              <w:spacing w:after="0"/>
              <w:rPr>
                <w:sz w:val="20"/>
                <w:szCs w:val="20"/>
                <w:color w:val="auto"/>
              </w:rPr>
            </w:pPr>
            <w:r>
              <w:rPr>
                <w:rFonts w:ascii="Arial" w:cs="Arial" w:eastAsia="Arial" w:hAnsi="Arial"/>
                <w:sz w:val="16"/>
                <w:szCs w:val="16"/>
                <w:color w:val="auto"/>
              </w:rPr>
              <w:t>June 30, 2023</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Total Fair</w:t>
            </w:r>
          </w:p>
        </w:tc>
      </w:tr>
      <w:tr>
        <w:trPr>
          <w:trHeight w:val="205"/>
        </w:trPr>
        <w:tc>
          <w:tcPr>
            <w:tcW w:w="4180" w:type="dxa"/>
            <w:vAlign w:val="bottom"/>
            <w:gridSpan w:val="5"/>
          </w:tcPr>
          <w:p>
            <w:pPr>
              <w:ind w:left="20"/>
              <w:spacing w:after="0"/>
              <w:rPr>
                <w:sz w:val="20"/>
                <w:szCs w:val="20"/>
                <w:color w:val="auto"/>
              </w:rPr>
            </w:pPr>
            <w:r>
              <w:rPr>
                <w:rFonts w:ascii="Arial" w:cs="Arial" w:eastAsia="Arial" w:hAnsi="Arial"/>
                <w:sz w:val="16"/>
                <w:szCs w:val="16"/>
                <w:i w:val="1"/>
                <w:iCs w:val="1"/>
                <w:color w:val="auto"/>
              </w:rPr>
              <w:t>(In thousands)</w:t>
            </w:r>
          </w:p>
        </w:tc>
        <w:tc>
          <w:tcPr>
            <w:tcW w:w="60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Level 1</w:t>
            </w:r>
          </w:p>
        </w:tc>
        <w:tc>
          <w:tcPr>
            <w:tcW w:w="56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Level 2</w:t>
            </w:r>
          </w:p>
        </w:tc>
        <w:tc>
          <w:tcPr>
            <w:tcW w:w="680" w:type="dxa"/>
            <w:vAlign w:val="bottom"/>
          </w:tcPr>
          <w:p>
            <w:pPr>
              <w:spacing w:after="0"/>
              <w:rPr>
                <w:sz w:val="17"/>
                <w:szCs w:val="17"/>
                <w:color w:val="auto"/>
              </w:rPr>
            </w:pP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Level 3</w:t>
            </w: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Value</w:t>
            </w:r>
          </w:p>
        </w:tc>
      </w:tr>
      <w:tr>
        <w:trPr>
          <w:trHeight w:val="205"/>
        </w:trPr>
        <w:tc>
          <w:tcPr>
            <w:tcW w:w="4180" w:type="dxa"/>
            <w:vAlign w:val="bottom"/>
            <w:gridSpan w:val="5"/>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Available-for-Sale Portfolio</w:t>
            </w: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168"/>
        </w:trPr>
        <w:tc>
          <w:tcPr>
            <w:tcW w:w="4180" w:type="dxa"/>
            <w:vAlign w:val="bottom"/>
            <w:gridSpan w:val="5"/>
          </w:tcPr>
          <w:p>
            <w:pPr>
              <w:ind w:left="20"/>
              <w:spacing w:after="0" w:line="168" w:lineRule="exact"/>
              <w:rPr>
                <w:sz w:val="20"/>
                <w:szCs w:val="20"/>
                <w:color w:val="auto"/>
              </w:rPr>
            </w:pPr>
            <w:r>
              <w:rPr>
                <w:rFonts w:ascii="Arial" w:cs="Arial" w:eastAsia="Arial" w:hAnsi="Arial"/>
                <w:sz w:val="16"/>
                <w:szCs w:val="16"/>
                <w:color w:val="auto"/>
              </w:rPr>
              <w:t>Debt investment securities:</w:t>
            </w: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2"/>
        </w:trPr>
        <w:tc>
          <w:tcPr>
            <w:tcW w:w="20" w:type="dxa"/>
            <w:vAlign w:val="bottom"/>
            <w:shd w:val="clear" w:color="auto" w:fill="CFF0FC"/>
          </w:tcPr>
          <w:p>
            <w:pPr>
              <w:spacing w:after="0"/>
              <w:rPr>
                <w:sz w:val="18"/>
                <w:szCs w:val="18"/>
                <w:color w:val="auto"/>
              </w:rPr>
            </w:pPr>
          </w:p>
        </w:tc>
        <w:tc>
          <w:tcPr>
            <w:tcW w:w="4160" w:type="dxa"/>
            <w:vAlign w:val="bottom"/>
            <w:gridSpan w:val="4"/>
            <w:shd w:val="clear" w:color="auto" w:fill="CFF0FC"/>
          </w:tcPr>
          <w:p>
            <w:pPr>
              <w:ind w:left="80"/>
              <w:spacing w:after="0"/>
              <w:rPr>
                <w:sz w:val="20"/>
                <w:szCs w:val="20"/>
                <w:color w:val="auto"/>
              </w:rPr>
            </w:pPr>
            <w:r>
              <w:rPr>
                <w:rFonts w:ascii="Arial" w:cs="Arial" w:eastAsia="Arial" w:hAnsi="Arial"/>
                <w:sz w:val="16"/>
                <w:szCs w:val="16"/>
                <w:color w:val="auto"/>
              </w:rPr>
              <w:t>US Treasury, agencies and GSEs</w:t>
            </w:r>
          </w:p>
        </w:tc>
        <w:tc>
          <w:tcPr>
            <w:tcW w:w="600" w:type="dxa"/>
            <w:vAlign w:val="bottom"/>
            <w:shd w:val="clear" w:color="auto" w:fill="CFF0FC"/>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40,497</w:t>
            </w:r>
          </w:p>
        </w:tc>
        <w:tc>
          <w:tcPr>
            <w:tcW w:w="680" w:type="dxa"/>
            <w:vAlign w:val="bottom"/>
            <w:shd w:val="clear" w:color="auto" w:fill="CFF0FC"/>
          </w:tcPr>
          <w:p>
            <w:pPr>
              <w:jc w:val="right"/>
              <w:ind w:right="382"/>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40,497</w:t>
            </w:r>
          </w:p>
        </w:tc>
      </w:tr>
      <w:tr>
        <w:trPr>
          <w:trHeight w:val="203"/>
        </w:trPr>
        <w:tc>
          <w:tcPr>
            <w:tcW w:w="20" w:type="dxa"/>
            <w:vAlign w:val="bottom"/>
          </w:tcPr>
          <w:p>
            <w:pPr>
              <w:spacing w:after="0"/>
              <w:rPr>
                <w:sz w:val="17"/>
                <w:szCs w:val="17"/>
                <w:color w:val="auto"/>
              </w:rPr>
            </w:pPr>
          </w:p>
        </w:tc>
        <w:tc>
          <w:tcPr>
            <w:tcW w:w="4160" w:type="dxa"/>
            <w:vAlign w:val="bottom"/>
            <w:gridSpan w:val="4"/>
          </w:tcPr>
          <w:p>
            <w:pPr>
              <w:ind w:left="80"/>
              <w:spacing w:after="0"/>
              <w:rPr>
                <w:sz w:val="20"/>
                <w:szCs w:val="20"/>
                <w:color w:val="auto"/>
              </w:rPr>
            </w:pPr>
            <w:r>
              <w:rPr>
                <w:rFonts w:ascii="Arial" w:cs="Arial" w:eastAsia="Arial" w:hAnsi="Arial"/>
                <w:sz w:val="16"/>
                <w:szCs w:val="16"/>
                <w:color w:val="auto"/>
              </w:rPr>
              <w:t>State and political subdivisions</w:t>
            </w:r>
          </w:p>
        </w:tc>
        <w:tc>
          <w:tcPr>
            <w:tcW w:w="60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31,953</w:t>
            </w:r>
          </w:p>
        </w:tc>
        <w:tc>
          <w:tcPr>
            <w:tcW w:w="68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31,953</w:t>
            </w:r>
          </w:p>
        </w:tc>
      </w:tr>
      <w:tr>
        <w:trPr>
          <w:trHeight w:val="205"/>
        </w:trPr>
        <w:tc>
          <w:tcPr>
            <w:tcW w:w="20" w:type="dxa"/>
            <w:vAlign w:val="bottom"/>
            <w:shd w:val="clear" w:color="auto" w:fill="CFF0FC"/>
          </w:tcPr>
          <w:p>
            <w:pPr>
              <w:spacing w:after="0"/>
              <w:rPr>
                <w:sz w:val="17"/>
                <w:szCs w:val="17"/>
                <w:color w:val="auto"/>
              </w:rPr>
            </w:pPr>
          </w:p>
        </w:tc>
        <w:tc>
          <w:tcPr>
            <w:tcW w:w="4160" w:type="dxa"/>
            <w:vAlign w:val="bottom"/>
            <w:gridSpan w:val="4"/>
            <w:shd w:val="clear" w:color="auto" w:fill="CFF0FC"/>
          </w:tcPr>
          <w:p>
            <w:pPr>
              <w:ind w:left="80"/>
              <w:spacing w:after="0"/>
              <w:rPr>
                <w:sz w:val="20"/>
                <w:szCs w:val="20"/>
                <w:color w:val="auto"/>
              </w:rPr>
            </w:pPr>
            <w:r>
              <w:rPr>
                <w:rFonts w:ascii="Arial" w:cs="Arial" w:eastAsia="Arial" w:hAnsi="Arial"/>
                <w:sz w:val="16"/>
                <w:szCs w:val="16"/>
                <w:color w:val="auto"/>
              </w:rPr>
              <w:t>Corporate</w:t>
            </w: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6,994</w:t>
            </w:r>
          </w:p>
        </w:tc>
        <w:tc>
          <w:tcPr>
            <w:tcW w:w="6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6,994</w:t>
            </w:r>
          </w:p>
        </w:tc>
      </w:tr>
      <w:tr>
        <w:trPr>
          <w:trHeight w:val="203"/>
        </w:trPr>
        <w:tc>
          <w:tcPr>
            <w:tcW w:w="20" w:type="dxa"/>
            <w:vAlign w:val="bottom"/>
          </w:tcPr>
          <w:p>
            <w:pPr>
              <w:spacing w:after="0"/>
              <w:rPr>
                <w:sz w:val="17"/>
                <w:szCs w:val="17"/>
                <w:color w:val="auto"/>
              </w:rPr>
            </w:pPr>
          </w:p>
        </w:tc>
        <w:tc>
          <w:tcPr>
            <w:tcW w:w="4160" w:type="dxa"/>
            <w:vAlign w:val="bottom"/>
            <w:gridSpan w:val="4"/>
          </w:tcPr>
          <w:p>
            <w:pPr>
              <w:ind w:left="80"/>
              <w:spacing w:after="0"/>
              <w:rPr>
                <w:sz w:val="20"/>
                <w:szCs w:val="20"/>
                <w:color w:val="auto"/>
              </w:rPr>
            </w:pPr>
            <w:r>
              <w:rPr>
                <w:rFonts w:ascii="Arial" w:cs="Arial" w:eastAsia="Arial" w:hAnsi="Arial"/>
                <w:sz w:val="16"/>
                <w:szCs w:val="16"/>
                <w:color w:val="auto"/>
              </w:rPr>
              <w:t>Asset backed securities</w:t>
            </w:r>
          </w:p>
        </w:tc>
        <w:tc>
          <w:tcPr>
            <w:tcW w:w="60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15,396</w:t>
            </w:r>
          </w:p>
        </w:tc>
        <w:tc>
          <w:tcPr>
            <w:tcW w:w="68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15,396</w:t>
            </w:r>
          </w:p>
        </w:tc>
      </w:tr>
      <w:tr>
        <w:trPr>
          <w:trHeight w:val="205"/>
        </w:trPr>
        <w:tc>
          <w:tcPr>
            <w:tcW w:w="20" w:type="dxa"/>
            <w:vAlign w:val="bottom"/>
            <w:shd w:val="clear" w:color="auto" w:fill="CFF0FC"/>
          </w:tcPr>
          <w:p>
            <w:pPr>
              <w:spacing w:after="0"/>
              <w:rPr>
                <w:sz w:val="17"/>
                <w:szCs w:val="17"/>
                <w:color w:val="auto"/>
              </w:rPr>
            </w:pPr>
          </w:p>
        </w:tc>
        <w:tc>
          <w:tcPr>
            <w:tcW w:w="4160" w:type="dxa"/>
            <w:vAlign w:val="bottom"/>
            <w:gridSpan w:val="4"/>
            <w:shd w:val="clear" w:color="auto" w:fill="CFF0FC"/>
          </w:tcPr>
          <w:p>
            <w:pPr>
              <w:ind w:left="80"/>
              <w:spacing w:after="0"/>
              <w:rPr>
                <w:sz w:val="20"/>
                <w:szCs w:val="20"/>
                <w:color w:val="auto"/>
              </w:rPr>
            </w:pPr>
            <w:r>
              <w:rPr>
                <w:rFonts w:ascii="Arial" w:cs="Arial" w:eastAsia="Arial" w:hAnsi="Arial"/>
                <w:sz w:val="16"/>
                <w:szCs w:val="16"/>
                <w:color w:val="auto"/>
              </w:rPr>
              <w:t>Residential mortgage-backed - US agency</w:t>
            </w: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15,612</w:t>
            </w:r>
          </w:p>
        </w:tc>
        <w:tc>
          <w:tcPr>
            <w:tcW w:w="6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15,612</w:t>
            </w:r>
          </w:p>
        </w:tc>
      </w:tr>
      <w:tr>
        <w:trPr>
          <w:trHeight w:val="203"/>
        </w:trPr>
        <w:tc>
          <w:tcPr>
            <w:tcW w:w="20" w:type="dxa"/>
            <w:vAlign w:val="bottom"/>
          </w:tcPr>
          <w:p>
            <w:pPr>
              <w:spacing w:after="0"/>
              <w:rPr>
                <w:sz w:val="17"/>
                <w:szCs w:val="17"/>
                <w:color w:val="auto"/>
              </w:rPr>
            </w:pPr>
          </w:p>
        </w:tc>
        <w:tc>
          <w:tcPr>
            <w:tcW w:w="4160" w:type="dxa"/>
            <w:vAlign w:val="bottom"/>
            <w:gridSpan w:val="4"/>
          </w:tcPr>
          <w:p>
            <w:pPr>
              <w:ind w:left="80"/>
              <w:spacing w:after="0"/>
              <w:rPr>
                <w:sz w:val="20"/>
                <w:szCs w:val="20"/>
                <w:color w:val="auto"/>
              </w:rPr>
            </w:pPr>
            <w:r>
              <w:rPr>
                <w:rFonts w:ascii="Arial" w:cs="Arial" w:eastAsia="Arial" w:hAnsi="Arial"/>
                <w:sz w:val="16"/>
                <w:szCs w:val="16"/>
                <w:color w:val="auto"/>
              </w:rPr>
              <w:t>Collateralized mortgage obligations - US agency</w:t>
            </w:r>
          </w:p>
        </w:tc>
        <w:tc>
          <w:tcPr>
            <w:tcW w:w="60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10,731</w:t>
            </w:r>
          </w:p>
        </w:tc>
        <w:tc>
          <w:tcPr>
            <w:tcW w:w="68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10,731</w:t>
            </w:r>
          </w:p>
        </w:tc>
      </w:tr>
      <w:tr>
        <w:trPr>
          <w:trHeight w:val="205"/>
        </w:trPr>
        <w:tc>
          <w:tcPr>
            <w:tcW w:w="20" w:type="dxa"/>
            <w:vAlign w:val="bottom"/>
            <w:shd w:val="clear" w:color="auto" w:fill="CFF0FC"/>
          </w:tcPr>
          <w:p>
            <w:pPr>
              <w:spacing w:after="0"/>
              <w:rPr>
                <w:sz w:val="17"/>
                <w:szCs w:val="17"/>
                <w:color w:val="auto"/>
              </w:rPr>
            </w:pPr>
          </w:p>
        </w:tc>
        <w:tc>
          <w:tcPr>
            <w:tcW w:w="4160" w:type="dxa"/>
            <w:vAlign w:val="bottom"/>
            <w:gridSpan w:val="4"/>
            <w:shd w:val="clear" w:color="auto" w:fill="CFF0FC"/>
          </w:tcPr>
          <w:p>
            <w:pPr>
              <w:ind w:left="80"/>
              <w:spacing w:after="0"/>
              <w:rPr>
                <w:sz w:val="20"/>
                <w:szCs w:val="20"/>
                <w:color w:val="auto"/>
              </w:rPr>
            </w:pPr>
            <w:r>
              <w:rPr>
                <w:rFonts w:ascii="Arial" w:cs="Arial" w:eastAsia="Arial" w:hAnsi="Arial"/>
                <w:sz w:val="16"/>
                <w:szCs w:val="16"/>
                <w:color w:val="auto"/>
              </w:rPr>
              <w:t>Collateralized mortgage obligations - Private label</w:t>
            </w:r>
          </w:p>
        </w:tc>
        <w:tc>
          <w:tcPr>
            <w:tcW w:w="6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59,948</w:t>
            </w:r>
          </w:p>
        </w:tc>
        <w:tc>
          <w:tcPr>
            <w:tcW w:w="6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59,948</w:t>
            </w:r>
          </w:p>
        </w:tc>
      </w:tr>
      <w:tr>
        <w:trPr>
          <w:trHeight w:val="203"/>
        </w:trPr>
        <w:tc>
          <w:tcPr>
            <w:tcW w:w="20" w:type="dxa"/>
            <w:vAlign w:val="bottom"/>
          </w:tcPr>
          <w:p>
            <w:pPr>
              <w:spacing w:after="0"/>
              <w:rPr>
                <w:sz w:val="17"/>
                <w:szCs w:val="17"/>
                <w:color w:val="auto"/>
              </w:rPr>
            </w:pPr>
          </w:p>
        </w:tc>
        <w:tc>
          <w:tcPr>
            <w:tcW w:w="4160" w:type="dxa"/>
            <w:vAlign w:val="bottom"/>
            <w:gridSpan w:val="4"/>
          </w:tcPr>
          <w:p>
            <w:pPr>
              <w:ind w:left="160"/>
              <w:spacing w:after="0"/>
              <w:rPr>
                <w:sz w:val="20"/>
                <w:szCs w:val="20"/>
                <w:color w:val="auto"/>
              </w:rPr>
            </w:pPr>
            <w:r>
              <w:rPr>
                <w:rFonts w:ascii="Arial" w:cs="Arial" w:eastAsia="Arial" w:hAnsi="Arial"/>
                <w:sz w:val="16"/>
                <w:szCs w:val="16"/>
                <w:color w:val="auto"/>
              </w:rPr>
              <w:t>Total</w:t>
            </w: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181,131</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181,131</w:t>
            </w:r>
          </w:p>
        </w:tc>
      </w:tr>
      <w:tr>
        <w:trPr>
          <w:trHeight w:val="169"/>
        </w:trPr>
        <w:tc>
          <w:tcPr>
            <w:tcW w:w="4180" w:type="dxa"/>
            <w:vAlign w:val="bottom"/>
            <w:gridSpan w:val="5"/>
            <w:shd w:val="clear" w:color="auto" w:fill="CFF0FC"/>
          </w:tcPr>
          <w:p>
            <w:pPr>
              <w:ind w:left="20"/>
              <w:spacing w:after="0" w:line="169" w:lineRule="exact"/>
              <w:rPr>
                <w:sz w:val="20"/>
                <w:szCs w:val="20"/>
                <w:color w:val="auto"/>
              </w:rPr>
            </w:pPr>
            <w:r>
              <w:rPr>
                <w:rFonts w:ascii="Arial" w:cs="Arial" w:eastAsia="Arial" w:hAnsi="Arial"/>
                <w:sz w:val="16"/>
                <w:szCs w:val="16"/>
                <w:color w:val="auto"/>
              </w:rPr>
              <w:t>Equity investment securities:</w:t>
            </w:r>
          </w:p>
        </w:tc>
        <w:tc>
          <w:tcPr>
            <w:tcW w:w="6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r>
      <w:tr>
        <w:trPr>
          <w:trHeight w:val="36"/>
        </w:trPr>
        <w:tc>
          <w:tcPr>
            <w:tcW w:w="20" w:type="dxa"/>
            <w:vAlign w:val="bottom"/>
            <w:shd w:val="clear" w:color="auto" w:fill="CFF0FC"/>
          </w:tcPr>
          <w:p>
            <w:pPr>
              <w:spacing w:after="0"/>
              <w:rPr>
                <w:sz w:val="3"/>
                <w:szCs w:val="3"/>
                <w:color w:val="auto"/>
              </w:rPr>
            </w:pPr>
          </w:p>
        </w:tc>
        <w:tc>
          <w:tcPr>
            <w:tcW w:w="116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18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56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50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4160" w:type="dxa"/>
            <w:vAlign w:val="bottom"/>
            <w:gridSpan w:val="4"/>
          </w:tcPr>
          <w:p>
            <w:pPr>
              <w:ind w:left="80"/>
              <w:spacing w:after="0"/>
              <w:rPr>
                <w:sz w:val="20"/>
                <w:szCs w:val="20"/>
                <w:color w:val="auto"/>
              </w:rPr>
            </w:pPr>
            <w:r>
              <w:rPr>
                <w:rFonts w:ascii="Arial" w:cs="Arial" w:eastAsia="Arial" w:hAnsi="Arial"/>
                <w:sz w:val="16"/>
                <w:szCs w:val="16"/>
                <w:color w:val="auto"/>
              </w:rPr>
              <w:t>Common stock - financial services industry</w:t>
            </w:r>
          </w:p>
        </w:tc>
        <w:tc>
          <w:tcPr>
            <w:tcW w:w="60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206</w:t>
            </w:r>
          </w:p>
        </w:tc>
        <w:tc>
          <w:tcPr>
            <w:tcW w:w="56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206</w:t>
            </w:r>
          </w:p>
        </w:tc>
      </w:tr>
      <w:tr>
        <w:trPr>
          <w:trHeight w:val="169"/>
        </w:trPr>
        <w:tc>
          <w:tcPr>
            <w:tcW w:w="4180" w:type="dxa"/>
            <w:vAlign w:val="bottom"/>
            <w:gridSpan w:val="5"/>
            <w:shd w:val="clear" w:color="auto" w:fill="CFF0FC"/>
          </w:tcPr>
          <w:p>
            <w:pPr>
              <w:ind w:left="20"/>
              <w:spacing w:after="0" w:line="169" w:lineRule="exact"/>
              <w:rPr>
                <w:sz w:val="20"/>
                <w:szCs w:val="20"/>
                <w:color w:val="auto"/>
              </w:rPr>
            </w:pPr>
            <w:r>
              <w:rPr>
                <w:rFonts w:ascii="Arial" w:cs="Arial" w:eastAsia="Arial" w:hAnsi="Arial"/>
                <w:sz w:val="16"/>
                <w:szCs w:val="16"/>
                <w:color w:val="auto"/>
              </w:rPr>
              <w:t>Other Securities:</w:t>
            </w:r>
          </w:p>
        </w:tc>
        <w:tc>
          <w:tcPr>
            <w:tcW w:w="6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r>
      <w:tr>
        <w:trPr>
          <w:trHeight w:val="36"/>
        </w:trPr>
        <w:tc>
          <w:tcPr>
            <w:tcW w:w="20" w:type="dxa"/>
            <w:vAlign w:val="bottom"/>
            <w:shd w:val="clear" w:color="auto" w:fill="CFF0FC"/>
          </w:tcPr>
          <w:p>
            <w:pPr>
              <w:spacing w:after="0"/>
              <w:rPr>
                <w:sz w:val="3"/>
                <w:szCs w:val="3"/>
                <w:color w:val="auto"/>
              </w:rPr>
            </w:pPr>
          </w:p>
        </w:tc>
        <w:tc>
          <w:tcPr>
            <w:tcW w:w="1160" w:type="dxa"/>
            <w:vAlign w:val="bottom"/>
            <w:shd w:val="clear" w:color="auto" w:fill="000000"/>
          </w:tcPr>
          <w:p>
            <w:pPr>
              <w:spacing w:after="0"/>
              <w:rPr>
                <w:sz w:val="3"/>
                <w:szCs w:val="3"/>
                <w:color w:val="auto"/>
              </w:rPr>
            </w:pPr>
          </w:p>
        </w:tc>
        <w:tc>
          <w:tcPr>
            <w:tcW w:w="7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218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56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50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4160" w:type="dxa"/>
            <w:vAlign w:val="bottom"/>
            <w:gridSpan w:val="4"/>
          </w:tcPr>
          <w:p>
            <w:pPr>
              <w:ind w:left="80"/>
              <w:spacing w:after="0"/>
              <w:rPr>
                <w:sz w:val="20"/>
                <w:szCs w:val="20"/>
                <w:color w:val="auto"/>
              </w:rPr>
            </w:pPr>
            <w:r>
              <w:rPr>
                <w:rFonts w:ascii="Arial" w:cs="Arial" w:eastAsia="Arial" w:hAnsi="Arial"/>
                <w:sz w:val="16"/>
                <w:szCs w:val="16"/>
                <w:color w:val="auto"/>
              </w:rPr>
              <w:t>Corporate measured at NAV</w:t>
            </w:r>
          </w:p>
        </w:tc>
        <w:tc>
          <w:tcPr>
            <w:tcW w:w="60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4,485</w:t>
            </w:r>
          </w:p>
        </w:tc>
      </w:tr>
      <w:tr>
        <w:trPr>
          <w:trHeight w:val="244"/>
        </w:trPr>
        <w:tc>
          <w:tcPr>
            <w:tcW w:w="4180" w:type="dxa"/>
            <w:vAlign w:val="bottom"/>
            <w:tcBorders>
              <w:bottom w:val="single" w:sz="8" w:color="auto"/>
            </w:tcBorders>
            <w:gridSpan w:val="5"/>
            <w:shd w:val="clear" w:color="auto" w:fill="CFF0FC"/>
          </w:tcPr>
          <w:p>
            <w:pPr>
              <w:ind w:left="20"/>
              <w:spacing w:after="0"/>
              <w:rPr>
                <w:sz w:val="20"/>
                <w:szCs w:val="20"/>
                <w:color w:val="auto"/>
              </w:rPr>
            </w:pPr>
            <w:r>
              <w:rPr>
                <w:rFonts w:ascii="Arial" w:cs="Arial" w:eastAsia="Arial" w:hAnsi="Arial"/>
                <w:sz w:val="16"/>
                <w:szCs w:val="16"/>
                <w:color w:val="auto"/>
              </w:rPr>
              <w:t>Total available-for-sale securities</w:t>
            </w:r>
          </w:p>
        </w:tc>
        <w:tc>
          <w:tcPr>
            <w:tcW w:w="600" w:type="dxa"/>
            <w:vAlign w:val="bottom"/>
            <w:tcBorders>
              <w:bottom w:val="single" w:sz="8" w:color="auto"/>
            </w:tcBorders>
            <w:shd w:val="clear" w:color="auto" w:fill="CFF0FC"/>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206</w:t>
            </w:r>
          </w:p>
        </w:tc>
        <w:tc>
          <w:tcPr>
            <w:tcW w:w="560" w:type="dxa"/>
            <w:vAlign w:val="bottom"/>
            <w:tcBorders>
              <w:bottom w:val="single" w:sz="8" w:color="auto"/>
            </w:tcBorders>
            <w:shd w:val="clear" w:color="auto" w:fill="CFF0FC"/>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181,131</w:t>
            </w:r>
          </w:p>
        </w:tc>
        <w:tc>
          <w:tcPr>
            <w:tcW w:w="680" w:type="dxa"/>
            <w:vAlign w:val="bottom"/>
            <w:tcBorders>
              <w:bottom w:val="single" w:sz="8" w:color="auto"/>
            </w:tcBorders>
            <w:shd w:val="clear" w:color="auto" w:fill="CFF0FC"/>
          </w:tcPr>
          <w:p>
            <w:pPr>
              <w:jc w:val="right"/>
              <w:ind w:right="38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185,822</w:t>
            </w:r>
          </w:p>
        </w:tc>
      </w:tr>
      <w:tr>
        <w:trPr>
          <w:trHeight w:val="181"/>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4180" w:type="dxa"/>
            <w:vAlign w:val="bottom"/>
            <w:tcBorders>
              <w:bottom w:val="single" w:sz="8" w:color="auto"/>
            </w:tcBorders>
            <w:gridSpan w:val="5"/>
            <w:shd w:val="clear" w:color="auto" w:fill="CFF0FC"/>
          </w:tcPr>
          <w:p>
            <w:pPr>
              <w:ind w:left="20"/>
              <w:spacing w:after="0"/>
              <w:rPr>
                <w:sz w:val="20"/>
                <w:szCs w:val="20"/>
                <w:color w:val="auto"/>
              </w:rPr>
            </w:pPr>
            <w:r>
              <w:rPr>
                <w:rFonts w:ascii="Arial" w:cs="Arial" w:eastAsia="Arial" w:hAnsi="Arial"/>
                <w:sz w:val="16"/>
                <w:szCs w:val="16"/>
                <w:color w:val="auto"/>
              </w:rPr>
              <w:t>Marketable equity securities measured at NAV</w:t>
            </w:r>
          </w:p>
        </w:tc>
        <w:tc>
          <w:tcPr>
            <w:tcW w:w="600" w:type="dxa"/>
            <w:vAlign w:val="bottom"/>
            <w:tcBorders>
              <w:bottom w:val="single" w:sz="8" w:color="auto"/>
            </w:tcBorders>
            <w:shd w:val="clear" w:color="auto" w:fill="CFF0FC"/>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FF0FC"/>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FF0FC"/>
          </w:tcPr>
          <w:p>
            <w:pPr>
              <w:jc w:val="right"/>
              <w:ind w:right="38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2,353</w:t>
            </w:r>
          </w:p>
        </w:tc>
      </w:tr>
      <w:tr>
        <w:trPr>
          <w:trHeight w:val="181"/>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5"/>
        </w:trPr>
        <w:tc>
          <w:tcPr>
            <w:tcW w:w="418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Interest rate swap derivative fair value hedges (unrealized</w:t>
            </w:r>
          </w:p>
        </w:tc>
        <w:tc>
          <w:tcPr>
            <w:tcW w:w="6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r>
      <w:tr>
        <w:trPr>
          <w:trHeight w:val="238"/>
        </w:trPr>
        <w:tc>
          <w:tcPr>
            <w:tcW w:w="4180" w:type="dxa"/>
            <w:vAlign w:val="bottom"/>
            <w:tcBorders>
              <w:bottom w:val="single" w:sz="8" w:color="auto"/>
            </w:tcBorders>
            <w:gridSpan w:val="5"/>
            <w:shd w:val="clear" w:color="auto" w:fill="CFF0FC"/>
          </w:tcPr>
          <w:p>
            <w:pPr>
              <w:ind w:left="20"/>
              <w:spacing w:after="0"/>
              <w:rPr>
                <w:sz w:val="20"/>
                <w:szCs w:val="20"/>
                <w:color w:val="auto"/>
              </w:rPr>
            </w:pPr>
            <w:r>
              <w:rPr>
                <w:rFonts w:ascii="Arial" w:cs="Arial" w:eastAsia="Arial" w:hAnsi="Arial"/>
                <w:sz w:val="16"/>
                <w:szCs w:val="16"/>
                <w:color w:val="auto"/>
              </w:rPr>
              <w:t>gain carried as receivable from derivative counterparties)</w:t>
            </w:r>
          </w:p>
        </w:tc>
        <w:tc>
          <w:tcPr>
            <w:tcW w:w="600" w:type="dxa"/>
            <w:vAlign w:val="bottom"/>
            <w:tcBorders>
              <w:bottom w:val="single" w:sz="8" w:color="auto"/>
            </w:tcBorders>
            <w:shd w:val="clear" w:color="auto" w:fill="CFF0FC"/>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FF0FC"/>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9,822</w:t>
            </w:r>
          </w:p>
        </w:tc>
        <w:tc>
          <w:tcPr>
            <w:tcW w:w="680" w:type="dxa"/>
            <w:vAlign w:val="bottom"/>
            <w:tcBorders>
              <w:bottom w:val="single" w:sz="8" w:color="auto"/>
            </w:tcBorders>
            <w:shd w:val="clear" w:color="auto" w:fill="CFF0FC"/>
          </w:tcPr>
          <w:p>
            <w:pPr>
              <w:jc w:val="right"/>
              <w:ind w:right="38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9,822</w:t>
            </w:r>
          </w:p>
        </w:tc>
      </w:tr>
      <w:tr>
        <w:trPr>
          <w:trHeight w:val="181"/>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5"/>
        </w:trPr>
        <w:tc>
          <w:tcPr>
            <w:tcW w:w="418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Interest rate swap derivative cash flow hedges</w:t>
            </w:r>
          </w:p>
        </w:tc>
        <w:tc>
          <w:tcPr>
            <w:tcW w:w="6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r>
      <w:tr>
        <w:trPr>
          <w:trHeight w:val="180"/>
        </w:trPr>
        <w:tc>
          <w:tcPr>
            <w:tcW w:w="4180" w:type="dxa"/>
            <w:vAlign w:val="bottom"/>
            <w:gridSpan w:val="5"/>
            <w:shd w:val="clear" w:color="auto" w:fill="CFF0FC"/>
          </w:tcPr>
          <w:p>
            <w:pPr>
              <w:ind w:left="20"/>
              <w:spacing w:after="0" w:line="180" w:lineRule="exact"/>
              <w:rPr>
                <w:sz w:val="20"/>
                <w:szCs w:val="20"/>
                <w:color w:val="auto"/>
              </w:rPr>
            </w:pPr>
            <w:r>
              <w:rPr>
                <w:rFonts w:ascii="Arial" w:cs="Arial" w:eastAsia="Arial" w:hAnsi="Arial"/>
                <w:sz w:val="16"/>
                <w:szCs w:val="16"/>
                <w:color w:val="auto"/>
              </w:rPr>
              <w:t>(unrealized loss carried as payable to derivative</w:t>
            </w:r>
          </w:p>
        </w:tc>
        <w:tc>
          <w:tcPr>
            <w:tcW w:w="6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238"/>
        </w:trPr>
        <w:tc>
          <w:tcPr>
            <w:tcW w:w="4180" w:type="dxa"/>
            <w:vAlign w:val="bottom"/>
            <w:tcBorders>
              <w:bottom w:val="single" w:sz="8" w:color="auto"/>
            </w:tcBorders>
            <w:gridSpan w:val="5"/>
            <w:shd w:val="clear" w:color="auto" w:fill="CFF0FC"/>
          </w:tcPr>
          <w:p>
            <w:pPr>
              <w:ind w:left="20"/>
              <w:spacing w:after="0"/>
              <w:rPr>
                <w:sz w:val="20"/>
                <w:szCs w:val="20"/>
                <w:color w:val="auto"/>
              </w:rPr>
            </w:pPr>
            <w:r>
              <w:rPr>
                <w:rFonts w:ascii="Arial" w:cs="Arial" w:eastAsia="Arial" w:hAnsi="Arial"/>
                <w:sz w:val="16"/>
                <w:szCs w:val="16"/>
                <w:color w:val="auto"/>
              </w:rPr>
              <w:t>counterparties)</w:t>
            </w:r>
          </w:p>
        </w:tc>
        <w:tc>
          <w:tcPr>
            <w:tcW w:w="600" w:type="dxa"/>
            <w:vAlign w:val="bottom"/>
            <w:tcBorders>
              <w:bottom w:val="single" w:sz="8" w:color="auto"/>
            </w:tcBorders>
            <w:shd w:val="clear" w:color="auto" w:fill="CFF0FC"/>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FF0FC"/>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637</w:t>
            </w:r>
          </w:p>
        </w:tc>
        <w:tc>
          <w:tcPr>
            <w:tcW w:w="680" w:type="dxa"/>
            <w:vAlign w:val="bottom"/>
            <w:tcBorders>
              <w:bottom w:val="single" w:sz="8" w:color="auto"/>
            </w:tcBorders>
            <w:shd w:val="clear" w:color="auto" w:fill="CFF0FC"/>
          </w:tcPr>
          <w:p>
            <w:pPr>
              <w:jc w:val="right"/>
              <w:ind w:right="38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637</w:t>
            </w:r>
          </w:p>
        </w:tc>
      </w:tr>
      <w:tr>
        <w:trPr>
          <w:trHeight w:val="395"/>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jc w:val="right"/>
              <w:ind w:right="302"/>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36</w:t>
            </w:r>
            <w:r>
              <w:rPr>
                <w:rFonts w:ascii="Arial" w:cs="Arial" w:eastAsia="Arial" w:hAnsi="Arial"/>
                <w:sz w:val="16"/>
                <w:szCs w:val="16"/>
                <w:color w:val="auto"/>
              </w:rPr>
              <w:t xml:space="preserve"> -</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86"/>
        </w:trPr>
        <w:tc>
          <w:tcPr>
            <w:tcW w:w="20" w:type="dxa"/>
            <w:vAlign w:val="bottom"/>
            <w:tcBorders>
              <w:bottom w:val="single" w:sz="8" w:color="EEEEEE"/>
            </w:tcBorders>
          </w:tcPr>
          <w:p>
            <w:pPr>
              <w:spacing w:after="0"/>
              <w:rPr>
                <w:sz w:val="7"/>
                <w:szCs w:val="7"/>
                <w:color w:val="auto"/>
              </w:rPr>
            </w:pPr>
          </w:p>
        </w:tc>
        <w:tc>
          <w:tcPr>
            <w:tcW w:w="1160" w:type="dxa"/>
            <w:vAlign w:val="bottom"/>
            <w:tcBorders>
              <w:bottom w:val="single" w:sz="8" w:color="EEEEEE"/>
            </w:tcBorders>
          </w:tcPr>
          <w:p>
            <w:pPr>
              <w:spacing w:after="0"/>
              <w:rPr>
                <w:sz w:val="7"/>
                <w:szCs w:val="7"/>
                <w:color w:val="auto"/>
              </w:rPr>
            </w:pPr>
          </w:p>
        </w:tc>
        <w:tc>
          <w:tcPr>
            <w:tcW w:w="72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2180" w:type="dxa"/>
            <w:vAlign w:val="bottom"/>
            <w:tcBorders>
              <w:bottom w:val="single" w:sz="8" w:color="EEEEEE"/>
            </w:tcBorders>
          </w:tcPr>
          <w:p>
            <w:pPr>
              <w:spacing w:after="0"/>
              <w:rPr>
                <w:sz w:val="7"/>
                <w:szCs w:val="7"/>
                <w:color w:val="auto"/>
              </w:rPr>
            </w:pPr>
          </w:p>
        </w:tc>
        <w:tc>
          <w:tcPr>
            <w:tcW w:w="600" w:type="dxa"/>
            <w:vAlign w:val="bottom"/>
            <w:tcBorders>
              <w:bottom w:val="single" w:sz="8" w:color="EEEEEE"/>
            </w:tcBorders>
          </w:tcPr>
          <w:p>
            <w:pPr>
              <w:spacing w:after="0"/>
              <w:rPr>
                <w:sz w:val="7"/>
                <w:szCs w:val="7"/>
                <w:color w:val="auto"/>
              </w:rPr>
            </w:pPr>
          </w:p>
        </w:tc>
        <w:tc>
          <w:tcPr>
            <w:tcW w:w="1060" w:type="dxa"/>
            <w:vAlign w:val="bottom"/>
            <w:tcBorders>
              <w:bottom w:val="single" w:sz="8" w:color="EEEEEE"/>
            </w:tcBorders>
          </w:tcPr>
          <w:p>
            <w:pPr>
              <w:spacing w:after="0"/>
              <w:rPr>
                <w:sz w:val="7"/>
                <w:szCs w:val="7"/>
                <w:color w:val="auto"/>
              </w:rPr>
            </w:pPr>
          </w:p>
        </w:tc>
        <w:tc>
          <w:tcPr>
            <w:tcW w:w="560" w:type="dxa"/>
            <w:vAlign w:val="bottom"/>
            <w:tcBorders>
              <w:bottom w:val="single" w:sz="8" w:color="EEEEEE"/>
            </w:tcBorders>
          </w:tcPr>
          <w:p>
            <w:pPr>
              <w:spacing w:after="0"/>
              <w:rPr>
                <w:sz w:val="7"/>
                <w:szCs w:val="7"/>
                <w:color w:val="auto"/>
              </w:rPr>
            </w:pPr>
          </w:p>
        </w:tc>
        <w:tc>
          <w:tcPr>
            <w:tcW w:w="1060" w:type="dxa"/>
            <w:vAlign w:val="bottom"/>
            <w:tcBorders>
              <w:bottom w:val="single" w:sz="8" w:color="EEEEEE"/>
            </w:tcBorders>
          </w:tcPr>
          <w:p>
            <w:pPr>
              <w:spacing w:after="0"/>
              <w:rPr>
                <w:sz w:val="7"/>
                <w:szCs w:val="7"/>
                <w:color w:val="auto"/>
              </w:rPr>
            </w:pPr>
          </w:p>
        </w:tc>
        <w:tc>
          <w:tcPr>
            <w:tcW w:w="680" w:type="dxa"/>
            <w:vAlign w:val="bottom"/>
            <w:tcBorders>
              <w:bottom w:val="single" w:sz="8" w:color="EEEEEE"/>
            </w:tcBorders>
          </w:tcPr>
          <w:p>
            <w:pPr>
              <w:spacing w:after="0"/>
              <w:rPr>
                <w:sz w:val="7"/>
                <w:szCs w:val="7"/>
                <w:color w:val="auto"/>
              </w:rPr>
            </w:pPr>
          </w:p>
        </w:tc>
        <w:tc>
          <w:tcPr>
            <w:tcW w:w="880" w:type="dxa"/>
            <w:vAlign w:val="bottom"/>
            <w:tcBorders>
              <w:bottom w:val="single" w:sz="8" w:color="EEEEEE"/>
            </w:tcBorders>
          </w:tcPr>
          <w:p>
            <w:pPr>
              <w:spacing w:after="0"/>
              <w:rPr>
                <w:sz w:val="7"/>
                <w:szCs w:val="7"/>
                <w:color w:val="auto"/>
              </w:rPr>
            </w:pPr>
          </w:p>
        </w:tc>
        <w:tc>
          <w:tcPr>
            <w:tcW w:w="500" w:type="dxa"/>
            <w:vAlign w:val="bottom"/>
            <w:tcBorders>
              <w:bottom w:val="single" w:sz="8" w:color="EEEEEE"/>
            </w:tcBorders>
          </w:tcPr>
          <w:p>
            <w:pPr>
              <w:spacing w:after="0"/>
              <w:rPr>
                <w:sz w:val="7"/>
                <w:szCs w:val="7"/>
                <w:color w:val="auto"/>
              </w:rPr>
            </w:pPr>
          </w:p>
        </w:tc>
        <w:tc>
          <w:tcPr>
            <w:tcW w:w="1040" w:type="dxa"/>
            <w:vAlign w:val="bottom"/>
            <w:tcBorders>
              <w:bottom w:val="single" w:sz="8" w:color="EEEEEE"/>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59" w:right="68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40" w:type="dxa"/>
            <w:vAlign w:val="bottom"/>
            <w:gridSpan w:val="2"/>
          </w:tcPr>
          <w:p>
            <w:pPr>
              <w:jc w:val="right"/>
              <w:ind w:right="62"/>
              <w:spacing w:after="0"/>
              <w:rPr>
                <w:sz w:val="20"/>
                <w:szCs w:val="20"/>
                <w:color w:val="auto"/>
              </w:rPr>
            </w:pPr>
            <w:r>
              <w:rPr>
                <w:rFonts w:ascii="Arial" w:cs="Arial" w:eastAsia="Arial" w:hAnsi="Arial"/>
                <w:sz w:val="16"/>
                <w:szCs w:val="16"/>
                <w:color w:val="auto"/>
              </w:rPr>
              <w:t>December 31, 2022</w:t>
            </w: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Total Fair</w:t>
            </w:r>
          </w:p>
        </w:tc>
      </w:tr>
      <w:tr>
        <w:trPr>
          <w:trHeight w:val="205"/>
        </w:trPr>
        <w:tc>
          <w:tcPr>
            <w:tcW w:w="4180" w:type="dxa"/>
            <w:vAlign w:val="bottom"/>
            <w:gridSpan w:val="5"/>
          </w:tcPr>
          <w:p>
            <w:pPr>
              <w:ind w:left="20"/>
              <w:spacing w:after="0"/>
              <w:rPr>
                <w:sz w:val="20"/>
                <w:szCs w:val="20"/>
                <w:color w:val="auto"/>
              </w:rPr>
            </w:pPr>
            <w:r>
              <w:rPr>
                <w:rFonts w:ascii="Arial" w:cs="Arial" w:eastAsia="Arial" w:hAnsi="Arial"/>
                <w:sz w:val="16"/>
                <w:szCs w:val="16"/>
                <w:i w:val="1"/>
                <w:iCs w:val="1"/>
                <w:color w:val="auto"/>
              </w:rPr>
              <w:t>(In thousands)</w:t>
            </w:r>
          </w:p>
        </w:tc>
        <w:tc>
          <w:tcPr>
            <w:tcW w:w="640" w:type="dxa"/>
            <w:vAlign w:val="bottom"/>
          </w:tcPr>
          <w:p>
            <w:pPr>
              <w:spacing w:after="0"/>
              <w:rPr>
                <w:sz w:val="17"/>
                <w:szCs w:val="17"/>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Level 1</w:t>
            </w:r>
          </w:p>
        </w:tc>
        <w:tc>
          <w:tcPr>
            <w:tcW w:w="56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Level 2</w:t>
            </w:r>
          </w:p>
        </w:tc>
        <w:tc>
          <w:tcPr>
            <w:tcW w:w="780" w:type="dxa"/>
            <w:vAlign w:val="bottom"/>
          </w:tcPr>
          <w:p>
            <w:pPr>
              <w:spacing w:after="0"/>
              <w:rPr>
                <w:sz w:val="17"/>
                <w:szCs w:val="17"/>
                <w:color w:val="auto"/>
              </w:rPr>
            </w:pP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Level 3</w:t>
            </w: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Value</w:t>
            </w:r>
          </w:p>
        </w:tc>
      </w:tr>
      <w:tr>
        <w:trPr>
          <w:trHeight w:val="205"/>
        </w:trPr>
        <w:tc>
          <w:tcPr>
            <w:tcW w:w="4180" w:type="dxa"/>
            <w:vAlign w:val="bottom"/>
            <w:gridSpan w:val="5"/>
            <w:shd w:val="clear" w:color="auto" w:fill="CFF0FC"/>
          </w:tcPr>
          <w:p>
            <w:pPr>
              <w:ind w:left="20"/>
              <w:spacing w:after="0"/>
              <w:rPr>
                <w:sz w:val="20"/>
                <w:szCs w:val="20"/>
                <w:color w:val="auto"/>
              </w:rPr>
            </w:pPr>
            <w:r>
              <w:rPr>
                <w:rFonts w:ascii="Arial" w:cs="Arial" w:eastAsia="Arial" w:hAnsi="Arial"/>
                <w:sz w:val="16"/>
                <w:szCs w:val="16"/>
                <w:b w:val="1"/>
                <w:bCs w:val="1"/>
                <w:i w:val="1"/>
                <w:iCs w:val="1"/>
                <w:color w:val="auto"/>
              </w:rPr>
              <w:t>Available-for-Sale Portfolio</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168"/>
        </w:trPr>
        <w:tc>
          <w:tcPr>
            <w:tcW w:w="4180" w:type="dxa"/>
            <w:vAlign w:val="bottom"/>
            <w:gridSpan w:val="5"/>
          </w:tcPr>
          <w:p>
            <w:pPr>
              <w:ind w:left="20"/>
              <w:spacing w:after="0" w:line="168" w:lineRule="exact"/>
              <w:rPr>
                <w:sz w:val="20"/>
                <w:szCs w:val="20"/>
                <w:color w:val="auto"/>
              </w:rPr>
            </w:pPr>
            <w:r>
              <w:rPr>
                <w:rFonts w:ascii="Arial" w:cs="Arial" w:eastAsia="Arial" w:hAnsi="Arial"/>
                <w:sz w:val="16"/>
                <w:szCs w:val="16"/>
                <w:color w:val="auto"/>
              </w:rPr>
              <w:t>Debt investment securities:</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8"/>
        </w:trPr>
        <w:tc>
          <w:tcPr>
            <w:tcW w:w="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2"/>
        </w:trPr>
        <w:tc>
          <w:tcPr>
            <w:tcW w:w="20" w:type="dxa"/>
            <w:vAlign w:val="bottom"/>
            <w:shd w:val="clear" w:color="auto" w:fill="CFF0FC"/>
          </w:tcPr>
          <w:p>
            <w:pPr>
              <w:spacing w:after="0"/>
              <w:rPr>
                <w:sz w:val="18"/>
                <w:szCs w:val="18"/>
                <w:color w:val="auto"/>
              </w:rPr>
            </w:pPr>
          </w:p>
        </w:tc>
        <w:tc>
          <w:tcPr>
            <w:tcW w:w="4160" w:type="dxa"/>
            <w:vAlign w:val="bottom"/>
            <w:gridSpan w:val="4"/>
            <w:shd w:val="clear" w:color="auto" w:fill="CFF0FC"/>
          </w:tcPr>
          <w:p>
            <w:pPr>
              <w:ind w:left="80"/>
              <w:spacing w:after="0"/>
              <w:rPr>
                <w:sz w:val="20"/>
                <w:szCs w:val="20"/>
                <w:color w:val="auto"/>
              </w:rPr>
            </w:pPr>
            <w:r>
              <w:rPr>
                <w:rFonts w:ascii="Arial" w:cs="Arial" w:eastAsia="Arial" w:hAnsi="Arial"/>
                <w:sz w:val="16"/>
                <w:szCs w:val="16"/>
                <w:color w:val="auto"/>
              </w:rPr>
              <w:t>US Treasury, agencies and GSEs</w:t>
            </w:r>
          </w:p>
        </w:tc>
        <w:tc>
          <w:tcPr>
            <w:tcW w:w="640" w:type="dxa"/>
            <w:vAlign w:val="bottom"/>
            <w:shd w:val="clear" w:color="auto" w:fill="CFF0FC"/>
          </w:tcPr>
          <w:p>
            <w:pPr>
              <w:jc w:val="right"/>
              <w:ind w:right="30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29,364</w:t>
            </w:r>
          </w:p>
        </w:tc>
        <w:tc>
          <w:tcPr>
            <w:tcW w:w="780" w:type="dxa"/>
            <w:vAlign w:val="bottom"/>
            <w:shd w:val="clear" w:color="auto" w:fill="CFF0FC"/>
          </w:tcPr>
          <w:p>
            <w:pPr>
              <w:jc w:val="right"/>
              <w:ind w:right="482"/>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29,364</w:t>
            </w:r>
          </w:p>
        </w:tc>
      </w:tr>
      <w:tr>
        <w:trPr>
          <w:trHeight w:val="203"/>
        </w:trPr>
        <w:tc>
          <w:tcPr>
            <w:tcW w:w="20" w:type="dxa"/>
            <w:vAlign w:val="bottom"/>
          </w:tcPr>
          <w:p>
            <w:pPr>
              <w:spacing w:after="0"/>
              <w:rPr>
                <w:sz w:val="17"/>
                <w:szCs w:val="17"/>
                <w:color w:val="auto"/>
              </w:rPr>
            </w:pPr>
          </w:p>
        </w:tc>
        <w:tc>
          <w:tcPr>
            <w:tcW w:w="4160" w:type="dxa"/>
            <w:vAlign w:val="bottom"/>
            <w:gridSpan w:val="4"/>
          </w:tcPr>
          <w:p>
            <w:pPr>
              <w:ind w:left="80"/>
              <w:spacing w:after="0"/>
              <w:rPr>
                <w:sz w:val="20"/>
                <w:szCs w:val="20"/>
                <w:color w:val="auto"/>
              </w:rPr>
            </w:pPr>
            <w:r>
              <w:rPr>
                <w:rFonts w:ascii="Arial" w:cs="Arial" w:eastAsia="Arial" w:hAnsi="Arial"/>
                <w:sz w:val="16"/>
                <w:szCs w:val="16"/>
                <w:color w:val="auto"/>
              </w:rPr>
              <w:t>State and political subdivisions</w:t>
            </w:r>
          </w:p>
        </w:tc>
        <w:tc>
          <w:tcPr>
            <w:tcW w:w="640" w:type="dxa"/>
            <w:vAlign w:val="bottom"/>
          </w:tcPr>
          <w:p>
            <w:pPr>
              <w:spacing w:after="0"/>
              <w:rPr>
                <w:sz w:val="17"/>
                <w:szCs w:val="17"/>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45,385</w:t>
            </w:r>
          </w:p>
        </w:tc>
        <w:tc>
          <w:tcPr>
            <w:tcW w:w="78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45,385</w:t>
            </w:r>
          </w:p>
        </w:tc>
      </w:tr>
      <w:tr>
        <w:trPr>
          <w:trHeight w:val="205"/>
        </w:trPr>
        <w:tc>
          <w:tcPr>
            <w:tcW w:w="20" w:type="dxa"/>
            <w:vAlign w:val="bottom"/>
            <w:shd w:val="clear" w:color="auto" w:fill="CFF0FC"/>
          </w:tcPr>
          <w:p>
            <w:pPr>
              <w:spacing w:after="0"/>
              <w:rPr>
                <w:sz w:val="17"/>
                <w:szCs w:val="17"/>
                <w:color w:val="auto"/>
              </w:rPr>
            </w:pPr>
          </w:p>
        </w:tc>
        <w:tc>
          <w:tcPr>
            <w:tcW w:w="4160" w:type="dxa"/>
            <w:vAlign w:val="bottom"/>
            <w:gridSpan w:val="4"/>
            <w:shd w:val="clear" w:color="auto" w:fill="CFF0FC"/>
          </w:tcPr>
          <w:p>
            <w:pPr>
              <w:ind w:left="80"/>
              <w:spacing w:after="0"/>
              <w:rPr>
                <w:sz w:val="20"/>
                <w:szCs w:val="20"/>
                <w:color w:val="auto"/>
              </w:rPr>
            </w:pPr>
            <w:r>
              <w:rPr>
                <w:rFonts w:ascii="Arial" w:cs="Arial" w:eastAsia="Arial" w:hAnsi="Arial"/>
                <w:sz w:val="16"/>
                <w:szCs w:val="16"/>
                <w:color w:val="auto"/>
              </w:rPr>
              <w:t>Corporate</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7,066</w:t>
            </w:r>
          </w:p>
        </w:tc>
        <w:tc>
          <w:tcPr>
            <w:tcW w:w="78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7,066</w:t>
            </w:r>
          </w:p>
        </w:tc>
      </w:tr>
      <w:tr>
        <w:trPr>
          <w:trHeight w:val="203"/>
        </w:trPr>
        <w:tc>
          <w:tcPr>
            <w:tcW w:w="20" w:type="dxa"/>
            <w:vAlign w:val="bottom"/>
          </w:tcPr>
          <w:p>
            <w:pPr>
              <w:spacing w:after="0"/>
              <w:rPr>
                <w:sz w:val="17"/>
                <w:szCs w:val="17"/>
                <w:color w:val="auto"/>
              </w:rPr>
            </w:pPr>
          </w:p>
        </w:tc>
        <w:tc>
          <w:tcPr>
            <w:tcW w:w="4160" w:type="dxa"/>
            <w:vAlign w:val="bottom"/>
            <w:gridSpan w:val="4"/>
          </w:tcPr>
          <w:p>
            <w:pPr>
              <w:ind w:left="80"/>
              <w:spacing w:after="0"/>
              <w:rPr>
                <w:sz w:val="20"/>
                <w:szCs w:val="20"/>
                <w:color w:val="auto"/>
              </w:rPr>
            </w:pPr>
            <w:r>
              <w:rPr>
                <w:rFonts w:ascii="Arial" w:cs="Arial" w:eastAsia="Arial" w:hAnsi="Arial"/>
                <w:sz w:val="16"/>
                <w:szCs w:val="16"/>
                <w:color w:val="auto"/>
              </w:rPr>
              <w:t>Asset backed securities</w:t>
            </w:r>
          </w:p>
        </w:tc>
        <w:tc>
          <w:tcPr>
            <w:tcW w:w="640" w:type="dxa"/>
            <w:vAlign w:val="bottom"/>
          </w:tcPr>
          <w:p>
            <w:pPr>
              <w:spacing w:after="0"/>
              <w:rPr>
                <w:sz w:val="17"/>
                <w:szCs w:val="17"/>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15,400</w:t>
            </w:r>
          </w:p>
        </w:tc>
        <w:tc>
          <w:tcPr>
            <w:tcW w:w="78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15,400</w:t>
            </w:r>
          </w:p>
        </w:tc>
      </w:tr>
      <w:tr>
        <w:trPr>
          <w:trHeight w:val="205"/>
        </w:trPr>
        <w:tc>
          <w:tcPr>
            <w:tcW w:w="20" w:type="dxa"/>
            <w:vAlign w:val="bottom"/>
            <w:shd w:val="clear" w:color="auto" w:fill="CFF0FC"/>
          </w:tcPr>
          <w:p>
            <w:pPr>
              <w:spacing w:after="0"/>
              <w:rPr>
                <w:sz w:val="17"/>
                <w:szCs w:val="17"/>
                <w:color w:val="auto"/>
              </w:rPr>
            </w:pPr>
          </w:p>
        </w:tc>
        <w:tc>
          <w:tcPr>
            <w:tcW w:w="4160" w:type="dxa"/>
            <w:vAlign w:val="bottom"/>
            <w:gridSpan w:val="4"/>
            <w:shd w:val="clear" w:color="auto" w:fill="CFF0FC"/>
          </w:tcPr>
          <w:p>
            <w:pPr>
              <w:ind w:left="80"/>
              <w:spacing w:after="0"/>
              <w:rPr>
                <w:sz w:val="20"/>
                <w:szCs w:val="20"/>
                <w:color w:val="auto"/>
              </w:rPr>
            </w:pPr>
            <w:r>
              <w:rPr>
                <w:rFonts w:ascii="Arial" w:cs="Arial" w:eastAsia="Arial" w:hAnsi="Arial"/>
                <w:sz w:val="16"/>
                <w:szCs w:val="16"/>
                <w:color w:val="auto"/>
              </w:rPr>
              <w:t>Residential mortgage-backed - US agency</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16,400</w:t>
            </w:r>
          </w:p>
        </w:tc>
        <w:tc>
          <w:tcPr>
            <w:tcW w:w="78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16,400</w:t>
            </w:r>
          </w:p>
        </w:tc>
      </w:tr>
      <w:tr>
        <w:trPr>
          <w:trHeight w:val="203"/>
        </w:trPr>
        <w:tc>
          <w:tcPr>
            <w:tcW w:w="20" w:type="dxa"/>
            <w:vAlign w:val="bottom"/>
          </w:tcPr>
          <w:p>
            <w:pPr>
              <w:spacing w:after="0"/>
              <w:rPr>
                <w:sz w:val="17"/>
                <w:szCs w:val="17"/>
                <w:color w:val="auto"/>
              </w:rPr>
            </w:pPr>
          </w:p>
        </w:tc>
        <w:tc>
          <w:tcPr>
            <w:tcW w:w="4160" w:type="dxa"/>
            <w:vAlign w:val="bottom"/>
            <w:gridSpan w:val="4"/>
          </w:tcPr>
          <w:p>
            <w:pPr>
              <w:ind w:left="80"/>
              <w:spacing w:after="0"/>
              <w:rPr>
                <w:sz w:val="20"/>
                <w:szCs w:val="20"/>
                <w:color w:val="auto"/>
              </w:rPr>
            </w:pPr>
            <w:r>
              <w:rPr>
                <w:rFonts w:ascii="Arial" w:cs="Arial" w:eastAsia="Arial" w:hAnsi="Arial"/>
                <w:sz w:val="16"/>
                <w:szCs w:val="16"/>
                <w:color w:val="auto"/>
              </w:rPr>
              <w:t>Collateralized mortgage obligations - US agency</w:t>
            </w:r>
          </w:p>
        </w:tc>
        <w:tc>
          <w:tcPr>
            <w:tcW w:w="640" w:type="dxa"/>
            <w:vAlign w:val="bottom"/>
          </w:tcPr>
          <w:p>
            <w:pPr>
              <w:spacing w:after="0"/>
              <w:rPr>
                <w:sz w:val="17"/>
                <w:szCs w:val="17"/>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11,708</w:t>
            </w:r>
          </w:p>
        </w:tc>
        <w:tc>
          <w:tcPr>
            <w:tcW w:w="78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11,708</w:t>
            </w:r>
          </w:p>
        </w:tc>
      </w:tr>
      <w:tr>
        <w:trPr>
          <w:trHeight w:val="205"/>
        </w:trPr>
        <w:tc>
          <w:tcPr>
            <w:tcW w:w="20" w:type="dxa"/>
            <w:vAlign w:val="bottom"/>
            <w:shd w:val="clear" w:color="auto" w:fill="CFF0FC"/>
          </w:tcPr>
          <w:p>
            <w:pPr>
              <w:spacing w:after="0"/>
              <w:rPr>
                <w:sz w:val="17"/>
                <w:szCs w:val="17"/>
                <w:color w:val="auto"/>
              </w:rPr>
            </w:pPr>
          </w:p>
        </w:tc>
        <w:tc>
          <w:tcPr>
            <w:tcW w:w="4160" w:type="dxa"/>
            <w:vAlign w:val="bottom"/>
            <w:gridSpan w:val="4"/>
            <w:shd w:val="clear" w:color="auto" w:fill="CFF0FC"/>
          </w:tcPr>
          <w:p>
            <w:pPr>
              <w:ind w:left="80"/>
              <w:spacing w:after="0"/>
              <w:rPr>
                <w:sz w:val="20"/>
                <w:szCs w:val="20"/>
                <w:color w:val="auto"/>
              </w:rPr>
            </w:pPr>
            <w:r>
              <w:rPr>
                <w:rFonts w:ascii="Arial" w:cs="Arial" w:eastAsia="Arial" w:hAnsi="Arial"/>
                <w:sz w:val="16"/>
                <w:szCs w:val="16"/>
                <w:color w:val="auto"/>
              </w:rPr>
              <w:t>Collateralized mortgage obligations - Private label</w:t>
            </w:r>
          </w:p>
        </w:tc>
        <w:tc>
          <w:tcPr>
            <w:tcW w:w="6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61,434</w:t>
            </w:r>
          </w:p>
        </w:tc>
        <w:tc>
          <w:tcPr>
            <w:tcW w:w="78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61,434</w:t>
            </w:r>
          </w:p>
        </w:tc>
      </w:tr>
      <w:tr>
        <w:trPr>
          <w:trHeight w:val="203"/>
        </w:trPr>
        <w:tc>
          <w:tcPr>
            <w:tcW w:w="20" w:type="dxa"/>
            <w:vAlign w:val="bottom"/>
          </w:tcPr>
          <w:p>
            <w:pPr>
              <w:spacing w:after="0"/>
              <w:rPr>
                <w:sz w:val="17"/>
                <w:szCs w:val="17"/>
                <w:color w:val="auto"/>
              </w:rPr>
            </w:pPr>
          </w:p>
        </w:tc>
        <w:tc>
          <w:tcPr>
            <w:tcW w:w="4160" w:type="dxa"/>
            <w:vAlign w:val="bottom"/>
            <w:gridSpan w:val="4"/>
          </w:tcPr>
          <w:p>
            <w:pPr>
              <w:ind w:left="160"/>
              <w:spacing w:after="0"/>
              <w:rPr>
                <w:sz w:val="20"/>
                <w:szCs w:val="20"/>
                <w:color w:val="auto"/>
              </w:rPr>
            </w:pPr>
            <w:r>
              <w:rPr>
                <w:rFonts w:ascii="Arial" w:cs="Arial" w:eastAsia="Arial" w:hAnsi="Arial"/>
                <w:sz w:val="16"/>
                <w:szCs w:val="16"/>
                <w:color w:val="auto"/>
              </w:rPr>
              <w:t>Total</w:t>
            </w:r>
          </w:p>
        </w:tc>
        <w:tc>
          <w:tcPr>
            <w:tcW w:w="640" w:type="dxa"/>
            <w:vAlign w:val="bottom"/>
          </w:tcPr>
          <w:p>
            <w:pPr>
              <w:spacing w:after="0"/>
              <w:rPr>
                <w:sz w:val="17"/>
                <w:szCs w:val="17"/>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186,757</w:t>
            </w:r>
          </w:p>
        </w:tc>
        <w:tc>
          <w:tcPr>
            <w:tcW w:w="78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186,757</w:t>
            </w:r>
          </w:p>
        </w:tc>
      </w:tr>
      <w:tr>
        <w:trPr>
          <w:trHeight w:val="169"/>
        </w:trPr>
        <w:tc>
          <w:tcPr>
            <w:tcW w:w="4180" w:type="dxa"/>
            <w:vAlign w:val="bottom"/>
            <w:gridSpan w:val="5"/>
            <w:shd w:val="clear" w:color="auto" w:fill="CFF0FC"/>
          </w:tcPr>
          <w:p>
            <w:pPr>
              <w:ind w:left="20"/>
              <w:spacing w:after="0" w:line="169" w:lineRule="exact"/>
              <w:rPr>
                <w:sz w:val="20"/>
                <w:szCs w:val="20"/>
                <w:color w:val="auto"/>
              </w:rPr>
            </w:pPr>
            <w:r>
              <w:rPr>
                <w:rFonts w:ascii="Arial" w:cs="Arial" w:eastAsia="Arial" w:hAnsi="Arial"/>
                <w:sz w:val="16"/>
                <w:szCs w:val="16"/>
                <w:color w:val="auto"/>
              </w:rPr>
              <w:t>Equity investment securities:</w:t>
            </w:r>
          </w:p>
        </w:tc>
        <w:tc>
          <w:tcPr>
            <w:tcW w:w="6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r>
      <w:tr>
        <w:trPr>
          <w:trHeight w:val="36"/>
        </w:trPr>
        <w:tc>
          <w:tcPr>
            <w:tcW w:w="20" w:type="dxa"/>
            <w:vAlign w:val="bottom"/>
            <w:shd w:val="clear" w:color="auto" w:fill="CFF0FC"/>
          </w:tcPr>
          <w:p>
            <w:pPr>
              <w:spacing w:after="0"/>
              <w:rPr>
                <w:sz w:val="3"/>
                <w:szCs w:val="3"/>
                <w:color w:val="auto"/>
              </w:rPr>
            </w:pPr>
          </w:p>
        </w:tc>
        <w:tc>
          <w:tcPr>
            <w:tcW w:w="116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180" w:type="dxa"/>
            <w:vAlign w:val="bottom"/>
            <w:shd w:val="clear" w:color="auto" w:fill="CFF0FC"/>
          </w:tcPr>
          <w:p>
            <w:pPr>
              <w:spacing w:after="0"/>
              <w:rPr>
                <w:sz w:val="3"/>
                <w:szCs w:val="3"/>
                <w:color w:val="auto"/>
              </w:rPr>
            </w:pPr>
          </w:p>
        </w:tc>
        <w:tc>
          <w:tcPr>
            <w:tcW w:w="640" w:type="dxa"/>
            <w:vAlign w:val="bottom"/>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56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50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4160" w:type="dxa"/>
            <w:vAlign w:val="bottom"/>
            <w:gridSpan w:val="4"/>
          </w:tcPr>
          <w:p>
            <w:pPr>
              <w:ind w:left="80"/>
              <w:spacing w:after="0"/>
              <w:rPr>
                <w:sz w:val="20"/>
                <w:szCs w:val="20"/>
                <w:color w:val="auto"/>
              </w:rPr>
            </w:pPr>
            <w:r>
              <w:rPr>
                <w:rFonts w:ascii="Arial" w:cs="Arial" w:eastAsia="Arial" w:hAnsi="Arial"/>
                <w:sz w:val="16"/>
                <w:szCs w:val="16"/>
                <w:color w:val="auto"/>
              </w:rPr>
              <w:t>Common stock - financial services industry</w:t>
            </w:r>
          </w:p>
        </w:tc>
        <w:tc>
          <w:tcPr>
            <w:tcW w:w="640" w:type="dxa"/>
            <w:vAlign w:val="bottom"/>
          </w:tcPr>
          <w:p>
            <w:pPr>
              <w:spacing w:after="0"/>
              <w:rPr>
                <w:sz w:val="17"/>
                <w:szCs w:val="17"/>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206</w:t>
            </w:r>
          </w:p>
        </w:tc>
        <w:tc>
          <w:tcPr>
            <w:tcW w:w="56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206</w:t>
            </w:r>
          </w:p>
        </w:tc>
      </w:tr>
      <w:tr>
        <w:trPr>
          <w:trHeight w:val="169"/>
        </w:trPr>
        <w:tc>
          <w:tcPr>
            <w:tcW w:w="4180" w:type="dxa"/>
            <w:vAlign w:val="bottom"/>
            <w:gridSpan w:val="5"/>
            <w:shd w:val="clear" w:color="auto" w:fill="CFF0FC"/>
          </w:tcPr>
          <w:p>
            <w:pPr>
              <w:ind w:left="20"/>
              <w:spacing w:after="0" w:line="169" w:lineRule="exact"/>
              <w:rPr>
                <w:sz w:val="20"/>
                <w:szCs w:val="20"/>
                <w:color w:val="auto"/>
              </w:rPr>
            </w:pPr>
            <w:r>
              <w:rPr>
                <w:rFonts w:ascii="Arial" w:cs="Arial" w:eastAsia="Arial" w:hAnsi="Arial"/>
                <w:sz w:val="16"/>
                <w:szCs w:val="16"/>
                <w:color w:val="auto"/>
              </w:rPr>
              <w:t>Other Securities:</w:t>
            </w:r>
          </w:p>
        </w:tc>
        <w:tc>
          <w:tcPr>
            <w:tcW w:w="6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r>
      <w:tr>
        <w:trPr>
          <w:trHeight w:val="36"/>
        </w:trPr>
        <w:tc>
          <w:tcPr>
            <w:tcW w:w="20" w:type="dxa"/>
            <w:vAlign w:val="bottom"/>
            <w:shd w:val="clear" w:color="auto" w:fill="CFF0FC"/>
          </w:tcPr>
          <w:p>
            <w:pPr>
              <w:spacing w:after="0"/>
              <w:rPr>
                <w:sz w:val="3"/>
                <w:szCs w:val="3"/>
                <w:color w:val="auto"/>
              </w:rPr>
            </w:pPr>
          </w:p>
        </w:tc>
        <w:tc>
          <w:tcPr>
            <w:tcW w:w="1160" w:type="dxa"/>
            <w:vAlign w:val="bottom"/>
            <w:shd w:val="clear" w:color="auto" w:fill="000000"/>
          </w:tcPr>
          <w:p>
            <w:pPr>
              <w:spacing w:after="0"/>
              <w:rPr>
                <w:sz w:val="3"/>
                <w:szCs w:val="3"/>
                <w:color w:val="auto"/>
              </w:rPr>
            </w:pPr>
          </w:p>
        </w:tc>
        <w:tc>
          <w:tcPr>
            <w:tcW w:w="7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2180" w:type="dxa"/>
            <w:vAlign w:val="bottom"/>
            <w:shd w:val="clear" w:color="auto" w:fill="CFF0FC"/>
          </w:tcPr>
          <w:p>
            <w:pPr>
              <w:spacing w:after="0"/>
              <w:rPr>
                <w:sz w:val="3"/>
                <w:szCs w:val="3"/>
                <w:color w:val="auto"/>
              </w:rPr>
            </w:pPr>
          </w:p>
        </w:tc>
        <w:tc>
          <w:tcPr>
            <w:tcW w:w="640" w:type="dxa"/>
            <w:vAlign w:val="bottom"/>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56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50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4160" w:type="dxa"/>
            <w:vAlign w:val="bottom"/>
            <w:gridSpan w:val="4"/>
          </w:tcPr>
          <w:p>
            <w:pPr>
              <w:ind w:left="80"/>
              <w:spacing w:after="0"/>
              <w:rPr>
                <w:sz w:val="20"/>
                <w:szCs w:val="20"/>
                <w:color w:val="auto"/>
              </w:rPr>
            </w:pPr>
            <w:r>
              <w:rPr>
                <w:rFonts w:ascii="Arial" w:cs="Arial" w:eastAsia="Arial" w:hAnsi="Arial"/>
                <w:sz w:val="16"/>
                <w:szCs w:val="16"/>
                <w:color w:val="auto"/>
              </w:rPr>
              <w:t>Corporate measured at NAV</w:t>
            </w:r>
          </w:p>
        </w:tc>
        <w:tc>
          <w:tcPr>
            <w:tcW w:w="640" w:type="dxa"/>
            <w:vAlign w:val="bottom"/>
          </w:tcPr>
          <w:p>
            <w:pPr>
              <w:spacing w:after="0"/>
              <w:rPr>
                <w:sz w:val="17"/>
                <w:szCs w:val="17"/>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0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4,763</w:t>
            </w:r>
          </w:p>
        </w:tc>
      </w:tr>
      <w:tr>
        <w:trPr>
          <w:trHeight w:val="244"/>
        </w:trPr>
        <w:tc>
          <w:tcPr>
            <w:tcW w:w="4180" w:type="dxa"/>
            <w:vAlign w:val="bottom"/>
            <w:tcBorders>
              <w:bottom w:val="single" w:sz="8" w:color="auto"/>
            </w:tcBorders>
            <w:gridSpan w:val="5"/>
            <w:shd w:val="clear" w:color="auto" w:fill="CFF0FC"/>
          </w:tcPr>
          <w:p>
            <w:pPr>
              <w:ind w:left="20"/>
              <w:spacing w:after="0"/>
              <w:rPr>
                <w:sz w:val="20"/>
                <w:szCs w:val="20"/>
                <w:color w:val="auto"/>
              </w:rPr>
            </w:pPr>
            <w:r>
              <w:rPr>
                <w:rFonts w:ascii="Arial" w:cs="Arial" w:eastAsia="Arial" w:hAnsi="Arial"/>
                <w:sz w:val="16"/>
                <w:szCs w:val="16"/>
                <w:color w:val="auto"/>
              </w:rPr>
              <w:t>Total available-for-sale securities</w:t>
            </w:r>
          </w:p>
        </w:tc>
        <w:tc>
          <w:tcPr>
            <w:tcW w:w="640" w:type="dxa"/>
            <w:vAlign w:val="bottom"/>
            <w:tcBorders>
              <w:bottom w:val="single" w:sz="8" w:color="auto"/>
            </w:tcBorders>
            <w:shd w:val="clear" w:color="auto" w:fill="CFF0FC"/>
          </w:tcPr>
          <w:p>
            <w:pPr>
              <w:jc w:val="right"/>
              <w:ind w:right="30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206</w:t>
            </w:r>
          </w:p>
        </w:tc>
        <w:tc>
          <w:tcPr>
            <w:tcW w:w="560" w:type="dxa"/>
            <w:vAlign w:val="bottom"/>
            <w:tcBorders>
              <w:bottom w:val="single" w:sz="8" w:color="auto"/>
            </w:tcBorders>
            <w:shd w:val="clear" w:color="auto" w:fill="CFF0FC"/>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186,757</w:t>
            </w:r>
          </w:p>
        </w:tc>
        <w:tc>
          <w:tcPr>
            <w:tcW w:w="780" w:type="dxa"/>
            <w:vAlign w:val="bottom"/>
            <w:tcBorders>
              <w:bottom w:val="single" w:sz="8" w:color="auto"/>
            </w:tcBorders>
            <w:shd w:val="clear" w:color="auto" w:fill="CFF0FC"/>
          </w:tcPr>
          <w:p>
            <w:pPr>
              <w:jc w:val="right"/>
              <w:ind w:right="48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191,726</w:t>
            </w:r>
          </w:p>
        </w:tc>
      </w:tr>
      <w:tr>
        <w:trPr>
          <w:trHeight w:val="181"/>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4180" w:type="dxa"/>
            <w:vAlign w:val="bottom"/>
            <w:tcBorders>
              <w:bottom w:val="single" w:sz="8" w:color="auto"/>
            </w:tcBorders>
            <w:gridSpan w:val="5"/>
            <w:shd w:val="clear" w:color="auto" w:fill="CFF0FC"/>
          </w:tcPr>
          <w:p>
            <w:pPr>
              <w:ind w:left="20"/>
              <w:spacing w:after="0"/>
              <w:rPr>
                <w:sz w:val="20"/>
                <w:szCs w:val="20"/>
                <w:color w:val="auto"/>
              </w:rPr>
            </w:pPr>
            <w:r>
              <w:rPr>
                <w:rFonts w:ascii="Arial" w:cs="Arial" w:eastAsia="Arial" w:hAnsi="Arial"/>
                <w:sz w:val="16"/>
                <w:szCs w:val="16"/>
                <w:color w:val="auto"/>
              </w:rPr>
              <w:t>Marketable equity securities measured at NAV</w:t>
            </w:r>
          </w:p>
        </w:tc>
        <w:tc>
          <w:tcPr>
            <w:tcW w:w="640" w:type="dxa"/>
            <w:vAlign w:val="bottom"/>
            <w:tcBorders>
              <w:bottom w:val="single" w:sz="8" w:color="auto"/>
            </w:tcBorders>
            <w:shd w:val="clear" w:color="auto" w:fill="CFF0FC"/>
          </w:tcPr>
          <w:p>
            <w:pPr>
              <w:jc w:val="right"/>
              <w:ind w:right="30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FF0FC"/>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48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1,862</w:t>
            </w:r>
          </w:p>
        </w:tc>
      </w:tr>
      <w:tr>
        <w:trPr>
          <w:trHeight w:val="181"/>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5"/>
        </w:trPr>
        <w:tc>
          <w:tcPr>
            <w:tcW w:w="418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Interest rate swap derivative fair value hedges (unrealized</w:t>
            </w:r>
          </w:p>
        </w:tc>
        <w:tc>
          <w:tcPr>
            <w:tcW w:w="6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r>
      <w:tr>
        <w:trPr>
          <w:trHeight w:val="238"/>
        </w:trPr>
        <w:tc>
          <w:tcPr>
            <w:tcW w:w="4180" w:type="dxa"/>
            <w:vAlign w:val="bottom"/>
            <w:tcBorders>
              <w:bottom w:val="single" w:sz="8" w:color="auto"/>
            </w:tcBorders>
            <w:gridSpan w:val="5"/>
            <w:shd w:val="clear" w:color="auto" w:fill="CFF0FC"/>
          </w:tcPr>
          <w:p>
            <w:pPr>
              <w:ind w:left="20"/>
              <w:spacing w:after="0"/>
              <w:rPr>
                <w:sz w:val="20"/>
                <w:szCs w:val="20"/>
                <w:color w:val="auto"/>
              </w:rPr>
            </w:pPr>
            <w:r>
              <w:rPr>
                <w:rFonts w:ascii="Arial" w:cs="Arial" w:eastAsia="Arial" w:hAnsi="Arial"/>
                <w:sz w:val="16"/>
                <w:szCs w:val="16"/>
                <w:color w:val="auto"/>
              </w:rPr>
              <w:t>gain carried as receivable from derivative counterparties)</w:t>
            </w:r>
          </w:p>
        </w:tc>
        <w:tc>
          <w:tcPr>
            <w:tcW w:w="640" w:type="dxa"/>
            <w:vAlign w:val="bottom"/>
            <w:tcBorders>
              <w:bottom w:val="single" w:sz="8" w:color="auto"/>
            </w:tcBorders>
            <w:shd w:val="clear" w:color="auto" w:fill="CFF0FC"/>
          </w:tcPr>
          <w:p>
            <w:pPr>
              <w:jc w:val="right"/>
              <w:ind w:right="30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FF0FC"/>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9,717</w:t>
            </w:r>
          </w:p>
        </w:tc>
        <w:tc>
          <w:tcPr>
            <w:tcW w:w="780" w:type="dxa"/>
            <w:vAlign w:val="bottom"/>
            <w:tcBorders>
              <w:bottom w:val="single" w:sz="8" w:color="auto"/>
            </w:tcBorders>
            <w:shd w:val="clear" w:color="auto" w:fill="CFF0FC"/>
          </w:tcPr>
          <w:p>
            <w:pPr>
              <w:jc w:val="right"/>
              <w:ind w:right="48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9,717</w:t>
            </w:r>
          </w:p>
        </w:tc>
      </w:tr>
      <w:tr>
        <w:trPr>
          <w:trHeight w:val="181"/>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5"/>
        </w:trPr>
        <w:tc>
          <w:tcPr>
            <w:tcW w:w="418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Interest rate swap derivative cash flow hedges</w:t>
            </w:r>
          </w:p>
        </w:tc>
        <w:tc>
          <w:tcPr>
            <w:tcW w:w="6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r>
      <w:tr>
        <w:trPr>
          <w:trHeight w:val="180"/>
        </w:trPr>
        <w:tc>
          <w:tcPr>
            <w:tcW w:w="4180" w:type="dxa"/>
            <w:vAlign w:val="bottom"/>
            <w:gridSpan w:val="5"/>
            <w:shd w:val="clear" w:color="auto" w:fill="CFF0FC"/>
          </w:tcPr>
          <w:p>
            <w:pPr>
              <w:ind w:left="20"/>
              <w:spacing w:after="0" w:line="180" w:lineRule="exact"/>
              <w:rPr>
                <w:sz w:val="20"/>
                <w:szCs w:val="20"/>
                <w:color w:val="auto"/>
              </w:rPr>
            </w:pPr>
            <w:r>
              <w:rPr>
                <w:rFonts w:ascii="Arial" w:cs="Arial" w:eastAsia="Arial" w:hAnsi="Arial"/>
                <w:sz w:val="16"/>
                <w:szCs w:val="16"/>
                <w:color w:val="auto"/>
              </w:rPr>
              <w:t>(unrealized gain carried as receivable from derivative</w:t>
            </w:r>
          </w:p>
        </w:tc>
        <w:tc>
          <w:tcPr>
            <w:tcW w:w="6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238"/>
        </w:trPr>
        <w:tc>
          <w:tcPr>
            <w:tcW w:w="4180" w:type="dxa"/>
            <w:vAlign w:val="bottom"/>
            <w:tcBorders>
              <w:bottom w:val="single" w:sz="8" w:color="auto"/>
            </w:tcBorders>
            <w:gridSpan w:val="5"/>
            <w:shd w:val="clear" w:color="auto" w:fill="CFF0FC"/>
          </w:tcPr>
          <w:p>
            <w:pPr>
              <w:ind w:left="20"/>
              <w:spacing w:after="0"/>
              <w:rPr>
                <w:sz w:val="20"/>
                <w:szCs w:val="20"/>
                <w:color w:val="auto"/>
              </w:rPr>
            </w:pPr>
            <w:r>
              <w:rPr>
                <w:rFonts w:ascii="Arial" w:cs="Arial" w:eastAsia="Arial" w:hAnsi="Arial"/>
                <w:sz w:val="16"/>
                <w:szCs w:val="16"/>
                <w:color w:val="auto"/>
              </w:rPr>
              <w:t>counterparties)</w:t>
            </w:r>
          </w:p>
        </w:tc>
        <w:tc>
          <w:tcPr>
            <w:tcW w:w="640" w:type="dxa"/>
            <w:vAlign w:val="bottom"/>
            <w:tcBorders>
              <w:bottom w:val="single" w:sz="8" w:color="auto"/>
            </w:tcBorders>
            <w:shd w:val="clear" w:color="auto" w:fill="CFF0FC"/>
          </w:tcPr>
          <w:p>
            <w:pPr>
              <w:jc w:val="right"/>
              <w:ind w:right="30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FF0FC"/>
          </w:tcPr>
          <w:p>
            <w:pPr>
              <w:jc w:val="right"/>
              <w:ind w:right="2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519</w:t>
            </w:r>
          </w:p>
        </w:tc>
        <w:tc>
          <w:tcPr>
            <w:tcW w:w="780" w:type="dxa"/>
            <w:vAlign w:val="bottom"/>
            <w:tcBorders>
              <w:bottom w:val="single" w:sz="8" w:color="auto"/>
            </w:tcBorders>
            <w:shd w:val="clear" w:color="auto" w:fill="CFF0FC"/>
          </w:tcPr>
          <w:p>
            <w:pPr>
              <w:jc w:val="right"/>
              <w:ind w:right="48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519</w:t>
            </w:r>
          </w:p>
        </w:tc>
      </w:tr>
    </w:tbl>
    <w:p>
      <w:pPr>
        <w:spacing w:after="0" w:line="329"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Pathfinder Bank had the following assets measured at fair value on a nonrecurring basis as of June 30, 2023 and December 31, 2022: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gridSpan w:val="2"/>
          </w:tcPr>
          <w:p>
            <w:pPr>
              <w:jc w:val="right"/>
              <w:ind w:right="142"/>
              <w:spacing w:after="0"/>
              <w:rPr>
                <w:sz w:val="20"/>
                <w:szCs w:val="20"/>
                <w:color w:val="auto"/>
              </w:rPr>
            </w:pPr>
            <w:r>
              <w:rPr>
                <w:rFonts w:ascii="Arial" w:cs="Arial" w:eastAsia="Arial" w:hAnsi="Arial"/>
                <w:sz w:val="16"/>
                <w:szCs w:val="16"/>
                <w:color w:val="auto"/>
              </w:rPr>
              <w:t>June 30, 2023</w:t>
            </w: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4"/>
        </w:trPr>
        <w:tc>
          <w:tcPr>
            <w:tcW w:w="34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Total Fair</w:t>
            </w:r>
          </w:p>
        </w:tc>
      </w:tr>
      <w:tr>
        <w:trPr>
          <w:trHeight w:val="205"/>
        </w:trPr>
        <w:tc>
          <w:tcPr>
            <w:tcW w:w="34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18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Level 1</w:t>
            </w:r>
          </w:p>
        </w:tc>
        <w:tc>
          <w:tcPr>
            <w:tcW w:w="46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Level 2</w:t>
            </w:r>
          </w:p>
        </w:tc>
        <w:tc>
          <w:tcPr>
            <w:tcW w:w="700" w:type="dxa"/>
            <w:vAlign w:val="bottom"/>
          </w:tcPr>
          <w:p>
            <w:pPr>
              <w:spacing w:after="0"/>
              <w:rPr>
                <w:sz w:val="17"/>
                <w:szCs w:val="17"/>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Level 3</w:t>
            </w:r>
          </w:p>
        </w:tc>
        <w:tc>
          <w:tcPr>
            <w:tcW w:w="380" w:type="dxa"/>
            <w:vAlign w:val="bottom"/>
          </w:tcPr>
          <w:p>
            <w:pPr>
              <w:spacing w:after="0"/>
              <w:rPr>
                <w:sz w:val="17"/>
                <w:szCs w:val="17"/>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Value</w:t>
            </w:r>
          </w:p>
        </w:tc>
      </w:tr>
      <w:tr>
        <w:trPr>
          <w:trHeight w:val="205"/>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Impaired loans</w:t>
            </w:r>
          </w:p>
        </w:tc>
        <w:tc>
          <w:tcPr>
            <w:tcW w:w="218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82"/>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7,994</w:t>
            </w:r>
          </w:p>
        </w:tc>
        <w:tc>
          <w:tcPr>
            <w:tcW w:w="3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7,994</w:t>
            </w:r>
          </w:p>
        </w:tc>
      </w:tr>
      <w:tr>
        <w:trPr>
          <w:trHeight w:val="202"/>
        </w:trPr>
        <w:tc>
          <w:tcPr>
            <w:tcW w:w="3400" w:type="dxa"/>
            <w:vAlign w:val="bottom"/>
          </w:tcPr>
          <w:p>
            <w:pPr>
              <w:ind w:left="20"/>
              <w:spacing w:after="0"/>
              <w:rPr>
                <w:sz w:val="20"/>
                <w:szCs w:val="20"/>
                <w:color w:val="auto"/>
              </w:rPr>
            </w:pPr>
            <w:r>
              <w:rPr>
                <w:rFonts w:ascii="Arial" w:cs="Arial" w:eastAsia="Arial" w:hAnsi="Arial"/>
                <w:sz w:val="16"/>
                <w:szCs w:val="16"/>
                <w:color w:val="auto"/>
              </w:rPr>
              <w:t>Foreclosed real estate</w:t>
            </w:r>
          </w:p>
        </w:tc>
        <w:tc>
          <w:tcPr>
            <w:tcW w:w="21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277</w:t>
            </w:r>
          </w:p>
        </w:tc>
        <w:tc>
          <w:tcPr>
            <w:tcW w:w="3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277</w:t>
            </w:r>
          </w:p>
        </w:tc>
      </w:tr>
      <w:tr>
        <w:trPr>
          <w:trHeight w:val="444"/>
        </w:trPr>
        <w:tc>
          <w:tcPr>
            <w:tcW w:w="3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December 31, 2022</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4"/>
        </w:trPr>
        <w:tc>
          <w:tcPr>
            <w:tcW w:w="34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Total Fair</w:t>
            </w:r>
          </w:p>
        </w:tc>
      </w:tr>
      <w:tr>
        <w:trPr>
          <w:trHeight w:val="205"/>
        </w:trPr>
        <w:tc>
          <w:tcPr>
            <w:tcW w:w="34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18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Level 1</w:t>
            </w:r>
          </w:p>
        </w:tc>
        <w:tc>
          <w:tcPr>
            <w:tcW w:w="460" w:type="dxa"/>
            <w:vAlign w:val="bottom"/>
          </w:tcPr>
          <w:p>
            <w:pPr>
              <w:spacing w:after="0"/>
              <w:rPr>
                <w:sz w:val="17"/>
                <w:szCs w:val="17"/>
                <w:color w:val="auto"/>
              </w:rPr>
            </w:pP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Level 2</w:t>
            </w:r>
          </w:p>
        </w:tc>
        <w:tc>
          <w:tcPr>
            <w:tcW w:w="700" w:type="dxa"/>
            <w:vAlign w:val="bottom"/>
          </w:tcPr>
          <w:p>
            <w:pPr>
              <w:spacing w:after="0"/>
              <w:rPr>
                <w:sz w:val="17"/>
                <w:szCs w:val="17"/>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Level 3</w:t>
            </w:r>
          </w:p>
        </w:tc>
        <w:tc>
          <w:tcPr>
            <w:tcW w:w="380" w:type="dxa"/>
            <w:vAlign w:val="bottom"/>
          </w:tcPr>
          <w:p>
            <w:pPr>
              <w:spacing w:after="0"/>
              <w:rPr>
                <w:sz w:val="17"/>
                <w:szCs w:val="17"/>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Value</w:t>
            </w:r>
          </w:p>
        </w:tc>
      </w:tr>
      <w:tr>
        <w:trPr>
          <w:trHeight w:val="205"/>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Impaired loans</w:t>
            </w:r>
          </w:p>
        </w:tc>
        <w:tc>
          <w:tcPr>
            <w:tcW w:w="218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82"/>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2,328</w:t>
            </w:r>
          </w:p>
        </w:tc>
        <w:tc>
          <w:tcPr>
            <w:tcW w:w="3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2,328</w:t>
            </w:r>
          </w:p>
        </w:tc>
      </w:tr>
      <w:tr>
        <w:trPr>
          <w:trHeight w:val="202"/>
        </w:trPr>
        <w:tc>
          <w:tcPr>
            <w:tcW w:w="3400" w:type="dxa"/>
            <w:vAlign w:val="bottom"/>
          </w:tcPr>
          <w:p>
            <w:pPr>
              <w:ind w:left="20"/>
              <w:spacing w:after="0"/>
              <w:rPr>
                <w:sz w:val="20"/>
                <w:szCs w:val="20"/>
                <w:color w:val="auto"/>
              </w:rPr>
            </w:pPr>
            <w:r>
              <w:rPr>
                <w:rFonts w:ascii="Arial" w:cs="Arial" w:eastAsia="Arial" w:hAnsi="Arial"/>
                <w:sz w:val="16"/>
                <w:szCs w:val="16"/>
                <w:color w:val="auto"/>
              </w:rPr>
              <w:t>Foreclosed real estate</w:t>
            </w:r>
          </w:p>
        </w:tc>
        <w:tc>
          <w:tcPr>
            <w:tcW w:w="21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8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221</w:t>
            </w:r>
          </w:p>
        </w:tc>
        <w:tc>
          <w:tcPr>
            <w:tcW w:w="3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221</w:t>
            </w:r>
          </w:p>
        </w:tc>
      </w:tr>
    </w:tbl>
    <w:p>
      <w:pPr>
        <w:spacing w:after="0" w:line="211"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The following table presents additional quantitative information about assets measured at fair value on a nonrecurring basis and for which Level 3 inputs were used to determine fair value at the indicated dates.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7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00" w:type="dxa"/>
            <w:vAlign w:val="bottom"/>
          </w:tcPr>
          <w:p>
            <w:pPr>
              <w:jc w:val="center"/>
              <w:spacing w:after="0"/>
              <w:rPr>
                <w:sz w:val="20"/>
                <w:szCs w:val="20"/>
                <w:color w:val="auto"/>
              </w:rPr>
            </w:pPr>
            <w:r>
              <w:rPr>
                <w:rFonts w:ascii="Arial" w:cs="Arial" w:eastAsia="Arial" w:hAnsi="Arial"/>
                <w:sz w:val="14"/>
                <w:szCs w:val="14"/>
                <w:color w:val="auto"/>
              </w:rPr>
              <w:t>Quantitative Information about Level 3 Fair Value Measurements</w:t>
            </w:r>
          </w:p>
        </w:tc>
        <w:tc>
          <w:tcPr>
            <w:tcW w:w="1780" w:type="dxa"/>
            <w:vAlign w:val="bottom"/>
          </w:tcPr>
          <w:p>
            <w:pPr>
              <w:spacing w:after="0"/>
              <w:rPr>
                <w:sz w:val="15"/>
                <w:szCs w:val="15"/>
                <w:color w:val="auto"/>
              </w:rPr>
            </w:pPr>
          </w:p>
        </w:tc>
      </w:tr>
      <w:tr>
        <w:trPr>
          <w:trHeight w:val="192"/>
        </w:trPr>
        <w:tc>
          <w:tcPr>
            <w:tcW w:w="178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Valuation</w:t>
            </w:r>
          </w:p>
        </w:tc>
        <w:tc>
          <w:tcPr>
            <w:tcW w:w="4900" w:type="dxa"/>
            <w:vAlign w:val="bottom"/>
          </w:tcPr>
          <w:p>
            <w:pPr>
              <w:jc w:val="center"/>
              <w:spacing w:after="0"/>
              <w:rPr>
                <w:sz w:val="20"/>
                <w:szCs w:val="20"/>
                <w:color w:val="auto"/>
              </w:rPr>
            </w:pPr>
            <w:r>
              <w:rPr>
                <w:rFonts w:ascii="Arial" w:cs="Arial" w:eastAsia="Arial" w:hAnsi="Arial"/>
                <w:sz w:val="14"/>
                <w:szCs w:val="14"/>
                <w:color w:val="auto"/>
              </w:rPr>
              <w:t>Unobservable</w:t>
            </w:r>
          </w:p>
        </w:tc>
        <w:tc>
          <w:tcPr>
            <w:tcW w:w="1780" w:type="dxa"/>
            <w:vAlign w:val="bottom"/>
          </w:tcPr>
          <w:p>
            <w:pPr>
              <w:jc w:val="center"/>
              <w:ind w:left="48"/>
              <w:spacing w:after="0"/>
              <w:rPr>
                <w:sz w:val="20"/>
                <w:szCs w:val="20"/>
                <w:color w:val="auto"/>
              </w:rPr>
            </w:pPr>
            <w:r>
              <w:rPr>
                <w:rFonts w:ascii="Arial" w:cs="Arial" w:eastAsia="Arial" w:hAnsi="Arial"/>
                <w:sz w:val="14"/>
                <w:szCs w:val="14"/>
                <w:color w:val="auto"/>
              </w:rPr>
              <w:t>Range</w:t>
            </w:r>
          </w:p>
        </w:tc>
      </w:tr>
      <w:tr>
        <w:trPr>
          <w:trHeight w:val="192"/>
        </w:trPr>
        <w:tc>
          <w:tcPr>
            <w:tcW w:w="178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Techniques</w:t>
            </w:r>
          </w:p>
        </w:tc>
        <w:tc>
          <w:tcPr>
            <w:tcW w:w="4900" w:type="dxa"/>
            <w:vAlign w:val="bottom"/>
          </w:tcPr>
          <w:p>
            <w:pPr>
              <w:jc w:val="center"/>
              <w:spacing w:after="0"/>
              <w:rPr>
                <w:sz w:val="20"/>
                <w:szCs w:val="20"/>
                <w:color w:val="auto"/>
              </w:rPr>
            </w:pPr>
            <w:r>
              <w:rPr>
                <w:rFonts w:ascii="Arial" w:cs="Arial" w:eastAsia="Arial" w:hAnsi="Arial"/>
                <w:sz w:val="14"/>
                <w:szCs w:val="14"/>
                <w:color w:val="auto"/>
              </w:rPr>
              <w:t>Input</w:t>
            </w:r>
          </w:p>
        </w:tc>
        <w:tc>
          <w:tcPr>
            <w:tcW w:w="1780" w:type="dxa"/>
            <w:vAlign w:val="bottom"/>
          </w:tcPr>
          <w:p>
            <w:pPr>
              <w:jc w:val="center"/>
              <w:ind w:left="48"/>
              <w:spacing w:after="0"/>
              <w:rPr>
                <w:sz w:val="20"/>
                <w:szCs w:val="20"/>
                <w:color w:val="auto"/>
              </w:rPr>
            </w:pPr>
            <w:r>
              <w:rPr>
                <w:rFonts w:ascii="Arial" w:cs="Arial" w:eastAsia="Arial" w:hAnsi="Arial"/>
                <w:sz w:val="14"/>
                <w:szCs w:val="14"/>
                <w:color w:val="auto"/>
              </w:rPr>
              <w:t>(Weighted Avg.)</w:t>
            </w:r>
          </w:p>
        </w:tc>
      </w:tr>
      <w:tr>
        <w:trPr>
          <w:trHeight w:val="192"/>
        </w:trPr>
        <w:tc>
          <w:tcPr>
            <w:tcW w:w="1780" w:type="dxa"/>
            <w:vAlign w:val="bottom"/>
          </w:tcPr>
          <w:p>
            <w:pPr>
              <w:ind w:left="20"/>
              <w:spacing w:after="0"/>
              <w:rPr>
                <w:sz w:val="20"/>
                <w:szCs w:val="20"/>
                <w:color w:val="auto"/>
              </w:rPr>
            </w:pPr>
            <w:r>
              <w:rPr>
                <w:rFonts w:ascii="Arial" w:cs="Arial" w:eastAsia="Arial" w:hAnsi="Arial"/>
                <w:sz w:val="14"/>
                <w:szCs w:val="14"/>
                <w:color w:val="auto"/>
              </w:rPr>
              <w:t>At June 30, 2023</w:t>
            </w:r>
          </w:p>
        </w:tc>
        <w:tc>
          <w:tcPr>
            <w:tcW w:w="210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5"/>
        </w:trPr>
        <w:tc>
          <w:tcPr>
            <w:tcW w:w="1780" w:type="dxa"/>
            <w:vAlign w:val="bottom"/>
          </w:tcPr>
          <w:p>
            <w:pPr>
              <w:ind w:left="20"/>
              <w:spacing w:after="0"/>
              <w:rPr>
                <w:sz w:val="20"/>
                <w:szCs w:val="20"/>
                <w:color w:val="auto"/>
              </w:rPr>
            </w:pPr>
            <w:r>
              <w:rPr>
                <w:rFonts w:ascii="Arial" w:cs="Arial" w:eastAsia="Arial" w:hAnsi="Arial"/>
                <w:sz w:val="14"/>
                <w:szCs w:val="14"/>
                <w:color w:val="auto"/>
              </w:rPr>
              <w:t>Impaired loans</w:t>
            </w:r>
          </w:p>
        </w:tc>
        <w:tc>
          <w:tcPr>
            <w:tcW w:w="2100" w:type="dxa"/>
            <w:vAlign w:val="bottom"/>
          </w:tcPr>
          <w:p>
            <w:pPr>
              <w:jc w:val="center"/>
              <w:spacing w:after="0"/>
              <w:rPr>
                <w:sz w:val="20"/>
                <w:szCs w:val="20"/>
                <w:color w:val="auto"/>
              </w:rPr>
            </w:pPr>
            <w:r>
              <w:rPr>
                <w:rFonts w:ascii="Arial" w:cs="Arial" w:eastAsia="Arial" w:hAnsi="Arial"/>
                <w:sz w:val="14"/>
                <w:szCs w:val="14"/>
                <w:color w:val="auto"/>
              </w:rPr>
              <w:t>Appraisal of collateral</w:t>
            </w:r>
          </w:p>
        </w:tc>
        <w:tc>
          <w:tcPr>
            <w:tcW w:w="4900" w:type="dxa"/>
            <w:vAlign w:val="bottom"/>
          </w:tcPr>
          <w:p>
            <w:pPr>
              <w:jc w:val="center"/>
              <w:spacing w:after="0"/>
              <w:rPr>
                <w:sz w:val="20"/>
                <w:szCs w:val="20"/>
                <w:color w:val="auto"/>
              </w:rPr>
            </w:pPr>
            <w:r>
              <w:rPr>
                <w:rFonts w:ascii="Arial" w:cs="Arial" w:eastAsia="Arial" w:hAnsi="Arial"/>
                <w:sz w:val="14"/>
                <w:szCs w:val="14"/>
                <w:color w:val="auto"/>
              </w:rPr>
              <w:t>Discounted Cash Flow</w:t>
            </w:r>
          </w:p>
        </w:tc>
        <w:tc>
          <w:tcPr>
            <w:tcW w:w="1780" w:type="dxa"/>
            <w:vAlign w:val="bottom"/>
          </w:tcPr>
          <w:p>
            <w:pPr>
              <w:jc w:val="center"/>
              <w:ind w:left="48"/>
              <w:spacing w:after="0"/>
              <w:rPr>
                <w:sz w:val="20"/>
                <w:szCs w:val="20"/>
                <w:color w:val="auto"/>
              </w:rPr>
            </w:pPr>
            <w:r>
              <w:rPr>
                <w:rFonts w:ascii="Arial" w:cs="Arial" w:eastAsia="Arial" w:hAnsi="Arial"/>
                <w:sz w:val="14"/>
                <w:szCs w:val="14"/>
                <w:color w:val="auto"/>
              </w:rPr>
              <w:t>12% - 43% (25%)</w:t>
            </w:r>
          </w:p>
        </w:tc>
      </w:tr>
      <w:tr>
        <w:trPr>
          <w:trHeight w:val="195"/>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Foreclosed real estate</w:t>
            </w:r>
          </w:p>
        </w:tc>
        <w:tc>
          <w:tcPr>
            <w:tcW w:w="21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Appraisal of collateral</w:t>
            </w:r>
          </w:p>
        </w:tc>
        <w:tc>
          <w:tcPr>
            <w:tcW w:w="49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Appraisal Adjustments</w:t>
            </w:r>
          </w:p>
        </w:tc>
        <w:tc>
          <w:tcPr>
            <w:tcW w:w="1780" w:type="dxa"/>
            <w:vAlign w:val="bottom"/>
            <w:shd w:val="clear" w:color="auto" w:fill="CFF0FC"/>
          </w:tcPr>
          <w:p>
            <w:pPr>
              <w:jc w:val="center"/>
              <w:ind w:left="48"/>
              <w:spacing w:after="0"/>
              <w:rPr>
                <w:sz w:val="20"/>
                <w:szCs w:val="20"/>
                <w:color w:val="auto"/>
              </w:rPr>
            </w:pPr>
            <w:r>
              <w:rPr>
                <w:rFonts w:ascii="Arial" w:cs="Arial" w:eastAsia="Arial" w:hAnsi="Arial"/>
                <w:sz w:val="14"/>
                <w:szCs w:val="14"/>
                <w:color w:val="auto"/>
              </w:rPr>
              <w:t>21% - 24% (22%)</w:t>
            </w:r>
          </w:p>
        </w:tc>
      </w:tr>
    </w:tbl>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37</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22" w:right="68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2"/>
        </w:trPr>
        <w:tc>
          <w:tcPr>
            <w:tcW w:w="17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900" w:type="dxa"/>
            <w:vAlign w:val="bottom"/>
          </w:tcPr>
          <w:p>
            <w:pPr>
              <w:jc w:val="center"/>
              <w:spacing w:after="0"/>
              <w:rPr>
                <w:sz w:val="20"/>
                <w:szCs w:val="20"/>
                <w:color w:val="auto"/>
              </w:rPr>
            </w:pPr>
            <w:r>
              <w:rPr>
                <w:rFonts w:ascii="Arial" w:cs="Arial" w:eastAsia="Arial" w:hAnsi="Arial"/>
                <w:sz w:val="14"/>
                <w:szCs w:val="14"/>
                <w:color w:val="auto"/>
              </w:rPr>
              <w:t>Quantitative Information about Level 3 Fair Value Measurements</w:t>
            </w: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2"/>
        </w:trPr>
        <w:tc>
          <w:tcPr>
            <w:tcW w:w="178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Valuation</w:t>
            </w:r>
          </w:p>
        </w:tc>
        <w:tc>
          <w:tcPr>
            <w:tcW w:w="4900" w:type="dxa"/>
            <w:vAlign w:val="bottom"/>
          </w:tcPr>
          <w:p>
            <w:pPr>
              <w:jc w:val="center"/>
              <w:spacing w:after="0"/>
              <w:rPr>
                <w:sz w:val="20"/>
                <w:szCs w:val="20"/>
                <w:color w:val="auto"/>
              </w:rPr>
            </w:pPr>
            <w:r>
              <w:rPr>
                <w:rFonts w:ascii="Arial" w:cs="Arial" w:eastAsia="Arial" w:hAnsi="Arial"/>
                <w:sz w:val="14"/>
                <w:szCs w:val="14"/>
                <w:color w:val="auto"/>
              </w:rPr>
              <w:t>Unobservable</w:t>
            </w:r>
          </w:p>
        </w:tc>
        <w:tc>
          <w:tcPr>
            <w:tcW w:w="1780" w:type="dxa"/>
            <w:vAlign w:val="bottom"/>
            <w:gridSpan w:val="2"/>
          </w:tcPr>
          <w:p>
            <w:pPr>
              <w:jc w:val="center"/>
              <w:ind w:left="48"/>
              <w:spacing w:after="0"/>
              <w:rPr>
                <w:sz w:val="20"/>
                <w:szCs w:val="20"/>
                <w:color w:val="auto"/>
              </w:rPr>
            </w:pPr>
            <w:r>
              <w:rPr>
                <w:rFonts w:ascii="Arial" w:cs="Arial" w:eastAsia="Arial" w:hAnsi="Arial"/>
                <w:sz w:val="14"/>
                <w:szCs w:val="14"/>
                <w:color w:val="auto"/>
              </w:rPr>
              <w:t>Range</w:t>
            </w:r>
          </w:p>
        </w:tc>
      </w:tr>
      <w:tr>
        <w:trPr>
          <w:trHeight w:val="192"/>
        </w:trPr>
        <w:tc>
          <w:tcPr>
            <w:tcW w:w="178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Techniques</w:t>
            </w:r>
          </w:p>
        </w:tc>
        <w:tc>
          <w:tcPr>
            <w:tcW w:w="4900" w:type="dxa"/>
            <w:vAlign w:val="bottom"/>
          </w:tcPr>
          <w:p>
            <w:pPr>
              <w:jc w:val="center"/>
              <w:spacing w:after="0"/>
              <w:rPr>
                <w:sz w:val="20"/>
                <w:szCs w:val="20"/>
                <w:color w:val="auto"/>
              </w:rPr>
            </w:pPr>
            <w:r>
              <w:rPr>
                <w:rFonts w:ascii="Arial" w:cs="Arial" w:eastAsia="Arial" w:hAnsi="Arial"/>
                <w:sz w:val="14"/>
                <w:szCs w:val="14"/>
                <w:color w:val="auto"/>
              </w:rPr>
              <w:t>Input</w:t>
            </w:r>
          </w:p>
        </w:tc>
        <w:tc>
          <w:tcPr>
            <w:tcW w:w="1780" w:type="dxa"/>
            <w:vAlign w:val="bottom"/>
            <w:gridSpan w:val="2"/>
          </w:tcPr>
          <w:p>
            <w:pPr>
              <w:jc w:val="center"/>
              <w:ind w:left="48"/>
              <w:spacing w:after="0"/>
              <w:rPr>
                <w:sz w:val="20"/>
                <w:szCs w:val="20"/>
                <w:color w:val="auto"/>
              </w:rPr>
            </w:pPr>
            <w:r>
              <w:rPr>
                <w:rFonts w:ascii="Arial" w:cs="Arial" w:eastAsia="Arial" w:hAnsi="Arial"/>
                <w:sz w:val="14"/>
                <w:szCs w:val="14"/>
                <w:color w:val="auto"/>
              </w:rPr>
              <w:t>(Weighted Avg.)</w:t>
            </w:r>
          </w:p>
        </w:tc>
      </w:tr>
      <w:tr>
        <w:trPr>
          <w:trHeight w:val="195"/>
        </w:trPr>
        <w:tc>
          <w:tcPr>
            <w:tcW w:w="1780" w:type="dxa"/>
            <w:vAlign w:val="bottom"/>
          </w:tcPr>
          <w:p>
            <w:pPr>
              <w:ind w:left="20"/>
              <w:spacing w:after="0"/>
              <w:rPr>
                <w:sz w:val="20"/>
                <w:szCs w:val="20"/>
                <w:color w:val="auto"/>
              </w:rPr>
            </w:pPr>
            <w:r>
              <w:rPr>
                <w:rFonts w:ascii="Arial" w:cs="Arial" w:eastAsia="Arial" w:hAnsi="Arial"/>
                <w:sz w:val="14"/>
                <w:szCs w:val="14"/>
                <w:color w:val="auto"/>
              </w:rPr>
              <w:t>At December 31, 2022</w:t>
            </w:r>
          </w:p>
        </w:tc>
        <w:tc>
          <w:tcPr>
            <w:tcW w:w="210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5"/>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Impaired loans</w:t>
            </w:r>
          </w:p>
        </w:tc>
        <w:tc>
          <w:tcPr>
            <w:tcW w:w="21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Appraisal of collateral</w:t>
            </w:r>
          </w:p>
        </w:tc>
        <w:tc>
          <w:tcPr>
            <w:tcW w:w="49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Discounted Cash Flow</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 - 35%</w:t>
            </w:r>
          </w:p>
        </w:tc>
        <w:tc>
          <w:tcPr>
            <w:tcW w:w="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(17%)</w:t>
            </w:r>
          </w:p>
        </w:tc>
      </w:tr>
      <w:tr>
        <w:trPr>
          <w:trHeight w:val="189"/>
        </w:trPr>
        <w:tc>
          <w:tcPr>
            <w:tcW w:w="178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(Sales Approach)</w:t>
            </w:r>
          </w:p>
        </w:tc>
        <w:tc>
          <w:tcPr>
            <w:tcW w:w="4900" w:type="dxa"/>
            <w:vAlign w:val="bottom"/>
          </w:tcPr>
          <w:p>
            <w:pPr>
              <w:jc w:val="center"/>
              <w:spacing w:after="0"/>
              <w:rPr>
                <w:sz w:val="20"/>
                <w:szCs w:val="20"/>
                <w:color w:val="auto"/>
              </w:rPr>
            </w:pPr>
            <w:r>
              <w:rPr>
                <w:rFonts w:ascii="Arial" w:cs="Arial" w:eastAsia="Arial" w:hAnsi="Arial"/>
                <w:sz w:val="14"/>
                <w:szCs w:val="14"/>
                <w:color w:val="auto"/>
              </w:rPr>
              <w:t>Costs to Sell</w:t>
            </w:r>
          </w:p>
        </w:tc>
        <w:tc>
          <w:tcPr>
            <w:tcW w:w="1060" w:type="dxa"/>
            <w:vAlign w:val="bottom"/>
          </w:tcPr>
          <w:p>
            <w:pPr>
              <w:jc w:val="right"/>
              <w:spacing w:after="0"/>
              <w:rPr>
                <w:sz w:val="20"/>
                <w:szCs w:val="20"/>
                <w:color w:val="auto"/>
              </w:rPr>
            </w:pPr>
            <w:r>
              <w:rPr>
                <w:rFonts w:ascii="Arial" w:cs="Arial" w:eastAsia="Arial" w:hAnsi="Arial"/>
                <w:sz w:val="14"/>
                <w:szCs w:val="14"/>
                <w:color w:val="auto"/>
              </w:rPr>
              <w:t>7% - 14%</w:t>
            </w:r>
          </w:p>
        </w:tc>
        <w:tc>
          <w:tcPr>
            <w:tcW w:w="720" w:type="dxa"/>
            <w:vAlign w:val="bottom"/>
          </w:tcPr>
          <w:p>
            <w:pPr>
              <w:ind w:left="20"/>
              <w:spacing w:after="0"/>
              <w:rPr>
                <w:sz w:val="20"/>
                <w:szCs w:val="20"/>
                <w:color w:val="auto"/>
              </w:rPr>
            </w:pPr>
            <w:r>
              <w:rPr>
                <w:rFonts w:ascii="Arial" w:cs="Arial" w:eastAsia="Arial" w:hAnsi="Arial"/>
                <w:sz w:val="14"/>
                <w:szCs w:val="14"/>
                <w:color w:val="auto"/>
              </w:rPr>
              <w:t>(12%)</w:t>
            </w:r>
          </w:p>
        </w:tc>
      </w:tr>
      <w:tr>
        <w:trPr>
          <w:trHeight w:val="195"/>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Foreclosed real estate</w:t>
            </w:r>
          </w:p>
        </w:tc>
        <w:tc>
          <w:tcPr>
            <w:tcW w:w="21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Appraisal of collateral</w:t>
            </w:r>
          </w:p>
        </w:tc>
        <w:tc>
          <w:tcPr>
            <w:tcW w:w="49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Appraisal Adjustments</w:t>
            </w:r>
          </w:p>
        </w:tc>
        <w:tc>
          <w:tcPr>
            <w:tcW w:w="178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rPr>
              <w:t>15% - 15% (15%)</w:t>
            </w:r>
          </w:p>
        </w:tc>
      </w:tr>
      <w:tr>
        <w:trPr>
          <w:trHeight w:val="186"/>
        </w:trPr>
        <w:tc>
          <w:tcPr>
            <w:tcW w:w="178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(Sales Approach)</w:t>
            </w:r>
          </w:p>
        </w:tc>
        <w:tc>
          <w:tcPr>
            <w:tcW w:w="4900" w:type="dxa"/>
            <w:vAlign w:val="bottom"/>
          </w:tcPr>
          <w:p>
            <w:pPr>
              <w:jc w:val="center"/>
              <w:spacing w:after="0"/>
              <w:rPr>
                <w:sz w:val="20"/>
                <w:szCs w:val="20"/>
                <w:color w:val="auto"/>
              </w:rPr>
            </w:pPr>
            <w:r>
              <w:rPr>
                <w:rFonts w:ascii="Arial" w:cs="Arial" w:eastAsia="Arial" w:hAnsi="Arial"/>
                <w:sz w:val="14"/>
                <w:szCs w:val="14"/>
                <w:color w:val="auto"/>
              </w:rPr>
              <w:t>Costs to Sell</w:t>
            </w:r>
          </w:p>
        </w:tc>
        <w:tc>
          <w:tcPr>
            <w:tcW w:w="1060" w:type="dxa"/>
            <w:vAlign w:val="bottom"/>
          </w:tcPr>
          <w:p>
            <w:pPr>
              <w:jc w:val="right"/>
              <w:spacing w:after="0"/>
              <w:rPr>
                <w:sz w:val="20"/>
                <w:szCs w:val="20"/>
                <w:color w:val="auto"/>
              </w:rPr>
            </w:pPr>
            <w:r>
              <w:rPr>
                <w:rFonts w:ascii="Arial" w:cs="Arial" w:eastAsia="Arial" w:hAnsi="Arial"/>
                <w:sz w:val="14"/>
                <w:szCs w:val="14"/>
                <w:color w:val="auto"/>
              </w:rPr>
              <w:t>6% - 9%</w:t>
            </w:r>
          </w:p>
        </w:tc>
        <w:tc>
          <w:tcPr>
            <w:tcW w:w="720" w:type="dxa"/>
            <w:vAlign w:val="bottom"/>
          </w:tcPr>
          <w:p>
            <w:pPr>
              <w:ind w:left="20"/>
              <w:spacing w:after="0"/>
              <w:rPr>
                <w:sz w:val="20"/>
                <w:szCs w:val="20"/>
                <w:color w:val="auto"/>
              </w:rPr>
            </w:pPr>
            <w:r>
              <w:rPr>
                <w:rFonts w:ascii="Arial" w:cs="Arial" w:eastAsia="Arial" w:hAnsi="Arial"/>
                <w:sz w:val="14"/>
                <w:szCs w:val="14"/>
                <w:color w:val="auto"/>
              </w:rPr>
              <w:t>(8%)</w:t>
            </w:r>
          </w:p>
        </w:tc>
      </w:tr>
    </w:tbl>
    <w:p>
      <w:pPr>
        <w:spacing w:after="0" w:line="31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There have been no transfers of assets into or out of any fair value measurement level during the three or six months ended June 30, 2023.</w:t>
      </w:r>
    </w:p>
    <w:p>
      <w:pPr>
        <w:spacing w:after="0" w:line="12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Required disclosures include fair value information of financial instruments, whether or not recognized in the consolidated statement of condition, for which it is practicable to estimate that value. In cases where quoted market prices are not available, fair values are based on estimates using present value or other valuation techniques. Those techniques are significantly affected by the assumptions used, including the discount rate and estimates of future cash flows. In that regard, the derived fair value estimates cannot be substantiated by comparison to independent markets and, in many cases, could not be realized in immediate settlement of the instrument.</w:t>
      </w:r>
    </w:p>
    <w:p>
      <w:pPr>
        <w:spacing w:after="0" w:line="14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The Company has various processes and controls in place to ensure that fair value is reasonably estimated. The Company performs due diligence procedures over third-party pricing service providers in order to support their use in the valuation process.</w:t>
      </w:r>
    </w:p>
    <w:p>
      <w:pPr>
        <w:spacing w:after="0" w:line="12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While the Company believes its valuation methods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36"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the Company could have realized in a sales transaction on the dates indicated. The estimated fair value amounts have been measured as of their respective period-ends, and have not been re-evaluated or updated for purposes of these financial statements subsequent to those respective dates. As such, the estimated fair values of these financial instruments subsequent to the respective reporting dates may be different than the amounts reported at each period-end.</w:t>
      </w:r>
    </w:p>
    <w:p>
      <w:pPr>
        <w:spacing w:after="0" w:line="145"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Under FASB ASC Topic 820 for Fair Value Measurements and Disclosures, the financial assets and liabilities were valued at a price that represents the Company’s exit price or the price at which these instruments would be sold or transferred.</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information should not be interpreted as an estimate of the fair value of the entire Company since a fair value calculation is only provided for a limited portion of the Company’s assets and liabilities. Due to a wide range of valuation techniques and the degree of subjectivity used in making the estimates, comparisons between the Company’s disclosures and those of other companies may not be meaningful. The Company, in estimating its fair value disclosures for financial instruments, used the following methods and assumptions: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 The carrying amounts of these assets approximate their fair value and are classified as Level 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Federal Home Loan Bank stock – The carrying amount of these assets approximates their fair value and are classified as Level 2.</w:t>
      </w:r>
    </w:p>
    <w:p>
      <w:pPr>
        <w:spacing w:after="0" w:line="17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loans – For variable-rate loans that re-price frequently, fair value is based on carrying amounts. The fair value of other loans (for example, fixed-rate commercial real estate loans, mortgage loans, and commercial and industrial loans) is estimated using discounted cash flow analysis, based on interest rates currently being offered in the market for loans with similar terms to borrowers of similar credit quality. Loan value estimates include judgments based on expected prepayment rates. The measurement of the fair value of loans, including impaired loans, is classified within Level 3 of the fair value hierarchy.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38</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921" w:right="660" w:bottom="1440" w:gutter="0" w:footer="0" w:header="0"/>
        </w:sectPr>
      </w:pPr>
    </w:p>
    <w:bookmarkStart w:id="38" w:name="page39"/>
    <w:bookmarkEnd w:id="38"/>
    <w:p>
      <w:pPr>
        <w:ind w:right="260"/>
        <w:spacing w:after="0" w:line="275" w:lineRule="auto"/>
        <w:rPr>
          <w:sz w:val="20"/>
          <w:szCs w:val="20"/>
          <w:color w:val="auto"/>
        </w:rPr>
      </w:pPr>
      <w:r>
        <w:rPr>
          <w:rFonts w:ascii="Arial" w:cs="Arial" w:eastAsia="Arial" w:hAnsi="Arial"/>
          <w:sz w:val="18"/>
          <w:szCs w:val="18"/>
          <w:color w:val="auto"/>
        </w:rPr>
        <w:t>Accrued interest receivable and payable – The carrying amount of these assets approximates their fair value and are classified as Level 1.</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Deposits – The fair values disclosed for demand deposits (e.g., interest-bearing and noninterest-bearing checking, passbook savings and certain types of money management accounts) are, by definition, equal to the amount payable on demand at the reporting date (i.e., their carrying amounts) and are classified within Level 1 of the fair value hierarchy. Fair values for fixed-rate certificates of deposit are estimated using a discounted cash flow calculation that applies interest rates currently being offered in the market on certificates of deposits to a schedule of aggregated expected monthly maturities on time deposits. Measurements of the fair value of time deposits are classified within Level 2 of the fair value hierarchy.</w:t>
      </w:r>
    </w:p>
    <w:p>
      <w:pPr>
        <w:spacing w:after="0" w:line="14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Borrowings – Fixed/variable term “bullet” structures are valued using a replacement cost of funds approach. These borrowings are discounted to the FHLBNY advance curve. Option structured borrowings’ fair values are determined by the FHLB for borrowings that include a call or conversion option. If market pricing is not available from this source, current market indications from the FHLBNY are obtained and the borrowings are discounted to the FHLBNY advance curve less an appropriate spread to adjust for the option. These measurements are classified as Level 2 within the fair value hierarchy.</w:t>
      </w:r>
    </w:p>
    <w:p>
      <w:pPr>
        <w:spacing w:after="0" w:line="144"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Subordinated debt – The Company secures quotes from its pricing service based on a discounted cash flow methodology or utilizes observations of recent highly-similar transactions which result in a Level 2 classification.</w:t>
      </w:r>
    </w:p>
    <w:p>
      <w:pPr>
        <w:spacing w:after="0" w:line="126"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The carrying amounts and fair values of the Company’s financial instruments as of the indicated dates are presented in the following table: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40" w:type="dxa"/>
            <w:vAlign w:val="bottom"/>
            <w:gridSpan w:val="3"/>
          </w:tcPr>
          <w:p>
            <w:pPr>
              <w:jc w:val="right"/>
              <w:ind w:right="702"/>
              <w:spacing w:after="0"/>
              <w:rPr>
                <w:sz w:val="20"/>
                <w:szCs w:val="20"/>
                <w:color w:val="auto"/>
              </w:rPr>
            </w:pPr>
            <w:r>
              <w:rPr>
                <w:rFonts w:ascii="Arial" w:cs="Arial" w:eastAsia="Arial" w:hAnsi="Arial"/>
                <w:sz w:val="16"/>
                <w:szCs w:val="16"/>
                <w:color w:val="auto"/>
              </w:rPr>
              <w:t>June 30, 2023</w:t>
            </w:r>
          </w:p>
        </w:tc>
        <w:tc>
          <w:tcPr>
            <w:tcW w:w="380" w:type="dxa"/>
            <w:vAlign w:val="bottom"/>
          </w:tcPr>
          <w:p>
            <w:pPr>
              <w:spacing w:after="0"/>
              <w:rPr>
                <w:sz w:val="17"/>
                <w:szCs w:val="17"/>
                <w:color w:val="auto"/>
              </w:rPr>
            </w:pPr>
          </w:p>
        </w:tc>
        <w:tc>
          <w:tcPr>
            <w:tcW w:w="2060" w:type="dxa"/>
            <w:vAlign w:val="bottom"/>
            <w:gridSpan w:val="3"/>
          </w:tcPr>
          <w:p>
            <w:pPr>
              <w:jc w:val="right"/>
              <w:ind w:right="442"/>
              <w:spacing w:after="0"/>
              <w:rPr>
                <w:sz w:val="20"/>
                <w:szCs w:val="20"/>
                <w:color w:val="auto"/>
              </w:rPr>
            </w:pPr>
            <w:r>
              <w:rPr>
                <w:rFonts w:ascii="Arial" w:cs="Arial" w:eastAsia="Arial" w:hAnsi="Arial"/>
                <w:sz w:val="16"/>
                <w:szCs w:val="16"/>
                <w:color w:val="auto"/>
              </w:rPr>
              <w:t>December 31, 2022</w:t>
            </w:r>
          </w:p>
        </w:tc>
        <w:tc>
          <w:tcPr>
            <w:tcW w:w="0" w:type="dxa"/>
            <w:vAlign w:val="bottom"/>
          </w:tcPr>
          <w:p>
            <w:pPr>
              <w:spacing w:after="0"/>
              <w:rPr>
                <w:sz w:val="1"/>
                <w:szCs w:val="1"/>
                <w:color w:val="auto"/>
              </w:rPr>
            </w:pPr>
          </w:p>
        </w:tc>
      </w:tr>
      <w:tr>
        <w:trPr>
          <w:trHeight w:val="204"/>
        </w:trPr>
        <w:tc>
          <w:tcPr>
            <w:tcW w:w="4340" w:type="dxa"/>
            <w:vAlign w:val="bottom"/>
          </w:tcPr>
          <w:p>
            <w:pPr>
              <w:spacing w:after="0"/>
              <w:rPr>
                <w:sz w:val="17"/>
                <w:szCs w:val="17"/>
                <w:color w:val="auto"/>
              </w:rPr>
            </w:pPr>
          </w:p>
        </w:tc>
        <w:tc>
          <w:tcPr>
            <w:tcW w:w="1180" w:type="dxa"/>
            <w:vAlign w:val="bottom"/>
          </w:tcPr>
          <w:p>
            <w:pPr>
              <w:jc w:val="center"/>
              <w:ind w:left="42"/>
              <w:spacing w:after="0"/>
              <w:rPr>
                <w:sz w:val="20"/>
                <w:szCs w:val="20"/>
                <w:color w:val="auto"/>
              </w:rPr>
            </w:pPr>
            <w:r>
              <w:rPr>
                <w:rFonts w:ascii="Arial" w:cs="Arial" w:eastAsia="Arial" w:hAnsi="Arial"/>
                <w:sz w:val="16"/>
                <w:szCs w:val="16"/>
                <w:color w:val="auto"/>
                <w:w w:val="95"/>
              </w:rPr>
              <w:t>Fair Value</w:t>
            </w: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Carrying</w:t>
            </w:r>
          </w:p>
        </w:tc>
        <w:tc>
          <w:tcPr>
            <w:tcW w:w="240" w:type="dxa"/>
            <w:vAlign w:val="bottom"/>
          </w:tcPr>
          <w:p>
            <w:pPr>
              <w:spacing w:after="0"/>
              <w:rPr>
                <w:sz w:val="17"/>
                <w:szCs w:val="17"/>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Estimated</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Carrying</w:t>
            </w:r>
          </w:p>
        </w:tc>
        <w:tc>
          <w:tcPr>
            <w:tcW w:w="22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Estimated</w:t>
            </w:r>
          </w:p>
        </w:tc>
        <w:tc>
          <w:tcPr>
            <w:tcW w:w="0" w:type="dxa"/>
            <w:vAlign w:val="bottom"/>
          </w:tcPr>
          <w:p>
            <w:pPr>
              <w:spacing w:after="0"/>
              <w:rPr>
                <w:sz w:val="1"/>
                <w:szCs w:val="1"/>
                <w:color w:val="auto"/>
              </w:rPr>
            </w:pPr>
          </w:p>
        </w:tc>
      </w:tr>
      <w:tr>
        <w:trPr>
          <w:trHeight w:val="205"/>
        </w:trPr>
        <w:tc>
          <w:tcPr>
            <w:tcW w:w="43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180" w:type="dxa"/>
            <w:vAlign w:val="bottom"/>
          </w:tcPr>
          <w:p>
            <w:pPr>
              <w:jc w:val="center"/>
              <w:ind w:left="42"/>
              <w:spacing w:after="0"/>
              <w:rPr>
                <w:sz w:val="20"/>
                <w:szCs w:val="20"/>
                <w:color w:val="auto"/>
              </w:rPr>
            </w:pPr>
            <w:r>
              <w:rPr>
                <w:rFonts w:ascii="Arial" w:cs="Arial" w:eastAsia="Arial" w:hAnsi="Arial"/>
                <w:sz w:val="16"/>
                <w:szCs w:val="16"/>
                <w:color w:val="auto"/>
                <w:w w:val="96"/>
              </w:rPr>
              <w:t>Hierarchy</w:t>
            </w: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Amounts</w:t>
            </w:r>
          </w:p>
        </w:tc>
        <w:tc>
          <w:tcPr>
            <w:tcW w:w="240" w:type="dxa"/>
            <w:vAlign w:val="bottom"/>
          </w:tcPr>
          <w:p>
            <w:pPr>
              <w:spacing w:after="0"/>
              <w:rPr>
                <w:sz w:val="17"/>
                <w:szCs w:val="17"/>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Fair Values</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Amounts</w:t>
            </w:r>
          </w:p>
        </w:tc>
        <w:tc>
          <w:tcPr>
            <w:tcW w:w="22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Fair Values</w:t>
            </w:r>
          </w:p>
        </w:tc>
        <w:tc>
          <w:tcPr>
            <w:tcW w:w="0" w:type="dxa"/>
            <w:vAlign w:val="bottom"/>
          </w:tcPr>
          <w:p>
            <w:pPr>
              <w:spacing w:after="0"/>
              <w:rPr>
                <w:sz w:val="1"/>
                <w:szCs w:val="1"/>
                <w:color w:val="auto"/>
              </w:rPr>
            </w:pPr>
          </w:p>
        </w:tc>
      </w:tr>
      <w:tr>
        <w:trPr>
          <w:trHeight w:val="205"/>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Financial assets:</w:t>
            </w:r>
          </w:p>
        </w:tc>
        <w:tc>
          <w:tcPr>
            <w:tcW w:w="1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180" w:type="dxa"/>
            <w:vAlign w:val="bottom"/>
          </w:tcPr>
          <w:p>
            <w:pPr>
              <w:jc w:val="center"/>
              <w:ind w:left="42"/>
              <w:spacing w:after="0"/>
              <w:rPr>
                <w:sz w:val="20"/>
                <w:szCs w:val="20"/>
                <w:color w:val="auto"/>
              </w:rPr>
            </w:pPr>
            <w:r>
              <w:rPr>
                <w:rFonts w:ascii="Arial" w:cs="Arial" w:eastAsia="Arial" w:hAnsi="Arial"/>
                <w:sz w:val="16"/>
                <w:szCs w:val="16"/>
                <w:color w:val="auto"/>
              </w:rPr>
              <w:t>1</w:t>
            </w:r>
          </w:p>
        </w:tc>
        <w:tc>
          <w:tcPr>
            <w:tcW w:w="4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36,815</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36,815</w:t>
            </w:r>
          </w:p>
        </w:tc>
        <w:tc>
          <w:tcPr>
            <w:tcW w:w="3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35,282</w:t>
            </w:r>
          </w:p>
        </w:tc>
        <w:tc>
          <w:tcPr>
            <w:tcW w:w="2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35,282</w:t>
            </w:r>
          </w:p>
        </w:tc>
        <w:tc>
          <w:tcPr>
            <w:tcW w:w="0" w:type="dxa"/>
            <w:vAlign w:val="bottom"/>
          </w:tcPr>
          <w:p>
            <w:pPr>
              <w:spacing w:after="0"/>
              <w:rPr>
                <w:sz w:val="1"/>
                <w:szCs w:val="1"/>
                <w:color w:val="auto"/>
              </w:rPr>
            </w:pPr>
          </w:p>
        </w:tc>
      </w:tr>
      <w:tr>
        <w:trPr>
          <w:trHeight w:val="205"/>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 available-for-sale</w:t>
            </w:r>
          </w:p>
        </w:tc>
        <w:tc>
          <w:tcPr>
            <w:tcW w:w="1180" w:type="dxa"/>
            <w:vAlign w:val="bottom"/>
            <w:shd w:val="clear" w:color="auto" w:fill="CFF0FC"/>
          </w:tcPr>
          <w:p>
            <w:pPr>
              <w:jc w:val="center"/>
              <w:ind w:left="42"/>
              <w:spacing w:after="0"/>
              <w:rPr>
                <w:sz w:val="20"/>
                <w:szCs w:val="20"/>
                <w:color w:val="auto"/>
              </w:rPr>
            </w:pPr>
            <w:r>
              <w:rPr>
                <w:rFonts w:ascii="Arial" w:cs="Arial" w:eastAsia="Arial" w:hAnsi="Arial"/>
                <w:sz w:val="16"/>
                <w:szCs w:val="16"/>
                <w:color w:val="auto"/>
              </w:rPr>
              <w:t>2</w:t>
            </w: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181,131</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181,131</w:t>
            </w: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186,757</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186,757</w:t>
            </w:r>
          </w:p>
        </w:tc>
        <w:tc>
          <w:tcPr>
            <w:tcW w:w="0" w:type="dxa"/>
            <w:vAlign w:val="bottom"/>
          </w:tcPr>
          <w:p>
            <w:pPr>
              <w:spacing w:after="0"/>
              <w:rPr>
                <w:sz w:val="1"/>
                <w:szCs w:val="1"/>
                <w:color w:val="auto"/>
              </w:rPr>
            </w:pPr>
          </w:p>
        </w:tc>
      </w:tr>
      <w:tr>
        <w:trPr>
          <w:trHeight w:val="203"/>
        </w:trPr>
        <w:tc>
          <w:tcPr>
            <w:tcW w:w="4340" w:type="dxa"/>
            <w:vAlign w:val="bottom"/>
          </w:tcPr>
          <w:p>
            <w:pPr>
              <w:ind w:left="20"/>
              <w:spacing w:after="0"/>
              <w:rPr>
                <w:sz w:val="20"/>
                <w:szCs w:val="20"/>
                <w:color w:val="auto"/>
              </w:rPr>
            </w:pPr>
            <w:r>
              <w:rPr>
                <w:rFonts w:ascii="Arial" w:cs="Arial" w:eastAsia="Arial" w:hAnsi="Arial"/>
                <w:sz w:val="16"/>
                <w:szCs w:val="16"/>
                <w:color w:val="auto"/>
              </w:rPr>
              <w:t>Investment securities - available-for-sale</w:t>
            </w:r>
          </w:p>
        </w:tc>
        <w:tc>
          <w:tcPr>
            <w:tcW w:w="1180" w:type="dxa"/>
            <w:vAlign w:val="bottom"/>
          </w:tcPr>
          <w:p>
            <w:pPr>
              <w:jc w:val="center"/>
              <w:ind w:left="22"/>
              <w:spacing w:after="0"/>
              <w:rPr>
                <w:sz w:val="20"/>
                <w:szCs w:val="20"/>
                <w:color w:val="auto"/>
              </w:rPr>
            </w:pPr>
            <w:r>
              <w:rPr>
                <w:rFonts w:ascii="Arial" w:cs="Arial" w:eastAsia="Arial" w:hAnsi="Arial"/>
                <w:sz w:val="16"/>
                <w:szCs w:val="16"/>
                <w:color w:val="auto"/>
                <w:w w:val="97"/>
              </w:rPr>
              <w:t>NAV</w:t>
            </w: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4,485</w:t>
            </w:r>
          </w:p>
        </w:tc>
        <w:tc>
          <w:tcPr>
            <w:tcW w:w="240" w:type="dxa"/>
            <w:vAlign w:val="bottom"/>
          </w:tcPr>
          <w:p>
            <w:pPr>
              <w:spacing w:after="0"/>
              <w:rPr>
                <w:sz w:val="17"/>
                <w:szCs w:val="17"/>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4,485</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4,763</w:t>
            </w:r>
          </w:p>
        </w:tc>
        <w:tc>
          <w:tcPr>
            <w:tcW w:w="22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4,763</w:t>
            </w:r>
          </w:p>
        </w:tc>
        <w:tc>
          <w:tcPr>
            <w:tcW w:w="0" w:type="dxa"/>
            <w:vAlign w:val="bottom"/>
          </w:tcPr>
          <w:p>
            <w:pPr>
              <w:spacing w:after="0"/>
              <w:rPr>
                <w:sz w:val="1"/>
                <w:szCs w:val="1"/>
                <w:color w:val="auto"/>
              </w:rPr>
            </w:pPr>
          </w:p>
        </w:tc>
      </w:tr>
      <w:tr>
        <w:trPr>
          <w:trHeight w:val="205"/>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 marketable equity</w:t>
            </w:r>
          </w:p>
        </w:tc>
        <w:tc>
          <w:tcPr>
            <w:tcW w:w="1180" w:type="dxa"/>
            <w:vAlign w:val="bottom"/>
            <w:shd w:val="clear" w:color="auto" w:fill="CFF0FC"/>
          </w:tcPr>
          <w:p>
            <w:pPr>
              <w:jc w:val="center"/>
              <w:ind w:left="22"/>
              <w:spacing w:after="0"/>
              <w:rPr>
                <w:sz w:val="20"/>
                <w:szCs w:val="20"/>
                <w:color w:val="auto"/>
              </w:rPr>
            </w:pPr>
            <w:r>
              <w:rPr>
                <w:rFonts w:ascii="Arial" w:cs="Arial" w:eastAsia="Arial" w:hAnsi="Arial"/>
                <w:sz w:val="16"/>
                <w:szCs w:val="16"/>
                <w:color w:val="auto"/>
                <w:w w:val="97"/>
              </w:rPr>
              <w:t>NAV</w:t>
            </w: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2,353</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2,353</w:t>
            </w: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1,862</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1,862</w:t>
            </w:r>
          </w:p>
        </w:tc>
        <w:tc>
          <w:tcPr>
            <w:tcW w:w="0" w:type="dxa"/>
            <w:vAlign w:val="bottom"/>
          </w:tcPr>
          <w:p>
            <w:pPr>
              <w:spacing w:after="0"/>
              <w:rPr>
                <w:sz w:val="1"/>
                <w:szCs w:val="1"/>
                <w:color w:val="auto"/>
              </w:rPr>
            </w:pPr>
          </w:p>
        </w:tc>
      </w:tr>
      <w:tr>
        <w:trPr>
          <w:trHeight w:val="203"/>
        </w:trPr>
        <w:tc>
          <w:tcPr>
            <w:tcW w:w="4340" w:type="dxa"/>
            <w:vAlign w:val="bottom"/>
          </w:tcPr>
          <w:p>
            <w:pPr>
              <w:ind w:left="20"/>
              <w:spacing w:after="0"/>
              <w:rPr>
                <w:sz w:val="20"/>
                <w:szCs w:val="20"/>
                <w:color w:val="auto"/>
              </w:rPr>
            </w:pPr>
            <w:r>
              <w:rPr>
                <w:rFonts w:ascii="Arial" w:cs="Arial" w:eastAsia="Arial" w:hAnsi="Arial"/>
                <w:sz w:val="16"/>
                <w:szCs w:val="16"/>
                <w:color w:val="auto"/>
              </w:rPr>
              <w:t>Investment securities - held-to-maturity</w:t>
            </w:r>
          </w:p>
        </w:tc>
        <w:tc>
          <w:tcPr>
            <w:tcW w:w="1180" w:type="dxa"/>
            <w:vAlign w:val="bottom"/>
          </w:tcPr>
          <w:p>
            <w:pPr>
              <w:jc w:val="center"/>
              <w:ind w:left="42"/>
              <w:spacing w:after="0"/>
              <w:rPr>
                <w:sz w:val="20"/>
                <w:szCs w:val="20"/>
                <w:color w:val="auto"/>
              </w:rPr>
            </w:pPr>
            <w:r>
              <w:rPr>
                <w:rFonts w:ascii="Arial" w:cs="Arial" w:eastAsia="Arial" w:hAnsi="Arial"/>
                <w:sz w:val="16"/>
                <w:szCs w:val="16"/>
                <w:color w:val="auto"/>
              </w:rPr>
              <w:t>2</w:t>
            </w: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195,503</w:t>
            </w:r>
          </w:p>
        </w:tc>
        <w:tc>
          <w:tcPr>
            <w:tcW w:w="240" w:type="dxa"/>
            <w:vAlign w:val="bottom"/>
          </w:tcPr>
          <w:p>
            <w:pPr>
              <w:spacing w:after="0"/>
              <w:rPr>
                <w:sz w:val="17"/>
                <w:szCs w:val="17"/>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181,378</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194,402</w:t>
            </w:r>
          </w:p>
        </w:tc>
        <w:tc>
          <w:tcPr>
            <w:tcW w:w="22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181,491</w:t>
            </w:r>
          </w:p>
        </w:tc>
        <w:tc>
          <w:tcPr>
            <w:tcW w:w="0" w:type="dxa"/>
            <w:vAlign w:val="bottom"/>
          </w:tcPr>
          <w:p>
            <w:pPr>
              <w:spacing w:after="0"/>
              <w:rPr>
                <w:sz w:val="1"/>
                <w:szCs w:val="1"/>
                <w:color w:val="auto"/>
              </w:rPr>
            </w:pPr>
          </w:p>
        </w:tc>
      </w:tr>
      <w:tr>
        <w:trPr>
          <w:trHeight w:val="205"/>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Federal Home Loan Bank stock</w:t>
            </w:r>
          </w:p>
        </w:tc>
        <w:tc>
          <w:tcPr>
            <w:tcW w:w="1180" w:type="dxa"/>
            <w:vAlign w:val="bottom"/>
            <w:shd w:val="clear" w:color="auto" w:fill="CFF0FC"/>
          </w:tcPr>
          <w:p>
            <w:pPr>
              <w:jc w:val="center"/>
              <w:ind w:left="42"/>
              <w:spacing w:after="0"/>
              <w:rPr>
                <w:sz w:val="20"/>
                <w:szCs w:val="20"/>
                <w:color w:val="auto"/>
              </w:rPr>
            </w:pPr>
            <w:r>
              <w:rPr>
                <w:rFonts w:ascii="Arial" w:cs="Arial" w:eastAsia="Arial" w:hAnsi="Arial"/>
                <w:sz w:val="16"/>
                <w:szCs w:val="16"/>
                <w:color w:val="auto"/>
              </w:rPr>
              <w:t>2</w:t>
            </w: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6,536</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6,536</w:t>
            </w: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5,982</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5,982</w:t>
            </w:r>
          </w:p>
        </w:tc>
        <w:tc>
          <w:tcPr>
            <w:tcW w:w="0" w:type="dxa"/>
            <w:vAlign w:val="bottom"/>
          </w:tcPr>
          <w:p>
            <w:pPr>
              <w:spacing w:after="0"/>
              <w:rPr>
                <w:sz w:val="1"/>
                <w:szCs w:val="1"/>
                <w:color w:val="auto"/>
              </w:rPr>
            </w:pPr>
          </w:p>
        </w:tc>
      </w:tr>
      <w:tr>
        <w:trPr>
          <w:trHeight w:val="203"/>
        </w:trPr>
        <w:tc>
          <w:tcPr>
            <w:tcW w:w="4340" w:type="dxa"/>
            <w:vAlign w:val="bottom"/>
          </w:tcPr>
          <w:p>
            <w:pPr>
              <w:ind w:left="20"/>
              <w:spacing w:after="0"/>
              <w:rPr>
                <w:sz w:val="20"/>
                <w:szCs w:val="20"/>
                <w:color w:val="auto"/>
              </w:rPr>
            </w:pPr>
            <w:r>
              <w:rPr>
                <w:rFonts w:ascii="Arial" w:cs="Arial" w:eastAsia="Arial" w:hAnsi="Arial"/>
                <w:sz w:val="16"/>
                <w:szCs w:val="16"/>
                <w:color w:val="auto"/>
              </w:rPr>
              <w:t>Net loans</w:t>
            </w:r>
          </w:p>
        </w:tc>
        <w:tc>
          <w:tcPr>
            <w:tcW w:w="1180" w:type="dxa"/>
            <w:vAlign w:val="bottom"/>
          </w:tcPr>
          <w:p>
            <w:pPr>
              <w:jc w:val="center"/>
              <w:ind w:left="42"/>
              <w:spacing w:after="0"/>
              <w:rPr>
                <w:sz w:val="20"/>
                <w:szCs w:val="20"/>
                <w:color w:val="auto"/>
              </w:rPr>
            </w:pPr>
            <w:r>
              <w:rPr>
                <w:rFonts w:ascii="Arial" w:cs="Arial" w:eastAsia="Arial" w:hAnsi="Arial"/>
                <w:sz w:val="16"/>
                <w:szCs w:val="16"/>
                <w:color w:val="auto"/>
              </w:rPr>
              <w:t>3</w:t>
            </w: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872,315</w:t>
            </w:r>
          </w:p>
        </w:tc>
        <w:tc>
          <w:tcPr>
            <w:tcW w:w="240" w:type="dxa"/>
            <w:vAlign w:val="bottom"/>
          </w:tcPr>
          <w:p>
            <w:pPr>
              <w:spacing w:after="0"/>
              <w:rPr>
                <w:sz w:val="17"/>
                <w:szCs w:val="17"/>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823,817</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882,435</w:t>
            </w:r>
          </w:p>
        </w:tc>
        <w:tc>
          <w:tcPr>
            <w:tcW w:w="22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844,892</w:t>
            </w:r>
          </w:p>
        </w:tc>
        <w:tc>
          <w:tcPr>
            <w:tcW w:w="0" w:type="dxa"/>
            <w:vAlign w:val="bottom"/>
          </w:tcPr>
          <w:p>
            <w:pPr>
              <w:spacing w:after="0"/>
              <w:rPr>
                <w:sz w:val="1"/>
                <w:szCs w:val="1"/>
                <w:color w:val="auto"/>
              </w:rPr>
            </w:pPr>
          </w:p>
        </w:tc>
      </w:tr>
      <w:tr>
        <w:trPr>
          <w:trHeight w:val="205"/>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interest receivable</w:t>
            </w:r>
          </w:p>
        </w:tc>
        <w:tc>
          <w:tcPr>
            <w:tcW w:w="1180" w:type="dxa"/>
            <w:vAlign w:val="bottom"/>
            <w:shd w:val="clear" w:color="auto" w:fill="CFF0FC"/>
          </w:tcPr>
          <w:p>
            <w:pPr>
              <w:jc w:val="center"/>
              <w:ind w:left="42"/>
              <w:spacing w:after="0"/>
              <w:rPr>
                <w:sz w:val="20"/>
                <w:szCs w:val="20"/>
                <w:color w:val="auto"/>
              </w:rPr>
            </w:pPr>
            <w:r>
              <w:rPr>
                <w:rFonts w:ascii="Arial" w:cs="Arial" w:eastAsia="Arial" w:hAnsi="Arial"/>
                <w:sz w:val="16"/>
                <w:szCs w:val="16"/>
                <w:color w:val="auto"/>
              </w:rPr>
              <w:t>1</w:t>
            </w: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6,145</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6,145</w:t>
            </w: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6,168</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6,168</w:t>
            </w:r>
          </w:p>
        </w:tc>
        <w:tc>
          <w:tcPr>
            <w:tcW w:w="0" w:type="dxa"/>
            <w:vAlign w:val="bottom"/>
          </w:tcPr>
          <w:p>
            <w:pPr>
              <w:spacing w:after="0"/>
              <w:rPr>
                <w:sz w:val="1"/>
                <w:szCs w:val="1"/>
                <w:color w:val="auto"/>
              </w:rPr>
            </w:pPr>
          </w:p>
        </w:tc>
      </w:tr>
      <w:tr>
        <w:trPr>
          <w:trHeight w:val="185"/>
        </w:trPr>
        <w:tc>
          <w:tcPr>
            <w:tcW w:w="4340" w:type="dxa"/>
            <w:vAlign w:val="bottom"/>
          </w:tcPr>
          <w:p>
            <w:pPr>
              <w:ind w:left="20"/>
              <w:spacing w:after="0"/>
              <w:rPr>
                <w:sz w:val="20"/>
                <w:szCs w:val="20"/>
                <w:color w:val="auto"/>
              </w:rPr>
            </w:pPr>
            <w:r>
              <w:rPr>
                <w:rFonts w:ascii="Arial" w:cs="Arial" w:eastAsia="Arial" w:hAnsi="Arial"/>
                <w:sz w:val="16"/>
                <w:szCs w:val="16"/>
                <w:color w:val="auto"/>
              </w:rPr>
              <w:t>Interest rate derivative fair value hedges receivable - AFS</w:t>
            </w: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34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1180" w:type="dxa"/>
            <w:vAlign w:val="bottom"/>
          </w:tcPr>
          <w:p>
            <w:pPr>
              <w:jc w:val="center"/>
              <w:ind w:left="42"/>
              <w:spacing w:after="0"/>
              <w:rPr>
                <w:sz w:val="20"/>
                <w:szCs w:val="20"/>
                <w:color w:val="auto"/>
              </w:rPr>
            </w:pPr>
            <w:r>
              <w:rPr>
                <w:rFonts w:ascii="Arial" w:cs="Arial" w:eastAsia="Arial" w:hAnsi="Arial"/>
                <w:sz w:val="16"/>
                <w:szCs w:val="16"/>
                <w:color w:val="auto"/>
              </w:rPr>
              <w:t>2</w:t>
            </w: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6,080</w:t>
            </w:r>
          </w:p>
        </w:tc>
        <w:tc>
          <w:tcPr>
            <w:tcW w:w="240" w:type="dxa"/>
            <w:vAlign w:val="bottom"/>
          </w:tcPr>
          <w:p>
            <w:pPr>
              <w:spacing w:after="0"/>
              <w:rPr>
                <w:sz w:val="17"/>
                <w:szCs w:val="17"/>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6,080</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8,240</w:t>
            </w:r>
          </w:p>
        </w:tc>
        <w:tc>
          <w:tcPr>
            <w:tcW w:w="22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8,240</w:t>
            </w:r>
          </w:p>
        </w:tc>
        <w:tc>
          <w:tcPr>
            <w:tcW w:w="0" w:type="dxa"/>
            <w:vAlign w:val="bottom"/>
          </w:tcPr>
          <w:p>
            <w:pPr>
              <w:spacing w:after="0"/>
              <w:rPr>
                <w:sz w:val="1"/>
                <w:szCs w:val="1"/>
                <w:color w:val="auto"/>
              </w:rPr>
            </w:pPr>
          </w:p>
        </w:tc>
      </w:tr>
      <w:tr>
        <w:trPr>
          <w:trHeight w:val="205"/>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rate derivative fair value hedges receivable - loans</w:t>
            </w:r>
          </w:p>
        </w:tc>
        <w:tc>
          <w:tcPr>
            <w:tcW w:w="1180" w:type="dxa"/>
            <w:vAlign w:val="bottom"/>
            <w:shd w:val="clear" w:color="auto" w:fill="CFF0FC"/>
          </w:tcPr>
          <w:p>
            <w:pPr>
              <w:jc w:val="center"/>
              <w:ind w:left="42"/>
              <w:spacing w:after="0"/>
              <w:rPr>
                <w:sz w:val="20"/>
                <w:szCs w:val="20"/>
                <w:color w:val="auto"/>
              </w:rPr>
            </w:pPr>
            <w:r>
              <w:rPr>
                <w:rFonts w:ascii="Arial" w:cs="Arial" w:eastAsia="Arial" w:hAnsi="Arial"/>
                <w:sz w:val="16"/>
                <w:szCs w:val="16"/>
                <w:color w:val="auto"/>
              </w:rPr>
              <w:t>2</w:t>
            </w: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3,742</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3,742</w:t>
            </w: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1,477</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1,477</w:t>
            </w:r>
          </w:p>
        </w:tc>
        <w:tc>
          <w:tcPr>
            <w:tcW w:w="0" w:type="dxa"/>
            <w:vAlign w:val="bottom"/>
          </w:tcPr>
          <w:p>
            <w:pPr>
              <w:spacing w:after="0"/>
              <w:rPr>
                <w:sz w:val="1"/>
                <w:szCs w:val="1"/>
                <w:color w:val="auto"/>
              </w:rPr>
            </w:pPr>
          </w:p>
        </w:tc>
      </w:tr>
      <w:tr>
        <w:trPr>
          <w:trHeight w:val="204"/>
        </w:trPr>
        <w:tc>
          <w:tcPr>
            <w:tcW w:w="4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Financial liabilities:</w:t>
            </w:r>
          </w:p>
        </w:tc>
        <w:tc>
          <w:tcPr>
            <w:tcW w:w="1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20"/>
              <w:spacing w:after="0"/>
              <w:rPr>
                <w:sz w:val="20"/>
                <w:szCs w:val="20"/>
                <w:color w:val="auto"/>
              </w:rPr>
            </w:pPr>
            <w:r>
              <w:rPr>
                <w:rFonts w:ascii="Arial" w:cs="Arial" w:eastAsia="Arial" w:hAnsi="Arial"/>
                <w:sz w:val="16"/>
                <w:szCs w:val="16"/>
                <w:color w:val="auto"/>
              </w:rPr>
              <w:t>Demand Deposits, Savings, NOW and MMDA</w:t>
            </w:r>
          </w:p>
        </w:tc>
        <w:tc>
          <w:tcPr>
            <w:tcW w:w="1180" w:type="dxa"/>
            <w:vAlign w:val="bottom"/>
          </w:tcPr>
          <w:p>
            <w:pPr>
              <w:jc w:val="center"/>
              <w:ind w:left="42"/>
              <w:spacing w:after="0"/>
              <w:rPr>
                <w:sz w:val="20"/>
                <w:szCs w:val="20"/>
                <w:color w:val="auto"/>
              </w:rPr>
            </w:pPr>
            <w:r>
              <w:rPr>
                <w:rFonts w:ascii="Arial" w:cs="Arial" w:eastAsia="Arial" w:hAnsi="Arial"/>
                <w:sz w:val="16"/>
                <w:szCs w:val="16"/>
                <w:color w:val="auto"/>
              </w:rPr>
              <w:t>1</w:t>
            </w:r>
          </w:p>
        </w:tc>
        <w:tc>
          <w:tcPr>
            <w:tcW w:w="4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628,057</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628,057</w:t>
            </w:r>
          </w:p>
        </w:tc>
        <w:tc>
          <w:tcPr>
            <w:tcW w:w="3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699,624</w:t>
            </w:r>
          </w:p>
        </w:tc>
        <w:tc>
          <w:tcPr>
            <w:tcW w:w="2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699,624</w:t>
            </w:r>
          </w:p>
        </w:tc>
        <w:tc>
          <w:tcPr>
            <w:tcW w:w="0" w:type="dxa"/>
            <w:vAlign w:val="bottom"/>
          </w:tcPr>
          <w:p>
            <w:pPr>
              <w:spacing w:after="0"/>
              <w:rPr>
                <w:sz w:val="1"/>
                <w:szCs w:val="1"/>
                <w:color w:val="auto"/>
              </w:rPr>
            </w:pPr>
          </w:p>
        </w:tc>
      </w:tr>
      <w:tr>
        <w:trPr>
          <w:trHeight w:val="205"/>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Time Deposits</w:t>
            </w:r>
          </w:p>
        </w:tc>
        <w:tc>
          <w:tcPr>
            <w:tcW w:w="1180" w:type="dxa"/>
            <w:vAlign w:val="bottom"/>
            <w:shd w:val="clear" w:color="auto" w:fill="CFF0FC"/>
          </w:tcPr>
          <w:p>
            <w:pPr>
              <w:jc w:val="center"/>
              <w:ind w:left="42"/>
              <w:spacing w:after="0"/>
              <w:rPr>
                <w:sz w:val="20"/>
                <w:szCs w:val="20"/>
                <w:color w:val="auto"/>
              </w:rPr>
            </w:pPr>
            <w:r>
              <w:rPr>
                <w:rFonts w:ascii="Arial" w:cs="Arial" w:eastAsia="Arial" w:hAnsi="Arial"/>
                <w:sz w:val="16"/>
                <w:szCs w:val="16"/>
                <w:color w:val="auto"/>
              </w:rPr>
              <w:t>2</w:t>
            </w: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473,043</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465,597</w:t>
            </w: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425,806</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393,676</w:t>
            </w:r>
          </w:p>
        </w:tc>
        <w:tc>
          <w:tcPr>
            <w:tcW w:w="0" w:type="dxa"/>
            <w:vAlign w:val="bottom"/>
          </w:tcPr>
          <w:p>
            <w:pPr>
              <w:spacing w:after="0"/>
              <w:rPr>
                <w:sz w:val="1"/>
                <w:szCs w:val="1"/>
                <w:color w:val="auto"/>
              </w:rPr>
            </w:pPr>
          </w:p>
        </w:tc>
      </w:tr>
      <w:tr>
        <w:trPr>
          <w:trHeight w:val="203"/>
        </w:trPr>
        <w:tc>
          <w:tcPr>
            <w:tcW w:w="4340" w:type="dxa"/>
            <w:vAlign w:val="bottom"/>
          </w:tcPr>
          <w:p>
            <w:pPr>
              <w:ind w:left="20"/>
              <w:spacing w:after="0"/>
              <w:rPr>
                <w:sz w:val="20"/>
                <w:szCs w:val="20"/>
                <w:color w:val="auto"/>
              </w:rPr>
            </w:pPr>
            <w:r>
              <w:rPr>
                <w:rFonts w:ascii="Arial" w:cs="Arial" w:eastAsia="Arial" w:hAnsi="Arial"/>
                <w:sz w:val="16"/>
                <w:szCs w:val="16"/>
                <w:color w:val="auto"/>
              </w:rPr>
              <w:t>Borrowings</w:t>
            </w:r>
          </w:p>
        </w:tc>
        <w:tc>
          <w:tcPr>
            <w:tcW w:w="1180" w:type="dxa"/>
            <w:vAlign w:val="bottom"/>
          </w:tcPr>
          <w:p>
            <w:pPr>
              <w:jc w:val="center"/>
              <w:ind w:left="42"/>
              <w:spacing w:after="0"/>
              <w:rPr>
                <w:sz w:val="20"/>
                <w:szCs w:val="20"/>
                <w:color w:val="auto"/>
              </w:rPr>
            </w:pPr>
            <w:r>
              <w:rPr>
                <w:rFonts w:ascii="Arial" w:cs="Arial" w:eastAsia="Arial" w:hAnsi="Arial"/>
                <w:sz w:val="16"/>
                <w:szCs w:val="16"/>
                <w:color w:val="auto"/>
              </w:rPr>
              <w:t>2</w:t>
            </w: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104,451</w:t>
            </w:r>
          </w:p>
        </w:tc>
        <w:tc>
          <w:tcPr>
            <w:tcW w:w="240" w:type="dxa"/>
            <w:vAlign w:val="bottom"/>
          </w:tcPr>
          <w:p>
            <w:pPr>
              <w:spacing w:after="0"/>
              <w:rPr>
                <w:sz w:val="17"/>
                <w:szCs w:val="17"/>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101,781</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115,997</w:t>
            </w:r>
          </w:p>
        </w:tc>
        <w:tc>
          <w:tcPr>
            <w:tcW w:w="220" w:type="dxa"/>
            <w:vAlign w:val="bottom"/>
          </w:tcPr>
          <w:p>
            <w:pPr>
              <w:spacing w:after="0"/>
              <w:rPr>
                <w:sz w:val="17"/>
                <w:szCs w:val="17"/>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112,877</w:t>
            </w:r>
          </w:p>
        </w:tc>
        <w:tc>
          <w:tcPr>
            <w:tcW w:w="0" w:type="dxa"/>
            <w:vAlign w:val="bottom"/>
          </w:tcPr>
          <w:p>
            <w:pPr>
              <w:spacing w:after="0"/>
              <w:rPr>
                <w:sz w:val="1"/>
                <w:szCs w:val="1"/>
                <w:color w:val="auto"/>
              </w:rPr>
            </w:pPr>
          </w:p>
        </w:tc>
      </w:tr>
      <w:tr>
        <w:trPr>
          <w:trHeight w:val="205"/>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Subordinated debt</w:t>
            </w:r>
          </w:p>
        </w:tc>
        <w:tc>
          <w:tcPr>
            <w:tcW w:w="1180" w:type="dxa"/>
            <w:vAlign w:val="bottom"/>
            <w:shd w:val="clear" w:color="auto" w:fill="CFF0FC"/>
          </w:tcPr>
          <w:p>
            <w:pPr>
              <w:jc w:val="center"/>
              <w:ind w:left="42"/>
              <w:spacing w:after="0"/>
              <w:rPr>
                <w:sz w:val="20"/>
                <w:szCs w:val="20"/>
                <w:color w:val="auto"/>
              </w:rPr>
            </w:pPr>
            <w:r>
              <w:rPr>
                <w:rFonts w:ascii="Arial" w:cs="Arial" w:eastAsia="Arial" w:hAnsi="Arial"/>
                <w:sz w:val="16"/>
                <w:szCs w:val="16"/>
                <w:color w:val="auto"/>
              </w:rPr>
              <w:t>2</w:t>
            </w: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29,821</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26,156</w:t>
            </w: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29,733</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27,378</w:t>
            </w:r>
          </w:p>
        </w:tc>
        <w:tc>
          <w:tcPr>
            <w:tcW w:w="0" w:type="dxa"/>
            <w:vAlign w:val="bottom"/>
          </w:tcPr>
          <w:p>
            <w:pPr>
              <w:spacing w:after="0"/>
              <w:rPr>
                <w:sz w:val="1"/>
                <w:szCs w:val="1"/>
                <w:color w:val="auto"/>
              </w:rPr>
            </w:pPr>
          </w:p>
        </w:tc>
      </w:tr>
      <w:tr>
        <w:trPr>
          <w:trHeight w:val="185"/>
        </w:trPr>
        <w:tc>
          <w:tcPr>
            <w:tcW w:w="4340" w:type="dxa"/>
            <w:vAlign w:val="bottom"/>
          </w:tcPr>
          <w:p>
            <w:pPr>
              <w:ind w:left="20"/>
              <w:spacing w:after="0"/>
              <w:rPr>
                <w:sz w:val="20"/>
                <w:szCs w:val="20"/>
                <w:color w:val="auto"/>
              </w:rPr>
            </w:pPr>
            <w:r>
              <w:rPr>
                <w:rFonts w:ascii="Arial" w:cs="Arial" w:eastAsia="Arial" w:hAnsi="Arial"/>
                <w:sz w:val="16"/>
                <w:szCs w:val="16"/>
                <w:color w:val="auto"/>
              </w:rPr>
              <w:t>Interest rate swap derivative cash flow hedge (payable)</w:t>
            </w: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340" w:type="dxa"/>
            <w:vAlign w:val="bottom"/>
          </w:tcPr>
          <w:p>
            <w:pPr>
              <w:ind w:left="20"/>
              <w:spacing w:after="0"/>
              <w:rPr>
                <w:sz w:val="20"/>
                <w:szCs w:val="20"/>
                <w:color w:val="auto"/>
              </w:rPr>
            </w:pPr>
            <w:r>
              <w:rPr>
                <w:rFonts w:ascii="Arial" w:cs="Arial" w:eastAsia="Arial" w:hAnsi="Arial"/>
                <w:sz w:val="16"/>
                <w:szCs w:val="16"/>
                <w:color w:val="auto"/>
              </w:rPr>
              <w:t>receivable</w:t>
            </w:r>
          </w:p>
        </w:tc>
        <w:tc>
          <w:tcPr>
            <w:tcW w:w="1180" w:type="dxa"/>
            <w:vAlign w:val="bottom"/>
            <w:vMerge w:val="restart"/>
          </w:tcPr>
          <w:p>
            <w:pPr>
              <w:jc w:val="center"/>
              <w:ind w:left="42"/>
              <w:spacing w:after="0"/>
              <w:rPr>
                <w:sz w:val="20"/>
                <w:szCs w:val="20"/>
                <w:color w:val="auto"/>
              </w:rPr>
            </w:pPr>
            <w:r>
              <w:rPr>
                <w:rFonts w:ascii="Arial" w:cs="Arial" w:eastAsia="Arial" w:hAnsi="Arial"/>
                <w:sz w:val="16"/>
                <w:szCs w:val="16"/>
                <w:color w:val="auto"/>
              </w:rPr>
              <w:t>2</w:t>
            </w:r>
          </w:p>
        </w:tc>
        <w:tc>
          <w:tcPr>
            <w:tcW w:w="4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637</w:t>
            </w:r>
          </w:p>
        </w:tc>
        <w:tc>
          <w:tcPr>
            <w:tcW w:w="240" w:type="dxa"/>
            <w:vAlign w:val="bottom"/>
          </w:tcPr>
          <w:p>
            <w:pPr>
              <w:spacing w:after="0"/>
              <w:rPr>
                <w:sz w:val="17"/>
                <w:szCs w:val="17"/>
                <w:color w:val="auto"/>
              </w:rPr>
            </w:pPr>
          </w:p>
        </w:tc>
        <w:tc>
          <w:tcPr>
            <w:tcW w:w="1040" w:type="dxa"/>
            <w:vAlign w:val="bottom"/>
            <w:vMerge w:val="restart"/>
          </w:tcPr>
          <w:p>
            <w:pPr>
              <w:jc w:val="right"/>
              <w:ind w:right="62"/>
              <w:spacing w:after="0"/>
              <w:rPr>
                <w:sz w:val="20"/>
                <w:szCs w:val="20"/>
                <w:color w:val="auto"/>
              </w:rPr>
            </w:pPr>
            <w:r>
              <w:rPr>
                <w:rFonts w:ascii="Arial" w:cs="Arial" w:eastAsia="Arial" w:hAnsi="Arial"/>
                <w:sz w:val="16"/>
                <w:szCs w:val="16"/>
                <w:color w:val="auto"/>
              </w:rPr>
              <w:t>637</w:t>
            </w:r>
          </w:p>
        </w:tc>
        <w:tc>
          <w:tcPr>
            <w:tcW w:w="3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519</w:t>
            </w:r>
          </w:p>
        </w:tc>
        <w:tc>
          <w:tcPr>
            <w:tcW w:w="220" w:type="dxa"/>
            <w:vAlign w:val="bottom"/>
          </w:tcPr>
          <w:p>
            <w:pPr>
              <w:spacing w:after="0"/>
              <w:rPr>
                <w:sz w:val="17"/>
                <w:szCs w:val="17"/>
                <w:color w:val="auto"/>
              </w:rPr>
            </w:pPr>
          </w:p>
        </w:tc>
        <w:tc>
          <w:tcPr>
            <w:tcW w:w="980" w:type="dxa"/>
            <w:vAlign w:val="bottom"/>
            <w:vMerge w:val="restart"/>
          </w:tcPr>
          <w:p>
            <w:pPr>
              <w:jc w:val="right"/>
              <w:ind w:right="22"/>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133"/>
        </w:trPr>
        <w:tc>
          <w:tcPr>
            <w:tcW w:w="43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interest payable</w:t>
            </w:r>
          </w:p>
        </w:tc>
        <w:tc>
          <w:tcPr>
            <w:tcW w:w="1180" w:type="dxa"/>
            <w:vAlign w:val="bottom"/>
            <w:shd w:val="clear" w:color="auto" w:fill="CFF0FC"/>
          </w:tcPr>
          <w:p>
            <w:pPr>
              <w:jc w:val="center"/>
              <w:ind w:left="42"/>
              <w:spacing w:after="0"/>
              <w:rPr>
                <w:sz w:val="20"/>
                <w:szCs w:val="20"/>
                <w:color w:val="auto"/>
              </w:rPr>
            </w:pPr>
            <w:r>
              <w:rPr>
                <w:rFonts w:ascii="Arial" w:cs="Arial" w:eastAsia="Arial" w:hAnsi="Arial"/>
                <w:sz w:val="16"/>
                <w:szCs w:val="16"/>
                <w:color w:val="auto"/>
              </w:rPr>
              <w:t>1</w:t>
            </w: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1,559</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1,559</w:t>
            </w: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975</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Interest Rate Derivatives</w:t>
      </w:r>
    </w:p>
    <w:p>
      <w:pPr>
        <w:spacing w:after="0" w:line="235"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The Company is exposed to certain risks from both its business operations and changes in economic conditions. As part of managing interest rate risk, the Company enters into standardized interest rate derivative contracts (designated as hedging agreements) to modify the repricing characteristics of certain portions of the Company’s portfolios of earning assets and interest-bearing liabilities. The Company designates interest rate hedging agreements utilized in the management of interest rate risk as either fair value hedges or cash flow hedges. Interest rate hedging agreements are entered into with counterparties that meet the Company's established credit standards and the agreements contain master netting, collateral and/or settlement provisions protecting the at-risk party. Based on adherence to the Company’s credit standards and the presence of the netting,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39</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59" w:right="680" w:bottom="1440" w:gutter="0" w:footer="0" w:header="0"/>
        </w:sectPr>
      </w:pPr>
    </w:p>
    <w:bookmarkStart w:id="39" w:name="page40"/>
    <w:bookmarkEnd w:id="39"/>
    <w:p>
      <w:pPr>
        <w:ind w:right="20"/>
        <w:spacing w:after="0" w:line="263" w:lineRule="auto"/>
        <w:rPr>
          <w:sz w:val="20"/>
          <w:szCs w:val="20"/>
          <w:color w:val="auto"/>
        </w:rPr>
      </w:pPr>
      <w:r>
        <w:rPr>
          <w:rFonts w:ascii="Arial" w:cs="Arial" w:eastAsia="Arial" w:hAnsi="Arial"/>
          <w:sz w:val="18"/>
          <w:szCs w:val="18"/>
          <w:color w:val="auto"/>
        </w:rPr>
        <w:t>collateral or settlement provisions, the Company believes that the credit risk inherent in these contracts was not material at June 30, 2023. Interest rate hedging agreements are recorded at fair value as other assets or liabilities. The Company had no material derivative contracts not designated as hedging agreements at June 30, 2023 or December 31, 2022.</w:t>
      </w:r>
    </w:p>
    <w:p>
      <w:pPr>
        <w:spacing w:after="0" w:line="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a result of interest rate fluctuations, fixed-rate assets and liabilities will appreciate or depreciate in fair value. When effectively hedged, this appreciation or depreciation will generally be offset by changes in the fair value of derivative instruments that are linked to the hedged assets and liabilities. This strategy is referred to as a fair value hedge. In a fair value hedge, the fair value of the derivative (the interest rate hedging agreement) and changes in the fair value of the hedged item are recorded in the Company’s consolidated balance sheet with the corresponding gain or loss recognized in current earnings. The difference between changes in the fair value of the interest rate hedging agreements and the hedged items represents hedge ineffectiveness and is recorded as an adjustment to the interest income or interest expense of the respective hedged item.</w:t>
      </w:r>
    </w:p>
    <w:p>
      <w:pPr>
        <w:spacing w:after="0" w:line="7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Cash flows related to floating rate assets and liabilities will fluctuate with changes in underlying rate indices. When effectively hedged, the increases or decreases in cash flows related to the floating-rate asset or liability will generally be offset by changes in cash flows of the derivative instruments designated as a hedge. This strategy is referred to as a cash flow hedge. In a cash flow hedge, the effective portion of the derivative’s gain or loss is initially reported as a component of other comprehensive income and subsequently reclassified into earnings when the forecasted transaction affects earnings. The ineffective portion of the derivative’s gain or loss on cash flow hedges is accounted for similar to that associated with fair value hedges.</w:t>
      </w:r>
    </w:p>
    <w:p>
      <w:pPr>
        <w:spacing w:after="0" w:line="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Among the array of interest rate hedging contracts, potentially available to the Company, are interest rate swap and interest rate cap (or floor) contracts. The Company uses interest rate swaps, cap or floor contracts as part of its interest rate risk management strategy. Interest rate swaps involve the receipt of variable amounts from a counterparty in exchange for the Company making fixed payments over the life of the agreements without the exchange of the underlying notional amount. An interest rate cap is a type of interest rate derivative in which the buyer receives payments at the end of each contractual period in which the index interest rate exceeds the contractually agreed upon strike price rate. The purchaser of a cap contract will continue to benefit from any rise in interest rates above the strike price. Similarly, an interest rate floor is a derivative contract in which the buyer receives payments at the end of each period in which the interest rate is below the agreed strike price. The purchaser of a floor contract will continue to benefit from any decrease in interest rates below the strike price.</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40</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887" w:right="740" w:bottom="1440" w:gutter="0" w:footer="0" w:header="0"/>
        </w:sectPr>
      </w:pPr>
    </w:p>
    <w:bookmarkStart w:id="40" w:name="page41"/>
    <w:bookmarkEnd w:id="40"/>
    <w:p>
      <w:pPr>
        <w:ind w:right="40"/>
        <w:spacing w:after="0" w:line="259" w:lineRule="auto"/>
        <w:rPr>
          <w:sz w:val="20"/>
          <w:szCs w:val="20"/>
          <w:color w:val="auto"/>
        </w:rPr>
      </w:pPr>
      <w:r>
        <w:rPr>
          <w:rFonts w:ascii="Arial" w:cs="Arial" w:eastAsia="Arial" w:hAnsi="Arial"/>
          <w:sz w:val="18"/>
          <w:szCs w:val="18"/>
          <w:color w:val="auto"/>
        </w:rPr>
        <w:t>The Company records various hedges in the consolidated statements of condition at fair value. The Company’s accounting treatment for these derivative instruments is based on the instruments hedge designation determined at the inception of each derivative instrument's contractual term. The following tables show the Company’s outstanding fair value hedges at June 30, 2023 and December 31, 2022:</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8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7"/>
              </w:rPr>
              <w:t>Cumulative Amount of</w:t>
            </w:r>
          </w:p>
        </w:tc>
        <w:tc>
          <w:tcPr>
            <w:tcW w:w="2000" w:type="dxa"/>
            <w:vAlign w:val="bottom"/>
          </w:tcPr>
          <w:p>
            <w:pPr>
              <w:spacing w:after="0"/>
              <w:rPr>
                <w:sz w:val="16"/>
                <w:szCs w:val="16"/>
                <w:color w:val="auto"/>
              </w:rPr>
            </w:pPr>
          </w:p>
        </w:tc>
        <w:tc>
          <w:tcPr>
            <w:tcW w:w="1800" w:type="dxa"/>
            <w:vAlign w:val="bottom"/>
          </w:tcPr>
          <w:p>
            <w:pPr>
              <w:jc w:val="center"/>
              <w:ind w:left="122"/>
              <w:spacing w:after="0"/>
              <w:rPr>
                <w:sz w:val="20"/>
                <w:szCs w:val="20"/>
                <w:color w:val="auto"/>
              </w:rPr>
            </w:pPr>
            <w:r>
              <w:rPr>
                <w:rFonts w:ascii="Arial" w:cs="Arial" w:eastAsia="Arial" w:hAnsi="Arial"/>
                <w:sz w:val="16"/>
                <w:szCs w:val="16"/>
                <w:color w:val="auto"/>
                <w:w w:val="96"/>
              </w:rPr>
              <w:t>Cumulative Amount of</w:t>
            </w:r>
          </w:p>
        </w:tc>
        <w:tc>
          <w:tcPr>
            <w:tcW w:w="0" w:type="dxa"/>
            <w:vAlign w:val="bottom"/>
          </w:tcPr>
          <w:p>
            <w:pPr>
              <w:spacing w:after="0"/>
              <w:rPr>
                <w:sz w:val="1"/>
                <w:szCs w:val="1"/>
                <w:color w:val="auto"/>
              </w:rPr>
            </w:pPr>
          </w:p>
        </w:tc>
      </w:tr>
      <w:tr>
        <w:trPr>
          <w:trHeight w:val="180"/>
        </w:trPr>
        <w:tc>
          <w:tcPr>
            <w:tcW w:w="18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020" w:type="dxa"/>
            <w:vAlign w:val="bottom"/>
          </w:tcPr>
          <w:p>
            <w:pPr>
              <w:jc w:val="center"/>
              <w:spacing w:after="0" w:line="180" w:lineRule="exact"/>
              <w:rPr>
                <w:sz w:val="20"/>
                <w:szCs w:val="20"/>
                <w:color w:val="auto"/>
              </w:rPr>
            </w:pPr>
            <w:r>
              <w:rPr>
                <w:rFonts w:ascii="Arial" w:cs="Arial" w:eastAsia="Arial" w:hAnsi="Arial"/>
                <w:sz w:val="16"/>
                <w:szCs w:val="16"/>
                <w:color w:val="auto"/>
                <w:w w:val="97"/>
              </w:rPr>
              <w:t>Fair Value Hedging</w:t>
            </w:r>
          </w:p>
        </w:tc>
        <w:tc>
          <w:tcPr>
            <w:tcW w:w="2000" w:type="dxa"/>
            <w:vAlign w:val="bottom"/>
          </w:tcPr>
          <w:p>
            <w:pPr>
              <w:spacing w:after="0"/>
              <w:rPr>
                <w:sz w:val="15"/>
                <w:szCs w:val="15"/>
                <w:color w:val="auto"/>
              </w:rPr>
            </w:pPr>
          </w:p>
        </w:tc>
        <w:tc>
          <w:tcPr>
            <w:tcW w:w="1800" w:type="dxa"/>
            <w:vAlign w:val="bottom"/>
          </w:tcPr>
          <w:p>
            <w:pPr>
              <w:jc w:val="center"/>
              <w:ind w:left="122"/>
              <w:spacing w:after="0" w:line="180" w:lineRule="exact"/>
              <w:rPr>
                <w:sz w:val="20"/>
                <w:szCs w:val="20"/>
                <w:color w:val="auto"/>
              </w:rPr>
            </w:pPr>
            <w:r>
              <w:rPr>
                <w:rFonts w:ascii="Arial" w:cs="Arial" w:eastAsia="Arial" w:hAnsi="Arial"/>
                <w:sz w:val="16"/>
                <w:szCs w:val="16"/>
                <w:color w:val="auto"/>
                <w:w w:val="96"/>
              </w:rPr>
              <w:t>Fair Value Hedging</w:t>
            </w:r>
          </w:p>
        </w:tc>
        <w:tc>
          <w:tcPr>
            <w:tcW w:w="0" w:type="dxa"/>
            <w:vAlign w:val="bottom"/>
          </w:tcPr>
          <w:p>
            <w:pPr>
              <w:spacing w:after="0"/>
              <w:rPr>
                <w:sz w:val="1"/>
                <w:szCs w:val="1"/>
                <w:color w:val="auto"/>
              </w:rPr>
            </w:pPr>
          </w:p>
        </w:tc>
      </w:tr>
      <w:tr>
        <w:trPr>
          <w:trHeight w:val="180"/>
        </w:trPr>
        <w:tc>
          <w:tcPr>
            <w:tcW w:w="18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020" w:type="dxa"/>
            <w:vAlign w:val="bottom"/>
          </w:tcPr>
          <w:p>
            <w:pPr>
              <w:jc w:val="center"/>
              <w:spacing w:after="0" w:line="180" w:lineRule="exact"/>
              <w:rPr>
                <w:sz w:val="20"/>
                <w:szCs w:val="20"/>
                <w:color w:val="auto"/>
              </w:rPr>
            </w:pPr>
            <w:r>
              <w:rPr>
                <w:rFonts w:ascii="Arial" w:cs="Arial" w:eastAsia="Arial" w:hAnsi="Arial"/>
                <w:sz w:val="16"/>
                <w:szCs w:val="16"/>
                <w:color w:val="auto"/>
                <w:w w:val="97"/>
              </w:rPr>
              <w:t>Gains Included in the</w:t>
            </w:r>
          </w:p>
        </w:tc>
        <w:tc>
          <w:tcPr>
            <w:tcW w:w="2000" w:type="dxa"/>
            <w:vAlign w:val="bottom"/>
          </w:tcPr>
          <w:p>
            <w:pPr>
              <w:spacing w:after="0"/>
              <w:rPr>
                <w:sz w:val="15"/>
                <w:szCs w:val="15"/>
                <w:color w:val="auto"/>
              </w:rPr>
            </w:pPr>
          </w:p>
        </w:tc>
        <w:tc>
          <w:tcPr>
            <w:tcW w:w="1800" w:type="dxa"/>
            <w:vAlign w:val="bottom"/>
          </w:tcPr>
          <w:p>
            <w:pPr>
              <w:jc w:val="center"/>
              <w:ind w:left="122"/>
              <w:spacing w:after="0" w:line="180" w:lineRule="exact"/>
              <w:rPr>
                <w:sz w:val="20"/>
                <w:szCs w:val="20"/>
                <w:color w:val="auto"/>
              </w:rPr>
            </w:pPr>
            <w:r>
              <w:rPr>
                <w:rFonts w:ascii="Arial" w:cs="Arial" w:eastAsia="Arial" w:hAnsi="Arial"/>
                <w:sz w:val="16"/>
                <w:szCs w:val="16"/>
                <w:color w:val="auto"/>
                <w:w w:val="97"/>
              </w:rPr>
              <w:t>Gains Included in The</w:t>
            </w:r>
          </w:p>
        </w:tc>
        <w:tc>
          <w:tcPr>
            <w:tcW w:w="0" w:type="dxa"/>
            <w:vAlign w:val="bottom"/>
          </w:tcPr>
          <w:p>
            <w:pPr>
              <w:spacing w:after="0"/>
              <w:rPr>
                <w:sz w:val="1"/>
                <w:szCs w:val="1"/>
                <w:color w:val="auto"/>
              </w:rPr>
            </w:pPr>
          </w:p>
        </w:tc>
      </w:tr>
      <w:tr>
        <w:trPr>
          <w:trHeight w:val="180"/>
        </w:trPr>
        <w:tc>
          <w:tcPr>
            <w:tcW w:w="1860" w:type="dxa"/>
            <w:vAlign w:val="bottom"/>
          </w:tcPr>
          <w:p>
            <w:pPr>
              <w:spacing w:after="0"/>
              <w:rPr>
                <w:sz w:val="15"/>
                <w:szCs w:val="15"/>
                <w:color w:val="auto"/>
              </w:rPr>
            </w:pPr>
          </w:p>
        </w:tc>
        <w:tc>
          <w:tcPr>
            <w:tcW w:w="2700" w:type="dxa"/>
            <w:vAlign w:val="bottom"/>
          </w:tcPr>
          <w:p>
            <w:pPr>
              <w:jc w:val="center"/>
              <w:ind w:left="582"/>
              <w:spacing w:after="0" w:line="180" w:lineRule="exact"/>
              <w:rPr>
                <w:sz w:val="20"/>
                <w:szCs w:val="20"/>
                <w:color w:val="auto"/>
              </w:rPr>
            </w:pPr>
            <w:r>
              <w:rPr>
                <w:rFonts w:ascii="Arial" w:cs="Arial" w:eastAsia="Arial" w:hAnsi="Arial"/>
                <w:sz w:val="16"/>
                <w:szCs w:val="16"/>
                <w:color w:val="auto"/>
                <w:w w:val="97"/>
              </w:rPr>
              <w:t>Carrying Amount of the</w:t>
            </w:r>
          </w:p>
        </w:tc>
        <w:tc>
          <w:tcPr>
            <w:tcW w:w="2020" w:type="dxa"/>
            <w:vAlign w:val="bottom"/>
          </w:tcPr>
          <w:p>
            <w:pPr>
              <w:jc w:val="center"/>
              <w:spacing w:after="0" w:line="180" w:lineRule="exact"/>
              <w:rPr>
                <w:sz w:val="20"/>
                <w:szCs w:val="20"/>
                <w:color w:val="auto"/>
              </w:rPr>
            </w:pPr>
            <w:r>
              <w:rPr>
                <w:rFonts w:ascii="Arial" w:cs="Arial" w:eastAsia="Arial" w:hAnsi="Arial"/>
                <w:sz w:val="16"/>
                <w:szCs w:val="16"/>
                <w:color w:val="auto"/>
                <w:w w:val="98"/>
              </w:rPr>
              <w:t>Carrying Amount of the</w:t>
            </w:r>
          </w:p>
        </w:tc>
        <w:tc>
          <w:tcPr>
            <w:tcW w:w="2000" w:type="dxa"/>
            <w:vAlign w:val="bottom"/>
          </w:tcPr>
          <w:p>
            <w:pPr>
              <w:jc w:val="center"/>
              <w:spacing w:after="0" w:line="180" w:lineRule="exact"/>
              <w:rPr>
                <w:sz w:val="20"/>
                <w:szCs w:val="20"/>
                <w:color w:val="auto"/>
              </w:rPr>
            </w:pPr>
            <w:r>
              <w:rPr>
                <w:rFonts w:ascii="Arial" w:cs="Arial" w:eastAsia="Arial" w:hAnsi="Arial"/>
                <w:sz w:val="16"/>
                <w:szCs w:val="16"/>
                <w:color w:val="auto"/>
                <w:w w:val="97"/>
              </w:rPr>
              <w:t>Carrying Amount of the</w:t>
            </w:r>
          </w:p>
        </w:tc>
        <w:tc>
          <w:tcPr>
            <w:tcW w:w="1800" w:type="dxa"/>
            <w:vAlign w:val="bottom"/>
          </w:tcPr>
          <w:p>
            <w:pPr>
              <w:jc w:val="center"/>
              <w:ind w:left="122"/>
              <w:spacing w:after="0" w:line="180" w:lineRule="exact"/>
              <w:rPr>
                <w:sz w:val="20"/>
                <w:szCs w:val="20"/>
                <w:color w:val="auto"/>
              </w:rPr>
            </w:pPr>
            <w:r>
              <w:rPr>
                <w:rFonts w:ascii="Arial" w:cs="Arial" w:eastAsia="Arial" w:hAnsi="Arial"/>
                <w:sz w:val="16"/>
                <w:szCs w:val="16"/>
                <w:color w:val="auto"/>
                <w:w w:val="97"/>
              </w:rPr>
              <w:t>Carrying Amount of the</w:t>
            </w:r>
          </w:p>
        </w:tc>
        <w:tc>
          <w:tcPr>
            <w:tcW w:w="0" w:type="dxa"/>
            <w:vAlign w:val="bottom"/>
          </w:tcPr>
          <w:p>
            <w:pPr>
              <w:spacing w:after="0"/>
              <w:rPr>
                <w:sz w:val="1"/>
                <w:szCs w:val="1"/>
                <w:color w:val="auto"/>
              </w:rPr>
            </w:pPr>
          </w:p>
        </w:tc>
      </w:tr>
      <w:tr>
        <w:trPr>
          <w:trHeight w:val="180"/>
        </w:trPr>
        <w:tc>
          <w:tcPr>
            <w:tcW w:w="186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2700" w:type="dxa"/>
            <w:vAlign w:val="bottom"/>
          </w:tcPr>
          <w:p>
            <w:pPr>
              <w:jc w:val="center"/>
              <w:ind w:left="542"/>
              <w:spacing w:after="0" w:line="180" w:lineRule="exact"/>
              <w:rPr>
                <w:sz w:val="20"/>
                <w:szCs w:val="20"/>
                <w:color w:val="auto"/>
              </w:rPr>
            </w:pPr>
            <w:r>
              <w:rPr>
                <w:rFonts w:ascii="Arial" w:cs="Arial" w:eastAsia="Arial" w:hAnsi="Arial"/>
                <w:sz w:val="16"/>
                <w:szCs w:val="16"/>
                <w:color w:val="auto"/>
                <w:w w:val="98"/>
              </w:rPr>
              <w:t>Hedged Assets at</w:t>
            </w:r>
          </w:p>
        </w:tc>
        <w:tc>
          <w:tcPr>
            <w:tcW w:w="2020" w:type="dxa"/>
            <w:vAlign w:val="bottom"/>
          </w:tcPr>
          <w:p>
            <w:pPr>
              <w:jc w:val="center"/>
              <w:spacing w:after="0" w:line="180" w:lineRule="exact"/>
              <w:rPr>
                <w:sz w:val="20"/>
                <w:szCs w:val="20"/>
                <w:color w:val="auto"/>
              </w:rPr>
            </w:pPr>
            <w:r>
              <w:rPr>
                <w:rFonts w:ascii="Arial" w:cs="Arial" w:eastAsia="Arial" w:hAnsi="Arial"/>
                <w:sz w:val="16"/>
                <w:szCs w:val="16"/>
                <w:color w:val="auto"/>
                <w:w w:val="97"/>
              </w:rPr>
              <w:t>Hedged Assets at June</w:t>
            </w:r>
          </w:p>
        </w:tc>
        <w:tc>
          <w:tcPr>
            <w:tcW w:w="2000" w:type="dxa"/>
            <w:vAlign w:val="bottom"/>
          </w:tcPr>
          <w:p>
            <w:pPr>
              <w:jc w:val="center"/>
              <w:spacing w:after="0" w:line="180" w:lineRule="exact"/>
              <w:rPr>
                <w:sz w:val="20"/>
                <w:szCs w:val="20"/>
                <w:color w:val="auto"/>
              </w:rPr>
            </w:pPr>
            <w:r>
              <w:rPr>
                <w:rFonts w:ascii="Arial" w:cs="Arial" w:eastAsia="Arial" w:hAnsi="Arial"/>
                <w:sz w:val="16"/>
                <w:szCs w:val="16"/>
                <w:color w:val="auto"/>
                <w:w w:val="98"/>
              </w:rPr>
              <w:t>Hedged Assets at</w:t>
            </w:r>
          </w:p>
        </w:tc>
        <w:tc>
          <w:tcPr>
            <w:tcW w:w="1800" w:type="dxa"/>
            <w:vAlign w:val="bottom"/>
          </w:tcPr>
          <w:p>
            <w:pPr>
              <w:jc w:val="center"/>
              <w:ind w:left="122"/>
              <w:spacing w:after="0" w:line="180" w:lineRule="exact"/>
              <w:rPr>
                <w:sz w:val="20"/>
                <w:szCs w:val="20"/>
                <w:color w:val="auto"/>
              </w:rPr>
            </w:pPr>
            <w:r>
              <w:rPr>
                <w:rFonts w:ascii="Arial" w:cs="Arial" w:eastAsia="Arial" w:hAnsi="Arial"/>
                <w:sz w:val="16"/>
                <w:szCs w:val="16"/>
                <w:color w:val="auto"/>
                <w:w w:val="98"/>
              </w:rPr>
              <w:t>Hedged Assets at</w:t>
            </w:r>
          </w:p>
        </w:tc>
        <w:tc>
          <w:tcPr>
            <w:tcW w:w="0" w:type="dxa"/>
            <w:vAlign w:val="bottom"/>
          </w:tcPr>
          <w:p>
            <w:pPr>
              <w:spacing w:after="0"/>
              <w:rPr>
                <w:sz w:val="1"/>
                <w:szCs w:val="1"/>
                <w:color w:val="auto"/>
              </w:rPr>
            </w:pPr>
          </w:p>
        </w:tc>
      </w:tr>
      <w:tr>
        <w:trPr>
          <w:trHeight w:val="197"/>
        </w:trPr>
        <w:tc>
          <w:tcPr>
            <w:tcW w:w="1860" w:type="dxa"/>
            <w:vAlign w:val="bottom"/>
            <w:vMerge w:val="continue"/>
          </w:tcPr>
          <w:p>
            <w:pPr>
              <w:spacing w:after="0"/>
              <w:rPr>
                <w:sz w:val="17"/>
                <w:szCs w:val="17"/>
                <w:color w:val="auto"/>
              </w:rPr>
            </w:pPr>
          </w:p>
        </w:tc>
        <w:tc>
          <w:tcPr>
            <w:tcW w:w="2700" w:type="dxa"/>
            <w:vAlign w:val="bottom"/>
          </w:tcPr>
          <w:p>
            <w:pPr>
              <w:jc w:val="center"/>
              <w:ind w:left="602"/>
              <w:spacing w:after="0"/>
              <w:rPr>
                <w:sz w:val="20"/>
                <w:szCs w:val="20"/>
                <w:color w:val="auto"/>
              </w:rPr>
            </w:pPr>
            <w:r>
              <w:rPr>
                <w:rFonts w:ascii="Arial" w:cs="Arial" w:eastAsia="Arial" w:hAnsi="Arial"/>
                <w:sz w:val="16"/>
                <w:szCs w:val="16"/>
                <w:color w:val="auto"/>
                <w:w w:val="96"/>
              </w:rPr>
              <w:t>June 30, 2023</w:t>
            </w:r>
          </w:p>
        </w:tc>
        <w:tc>
          <w:tcPr>
            <w:tcW w:w="2020" w:type="dxa"/>
            <w:vAlign w:val="bottom"/>
          </w:tcPr>
          <w:p>
            <w:pPr>
              <w:jc w:val="center"/>
              <w:spacing w:after="0"/>
              <w:rPr>
                <w:sz w:val="20"/>
                <w:szCs w:val="20"/>
                <w:color w:val="auto"/>
              </w:rPr>
            </w:pPr>
            <w:r>
              <w:rPr>
                <w:rFonts w:ascii="Arial" w:cs="Arial" w:eastAsia="Arial" w:hAnsi="Arial"/>
                <w:sz w:val="16"/>
                <w:szCs w:val="16"/>
                <w:color w:val="auto"/>
                <w:w w:val="99"/>
              </w:rPr>
              <w:t>30, 2023</w:t>
            </w:r>
          </w:p>
        </w:tc>
        <w:tc>
          <w:tcPr>
            <w:tcW w:w="2000" w:type="dxa"/>
            <w:vAlign w:val="bottom"/>
          </w:tcPr>
          <w:p>
            <w:pPr>
              <w:jc w:val="center"/>
              <w:spacing w:after="0"/>
              <w:rPr>
                <w:sz w:val="20"/>
                <w:szCs w:val="20"/>
                <w:color w:val="auto"/>
              </w:rPr>
            </w:pPr>
            <w:r>
              <w:rPr>
                <w:rFonts w:ascii="Arial" w:cs="Arial" w:eastAsia="Arial" w:hAnsi="Arial"/>
                <w:sz w:val="16"/>
                <w:szCs w:val="16"/>
                <w:color w:val="auto"/>
                <w:w w:val="96"/>
              </w:rPr>
              <w:t>December 31, 2022</w:t>
            </w:r>
          </w:p>
        </w:tc>
        <w:tc>
          <w:tcPr>
            <w:tcW w:w="1800" w:type="dxa"/>
            <w:vAlign w:val="bottom"/>
          </w:tcPr>
          <w:p>
            <w:pPr>
              <w:jc w:val="center"/>
              <w:ind w:left="122"/>
              <w:spacing w:after="0"/>
              <w:rPr>
                <w:sz w:val="20"/>
                <w:szCs w:val="20"/>
                <w:color w:val="auto"/>
              </w:rPr>
            </w:pPr>
            <w:r>
              <w:rPr>
                <w:rFonts w:ascii="Arial" w:cs="Arial" w:eastAsia="Arial" w:hAnsi="Arial"/>
                <w:sz w:val="16"/>
                <w:szCs w:val="16"/>
                <w:color w:val="auto"/>
                <w:w w:val="96"/>
              </w:rPr>
              <w:t>December 31, 2022</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Line item on the balance sheet in which the hedged item is included:</w:t>
      </w:r>
    </w:p>
    <w:tbl>
      <w:tblPr>
        <w:tblLayout w:type="fixed"/>
        <w:tblInd w:w="0" w:type="dxa"/>
        <w:tblCellMar>
          <w:top w:w="0" w:type="dxa"/>
          <w:left w:w="0" w:type="dxa"/>
          <w:bottom w:w="0" w:type="dxa"/>
          <w:right w:w="0" w:type="dxa"/>
        </w:tblCellMar>
      </w:tblPr>
      <w:tr>
        <w:trPr>
          <w:trHeight w:val="225"/>
        </w:trPr>
        <w:tc>
          <w:tcPr>
            <w:tcW w:w="2400" w:type="dxa"/>
            <w:vAlign w:val="bottom"/>
          </w:tcPr>
          <w:p>
            <w:pPr>
              <w:ind w:left="20"/>
              <w:spacing w:after="0" w:line="225" w:lineRule="exact"/>
              <w:rPr>
                <w:sz w:val="20"/>
                <w:szCs w:val="20"/>
                <w:color w:val="auto"/>
              </w:rPr>
            </w:pPr>
            <w:r>
              <w:rPr>
                <w:rFonts w:ascii="Arial" w:cs="Arial" w:eastAsia="Arial" w:hAnsi="Arial"/>
                <w:sz w:val="16"/>
                <w:szCs w:val="16"/>
                <w:color w:val="auto"/>
              </w:rPr>
              <w:t xml:space="preserve">Available-for-sale securities </w:t>
            </w:r>
            <w:r>
              <w:rPr>
                <w:rFonts w:ascii="Arial" w:cs="Arial" w:eastAsia="Arial" w:hAnsi="Arial"/>
                <w:sz w:val="21"/>
                <w:szCs w:val="21"/>
                <w:color w:val="auto"/>
                <w:vertAlign w:val="superscript"/>
              </w:rPr>
              <w:t>(1)</w:t>
            </w:r>
          </w:p>
        </w:tc>
        <w:tc>
          <w:tcPr>
            <w:tcW w:w="920" w:type="dxa"/>
            <w:vAlign w:val="bottom"/>
          </w:tcPr>
          <w:p>
            <w:pPr>
              <w:jc w:val="right"/>
              <w:ind w:right="46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54,874</w:t>
            </w:r>
          </w:p>
        </w:tc>
        <w:tc>
          <w:tcPr>
            <w:tcW w:w="860" w:type="dxa"/>
            <w:vAlign w:val="bottom"/>
          </w:tcPr>
          <w:p>
            <w:pPr>
              <w:jc w:val="right"/>
              <w:ind w:right="562"/>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6,080</w:t>
            </w:r>
          </w:p>
        </w:tc>
        <w:tc>
          <w:tcPr>
            <w:tcW w:w="80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68,741</w:t>
            </w:r>
          </w:p>
        </w:tc>
        <w:tc>
          <w:tcPr>
            <w:tcW w:w="840" w:type="dxa"/>
            <w:vAlign w:val="bottom"/>
          </w:tcPr>
          <w:p>
            <w:pPr>
              <w:jc w:val="right"/>
              <w:ind w:right="54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8,240</w:t>
            </w:r>
          </w:p>
        </w:tc>
      </w:tr>
      <w:tr>
        <w:trPr>
          <w:trHeight w:val="204"/>
        </w:trPr>
        <w:tc>
          <w:tcPr>
            <w:tcW w:w="2400" w:type="dxa"/>
            <w:vAlign w:val="bottom"/>
            <w:shd w:val="clear" w:color="auto" w:fill="CFF0FC"/>
          </w:tcPr>
          <w:p>
            <w:pPr>
              <w:ind w:left="20"/>
              <w:spacing w:after="0" w:line="204" w:lineRule="exact"/>
              <w:rPr>
                <w:sz w:val="20"/>
                <w:szCs w:val="20"/>
                <w:color w:val="auto"/>
              </w:rPr>
            </w:pPr>
            <w:r>
              <w:rPr>
                <w:rFonts w:ascii="Arial" w:cs="Arial" w:eastAsia="Arial" w:hAnsi="Arial"/>
                <w:sz w:val="16"/>
                <w:szCs w:val="16"/>
                <w:color w:val="auto"/>
              </w:rPr>
              <w:t xml:space="preserve">Loans receivable </w:t>
            </w:r>
            <w:r>
              <w:rPr>
                <w:rFonts w:ascii="Arial" w:cs="Arial" w:eastAsia="Arial" w:hAnsi="Arial"/>
                <w:sz w:val="21"/>
                <w:szCs w:val="21"/>
                <w:color w:val="auto"/>
                <w:vertAlign w:val="superscript"/>
              </w:rPr>
              <w:t>(2)</w:t>
            </w:r>
          </w:p>
        </w:tc>
        <w:tc>
          <w:tcPr>
            <w:tcW w:w="920" w:type="dxa"/>
            <w:vAlign w:val="bottom"/>
            <w:shd w:val="clear" w:color="auto" w:fill="CFF0FC"/>
          </w:tcPr>
          <w:p>
            <w:pPr>
              <w:jc w:val="right"/>
              <w:ind w:right="46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130,765</w:t>
            </w:r>
          </w:p>
        </w:tc>
        <w:tc>
          <w:tcPr>
            <w:tcW w:w="860" w:type="dxa"/>
            <w:vAlign w:val="bottom"/>
            <w:shd w:val="clear" w:color="auto" w:fill="CFF0FC"/>
          </w:tcPr>
          <w:p>
            <w:pPr>
              <w:jc w:val="right"/>
              <w:ind w:right="56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3,742</w:t>
            </w:r>
          </w:p>
        </w:tc>
        <w:tc>
          <w:tcPr>
            <w:tcW w:w="800" w:type="dxa"/>
            <w:vAlign w:val="bottom"/>
            <w:shd w:val="clear" w:color="auto" w:fill="CFF0FC"/>
          </w:tcPr>
          <w:p>
            <w:pPr>
              <w:jc w:val="right"/>
              <w:ind w:right="50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37,196</w:t>
            </w:r>
          </w:p>
        </w:tc>
        <w:tc>
          <w:tcPr>
            <w:tcW w:w="840" w:type="dxa"/>
            <w:vAlign w:val="bottom"/>
            <w:shd w:val="clear" w:color="auto" w:fill="CFF0FC"/>
          </w:tcPr>
          <w:p>
            <w:pPr>
              <w:jc w:val="right"/>
              <w:ind w:right="54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1,477</w:t>
            </w:r>
          </w:p>
        </w:tc>
      </w:tr>
    </w:tbl>
    <w:p>
      <w:pPr>
        <w:spacing w:after="0" w:line="160" w:lineRule="exact"/>
        <w:rPr>
          <w:sz w:val="20"/>
          <w:szCs w:val="20"/>
          <w:color w:val="auto"/>
        </w:rPr>
      </w:pPr>
    </w:p>
    <w:p>
      <w:pPr>
        <w:ind w:left="360"/>
        <w:spacing w:after="0" w:line="226" w:lineRule="auto"/>
        <w:rPr>
          <w:sz w:val="20"/>
          <w:szCs w:val="20"/>
          <w:color w:val="auto"/>
        </w:rPr>
      </w:pPr>
      <w:r>
        <w:rPr>
          <w:rFonts w:ascii="Arial" w:cs="Arial" w:eastAsia="Arial" w:hAnsi="Arial"/>
          <w:sz w:val="28"/>
          <w:szCs w:val="28"/>
          <w:color w:val="auto"/>
          <w:vertAlign w:val="superscript"/>
        </w:rPr>
        <w:t>(1)</w:t>
      </w:r>
      <w:r>
        <w:rPr>
          <w:rFonts w:ascii="Arial" w:cs="Arial" w:eastAsia="Arial" w:hAnsi="Arial"/>
          <w:sz w:val="14"/>
          <w:szCs w:val="14"/>
          <w:color w:val="auto"/>
        </w:rPr>
        <w:t>These amounts represent the amortized cost basis of specifically-identified municipal securities designated as the underlying assets for the hedging relationship. The notional amount of the designated hedged item was $54.9 million and $ 68.7 million at June 30, 2023 and December 31, 2022, respectively. The fair value of the derivative resulted in a net asset position of $6.1 million and $8.2 million recorded by the Company in other assets at June 30, 2023 and December 31, 2022, respectively.</w:t>
      </w:r>
    </w:p>
    <w:p>
      <w:pPr>
        <w:spacing w:after="0" w:line="322" w:lineRule="exact"/>
        <w:rPr>
          <w:sz w:val="20"/>
          <w:szCs w:val="20"/>
          <w:color w:val="auto"/>
        </w:rPr>
      </w:pPr>
    </w:p>
    <w:p>
      <w:pPr>
        <w:ind w:left="360" w:right="20"/>
        <w:spacing w:after="0" w:line="233" w:lineRule="auto"/>
        <w:rPr>
          <w:sz w:val="20"/>
          <w:szCs w:val="20"/>
          <w:color w:val="auto"/>
        </w:rPr>
      </w:pPr>
      <w:r>
        <w:rPr>
          <w:rFonts w:ascii="Arial" w:cs="Arial" w:eastAsia="Arial" w:hAnsi="Arial"/>
          <w:sz w:val="28"/>
          <w:szCs w:val="28"/>
          <w:color w:val="auto"/>
          <w:vertAlign w:val="superscript"/>
        </w:rPr>
        <w:t>(2)</w:t>
      </w:r>
      <w:r>
        <w:rPr>
          <w:rFonts w:ascii="Arial" w:cs="Arial" w:eastAsia="Arial" w:hAnsi="Arial"/>
          <w:sz w:val="14"/>
          <w:szCs w:val="14"/>
          <w:color w:val="auto"/>
        </w:rPr>
        <w:t>These amounts include the amortized cost of a specific purchased consumer loan pool and a portion of the Bank's originated residential mortgage loan portfolio designated as the underlying assets for the hedging relationships in which the hedged item is the underlying asset's amortized cost (last layer) projected to be remaining at the end of the contractual term of the hedge instrument. The fair value hedge related to the residential mortgage pool had a notional value of $ 100 million when it was purchased on April 7, 2023. The amount of the designated hedged assets were $130.8 million and $37.2 million as of June 30, 2023 and December 31, 2022, respectively. At June 30, 2023, the fair value of the derivatives resulted in a net asset position of $3.7 million recorded by the Company in other assets.</w:t>
      </w:r>
    </w:p>
    <w:p>
      <w:pPr>
        <w:spacing w:after="0" w:line="204"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hedging contracts noted above, accounted for as fair value hedges, increased the yield on investment securities and loans by 0.25% and 0.18%, respectively, in the six months ended June 30, 2023. The hedging contracts noted above, accounted for as fair value hedges, decreased the yield on investment securities and loans by 0.57% and 0.01%, respectively, in the six months ended June 30,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net effects of the Company's fair value and cash flow hedges for the three and six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June 30, 2022, respectively:</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00" w:type="dxa"/>
            <w:vAlign w:val="bottom"/>
          </w:tcPr>
          <w:p>
            <w:pPr>
              <w:ind w:left="20"/>
              <w:spacing w:after="0"/>
              <w:rPr>
                <w:sz w:val="20"/>
                <w:szCs w:val="20"/>
                <w:color w:val="auto"/>
              </w:rPr>
            </w:pPr>
            <w:r>
              <w:rPr>
                <w:rFonts w:ascii="Arial" w:cs="Arial" w:eastAsia="Arial" w:hAnsi="Arial"/>
                <w:sz w:val="16"/>
                <w:szCs w:val="16"/>
                <w:color w:val="auto"/>
              </w:rPr>
              <w:t>Fair Value Hedges</w:t>
            </w:r>
          </w:p>
        </w:tc>
        <w:tc>
          <w:tcPr>
            <w:tcW w:w="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4"/>
        </w:trPr>
        <w:tc>
          <w:tcPr>
            <w:tcW w:w="2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20" w:type="dxa"/>
            <w:vAlign w:val="bottom"/>
            <w:gridSpan w:val="3"/>
          </w:tcPr>
          <w:p>
            <w:pPr>
              <w:jc w:val="right"/>
              <w:spacing w:after="0"/>
              <w:rPr>
                <w:sz w:val="20"/>
                <w:szCs w:val="20"/>
                <w:color w:val="auto"/>
              </w:rPr>
            </w:pPr>
            <w:r>
              <w:rPr>
                <w:rFonts w:ascii="Arial" w:cs="Arial" w:eastAsia="Arial" w:hAnsi="Arial"/>
                <w:sz w:val="16"/>
                <w:szCs w:val="16"/>
                <w:color w:val="auto"/>
              </w:rPr>
              <w:t>Six Months Ended June 30, 2023</w:t>
            </w:r>
          </w:p>
        </w:tc>
        <w:tc>
          <w:tcPr>
            <w:tcW w:w="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87"/>
        </w:trPr>
        <w:tc>
          <w:tcPr>
            <w:tcW w:w="2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Average Notional</w:t>
            </w:r>
          </w:p>
        </w:tc>
        <w:tc>
          <w:tcPr>
            <w:tcW w:w="200" w:type="dxa"/>
            <w:vAlign w:val="bottom"/>
          </w:tcPr>
          <w:p>
            <w:pPr>
              <w:spacing w:after="0"/>
              <w:rPr>
                <w:sz w:val="16"/>
                <w:szCs w:val="16"/>
                <w:color w:val="auto"/>
              </w:rPr>
            </w:pPr>
          </w:p>
        </w:tc>
        <w:tc>
          <w:tcPr>
            <w:tcW w:w="1740" w:type="dxa"/>
            <w:vAlign w:val="bottom"/>
          </w:tcPr>
          <w:p>
            <w:pPr>
              <w:jc w:val="right"/>
              <w:ind w:right="22"/>
              <w:spacing w:after="0"/>
              <w:rPr>
                <w:sz w:val="20"/>
                <w:szCs w:val="20"/>
                <w:color w:val="auto"/>
              </w:rPr>
            </w:pPr>
            <w:r>
              <w:rPr>
                <w:rFonts w:ascii="Arial" w:cs="Arial" w:eastAsia="Arial" w:hAnsi="Arial"/>
                <w:sz w:val="16"/>
                <w:szCs w:val="16"/>
                <w:color w:val="auto"/>
                <w:w w:val="98"/>
              </w:rPr>
              <w:t>Period Ending Notional</w:t>
            </w:r>
          </w:p>
        </w:tc>
        <w:tc>
          <w:tcPr>
            <w:tcW w:w="200" w:type="dxa"/>
            <w:vAlign w:val="bottom"/>
          </w:tcPr>
          <w:p>
            <w:pPr>
              <w:spacing w:after="0"/>
              <w:rPr>
                <w:sz w:val="16"/>
                <w:szCs w:val="16"/>
                <w:color w:val="auto"/>
              </w:rPr>
            </w:pPr>
          </w:p>
        </w:tc>
        <w:tc>
          <w:tcPr>
            <w:tcW w:w="1960" w:type="dxa"/>
            <w:vAlign w:val="bottom"/>
          </w:tcPr>
          <w:p>
            <w:pPr>
              <w:jc w:val="right"/>
              <w:ind w:right="22"/>
              <w:spacing w:after="0"/>
              <w:rPr>
                <w:sz w:val="20"/>
                <w:szCs w:val="20"/>
                <w:color w:val="auto"/>
              </w:rPr>
            </w:pPr>
            <w:r>
              <w:rPr>
                <w:rFonts w:ascii="Arial" w:cs="Arial" w:eastAsia="Arial" w:hAnsi="Arial"/>
                <w:sz w:val="16"/>
                <w:szCs w:val="16"/>
                <w:color w:val="auto"/>
                <w:w w:val="99"/>
              </w:rPr>
              <w:t>Net Cash Received (Paid)</w:t>
            </w:r>
          </w:p>
        </w:tc>
        <w:tc>
          <w:tcPr>
            <w:tcW w:w="140" w:type="dxa"/>
            <w:vAlign w:val="bottom"/>
          </w:tcPr>
          <w:p>
            <w:pPr>
              <w:spacing w:after="0"/>
              <w:rPr>
                <w:sz w:val="16"/>
                <w:szCs w:val="16"/>
                <w:color w:val="auto"/>
              </w:rPr>
            </w:pPr>
          </w:p>
        </w:tc>
        <w:tc>
          <w:tcPr>
            <w:tcW w:w="1860" w:type="dxa"/>
            <w:vAlign w:val="bottom"/>
          </w:tcPr>
          <w:p>
            <w:pPr>
              <w:jc w:val="right"/>
              <w:ind w:right="22"/>
              <w:spacing w:after="0"/>
              <w:rPr>
                <w:sz w:val="20"/>
                <w:szCs w:val="20"/>
                <w:color w:val="auto"/>
              </w:rPr>
            </w:pPr>
            <w:r>
              <w:rPr>
                <w:rFonts w:ascii="Arial" w:cs="Arial" w:eastAsia="Arial" w:hAnsi="Arial"/>
                <w:sz w:val="16"/>
                <w:szCs w:val="16"/>
                <w:color w:val="auto"/>
              </w:rPr>
              <w:t>Fair Value Receivable</w:t>
            </w:r>
          </w:p>
        </w:tc>
      </w:tr>
      <w:tr>
        <w:trPr>
          <w:trHeight w:val="198"/>
        </w:trPr>
        <w:tc>
          <w:tcPr>
            <w:tcW w:w="2000" w:type="dxa"/>
            <w:vAlign w:val="bottom"/>
          </w:tcPr>
          <w:p>
            <w:pPr>
              <w:ind w:left="20"/>
              <w:spacing w:after="0"/>
              <w:rPr>
                <w:sz w:val="20"/>
                <w:szCs w:val="20"/>
                <w:color w:val="auto"/>
              </w:rPr>
            </w:pPr>
            <w:r>
              <w:rPr>
                <w:rFonts w:ascii="Arial" w:cs="Arial" w:eastAsia="Arial" w:hAnsi="Arial"/>
                <w:sz w:val="16"/>
                <w:szCs w:val="16"/>
                <w:color w:val="auto"/>
              </w:rPr>
              <w:t>Hedge Category</w:t>
            </w:r>
          </w:p>
        </w:tc>
        <w:tc>
          <w:tcPr>
            <w:tcW w:w="9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Balance</w:t>
            </w:r>
          </w:p>
        </w:tc>
        <w:tc>
          <w:tcPr>
            <w:tcW w:w="200" w:type="dxa"/>
            <w:vAlign w:val="bottom"/>
          </w:tcPr>
          <w:p>
            <w:pPr>
              <w:spacing w:after="0"/>
              <w:rPr>
                <w:sz w:val="17"/>
                <w:szCs w:val="17"/>
                <w:color w:val="auto"/>
              </w:rPr>
            </w:pPr>
          </w:p>
        </w:tc>
        <w:tc>
          <w:tcPr>
            <w:tcW w:w="1740" w:type="dxa"/>
            <w:vAlign w:val="bottom"/>
          </w:tcPr>
          <w:p>
            <w:pPr>
              <w:jc w:val="right"/>
              <w:ind w:right="22"/>
              <w:spacing w:after="0"/>
              <w:rPr>
                <w:sz w:val="20"/>
                <w:szCs w:val="20"/>
                <w:color w:val="auto"/>
              </w:rPr>
            </w:pPr>
            <w:r>
              <w:rPr>
                <w:rFonts w:ascii="Arial" w:cs="Arial" w:eastAsia="Arial" w:hAnsi="Arial"/>
                <w:sz w:val="16"/>
                <w:szCs w:val="16"/>
                <w:color w:val="auto"/>
              </w:rPr>
              <w:t>Balance</w:t>
            </w:r>
          </w:p>
        </w:tc>
        <w:tc>
          <w:tcPr>
            <w:tcW w:w="200" w:type="dxa"/>
            <w:vAlign w:val="bottom"/>
          </w:tcPr>
          <w:p>
            <w:pPr>
              <w:spacing w:after="0"/>
              <w:rPr>
                <w:sz w:val="17"/>
                <w:szCs w:val="17"/>
                <w:color w:val="auto"/>
              </w:rPr>
            </w:pPr>
          </w:p>
        </w:tc>
        <w:tc>
          <w:tcPr>
            <w:tcW w:w="1960" w:type="dxa"/>
            <w:vAlign w:val="bottom"/>
          </w:tcPr>
          <w:p>
            <w:pPr>
              <w:jc w:val="right"/>
              <w:ind w:right="22"/>
              <w:spacing w:after="0"/>
              <w:rPr>
                <w:sz w:val="20"/>
                <w:szCs w:val="20"/>
                <w:color w:val="auto"/>
              </w:rPr>
            </w:pPr>
            <w:r>
              <w:rPr>
                <w:rFonts w:ascii="Arial" w:cs="Arial" w:eastAsia="Arial" w:hAnsi="Arial"/>
                <w:sz w:val="16"/>
                <w:szCs w:val="16"/>
                <w:color w:val="auto"/>
              </w:rPr>
              <w:t>Recorded In Net Income</w:t>
            </w:r>
          </w:p>
        </w:tc>
        <w:tc>
          <w:tcPr>
            <w:tcW w:w="140" w:type="dxa"/>
            <w:vAlign w:val="bottom"/>
          </w:tcPr>
          <w:p>
            <w:pPr>
              <w:spacing w:after="0"/>
              <w:rPr>
                <w:sz w:val="17"/>
                <w:szCs w:val="17"/>
                <w:color w:val="auto"/>
              </w:rPr>
            </w:pPr>
          </w:p>
        </w:tc>
        <w:tc>
          <w:tcPr>
            <w:tcW w:w="1860" w:type="dxa"/>
            <w:vAlign w:val="bottom"/>
          </w:tcPr>
          <w:p>
            <w:pPr>
              <w:jc w:val="right"/>
              <w:ind w:right="22"/>
              <w:spacing w:after="0"/>
              <w:rPr>
                <w:sz w:val="20"/>
                <w:szCs w:val="20"/>
                <w:color w:val="auto"/>
              </w:rPr>
            </w:pPr>
            <w:r>
              <w:rPr>
                <w:rFonts w:ascii="Arial" w:cs="Arial" w:eastAsia="Arial" w:hAnsi="Arial"/>
                <w:sz w:val="16"/>
                <w:szCs w:val="16"/>
                <w:color w:val="auto"/>
                <w:w w:val="97"/>
              </w:rPr>
              <w:t>(Payable) at Quarter End</w:t>
            </w:r>
          </w:p>
        </w:tc>
      </w:tr>
      <w:tr>
        <w:trPr>
          <w:trHeight w:val="205"/>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Investments</w:t>
            </w:r>
          </w:p>
        </w:tc>
        <w:tc>
          <w:tcPr>
            <w:tcW w:w="98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54,574</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52,120</w:t>
            </w:r>
          </w:p>
        </w:tc>
        <w:tc>
          <w:tcPr>
            <w:tcW w:w="20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1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940</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6,080</w:t>
            </w:r>
          </w:p>
        </w:tc>
      </w:tr>
      <w:tr>
        <w:trPr>
          <w:trHeight w:val="203"/>
        </w:trPr>
        <w:tc>
          <w:tcPr>
            <w:tcW w:w="2000" w:type="dxa"/>
            <w:vAlign w:val="bottom"/>
          </w:tcPr>
          <w:p>
            <w:pPr>
              <w:ind w:left="60"/>
              <w:spacing w:after="0"/>
              <w:rPr>
                <w:sz w:val="20"/>
                <w:szCs w:val="20"/>
                <w:color w:val="auto"/>
              </w:rPr>
            </w:pPr>
            <w:r>
              <w:rPr>
                <w:rFonts w:ascii="Arial" w:cs="Arial" w:eastAsia="Arial" w:hAnsi="Arial"/>
                <w:sz w:val="16"/>
                <w:szCs w:val="16"/>
                <w:color w:val="auto"/>
              </w:rPr>
              <w:t>Loans</w:t>
            </w:r>
          </w:p>
        </w:tc>
        <w:tc>
          <w:tcPr>
            <w:tcW w:w="9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69,357</w:t>
            </w:r>
          </w:p>
        </w:tc>
        <w:tc>
          <w:tcPr>
            <w:tcW w:w="200" w:type="dxa"/>
            <w:vAlign w:val="bottom"/>
          </w:tcPr>
          <w:p>
            <w:pPr>
              <w:spacing w:after="0"/>
              <w:rPr>
                <w:sz w:val="17"/>
                <w:szCs w:val="17"/>
                <w:color w:val="auto"/>
              </w:rPr>
            </w:pPr>
          </w:p>
        </w:tc>
        <w:tc>
          <w:tcPr>
            <w:tcW w:w="1740" w:type="dxa"/>
            <w:vAlign w:val="bottom"/>
          </w:tcPr>
          <w:p>
            <w:pPr>
              <w:jc w:val="right"/>
              <w:ind w:right="22"/>
              <w:spacing w:after="0"/>
              <w:rPr>
                <w:sz w:val="20"/>
                <w:szCs w:val="20"/>
                <w:color w:val="auto"/>
              </w:rPr>
            </w:pPr>
            <w:r>
              <w:rPr>
                <w:rFonts w:ascii="Arial" w:cs="Arial" w:eastAsia="Arial" w:hAnsi="Arial"/>
                <w:sz w:val="16"/>
                <w:szCs w:val="16"/>
                <w:color w:val="auto"/>
              </w:rPr>
              <w:t>115,687</w:t>
            </w:r>
          </w:p>
        </w:tc>
        <w:tc>
          <w:tcPr>
            <w:tcW w:w="200" w:type="dxa"/>
            <w:vAlign w:val="bottom"/>
          </w:tcPr>
          <w:p>
            <w:pPr>
              <w:spacing w:after="0"/>
              <w:rPr>
                <w:sz w:val="17"/>
                <w:szCs w:val="17"/>
                <w:color w:val="auto"/>
              </w:rPr>
            </w:pPr>
          </w:p>
        </w:tc>
        <w:tc>
          <w:tcPr>
            <w:tcW w:w="1960" w:type="dxa"/>
            <w:vAlign w:val="bottom"/>
          </w:tcPr>
          <w:p>
            <w:pPr>
              <w:jc w:val="right"/>
              <w:ind w:right="22"/>
              <w:spacing w:after="0"/>
              <w:rPr>
                <w:sz w:val="20"/>
                <w:szCs w:val="20"/>
                <w:color w:val="auto"/>
              </w:rPr>
            </w:pPr>
            <w:r>
              <w:rPr>
                <w:rFonts w:ascii="Arial" w:cs="Arial" w:eastAsia="Arial" w:hAnsi="Arial"/>
                <w:sz w:val="16"/>
                <w:szCs w:val="16"/>
                <w:color w:val="auto"/>
              </w:rPr>
              <w:t>796</w:t>
            </w:r>
          </w:p>
        </w:tc>
        <w:tc>
          <w:tcPr>
            <w:tcW w:w="140" w:type="dxa"/>
            <w:vAlign w:val="bottom"/>
          </w:tcPr>
          <w:p>
            <w:pPr>
              <w:spacing w:after="0"/>
              <w:rPr>
                <w:sz w:val="17"/>
                <w:szCs w:val="17"/>
                <w:color w:val="auto"/>
              </w:rPr>
            </w:pPr>
          </w:p>
        </w:tc>
        <w:tc>
          <w:tcPr>
            <w:tcW w:w="1860" w:type="dxa"/>
            <w:vAlign w:val="bottom"/>
          </w:tcPr>
          <w:p>
            <w:pPr>
              <w:jc w:val="right"/>
              <w:ind w:right="22"/>
              <w:spacing w:after="0"/>
              <w:rPr>
                <w:sz w:val="20"/>
                <w:szCs w:val="20"/>
                <w:color w:val="auto"/>
              </w:rPr>
            </w:pPr>
            <w:r>
              <w:rPr>
                <w:rFonts w:ascii="Arial" w:cs="Arial" w:eastAsia="Arial" w:hAnsi="Arial"/>
                <w:sz w:val="16"/>
                <w:szCs w:val="16"/>
                <w:color w:val="auto"/>
              </w:rPr>
              <w:t>3,742</w:t>
            </w:r>
          </w:p>
        </w:tc>
      </w:tr>
      <w:tr>
        <w:trPr>
          <w:trHeight w:val="244"/>
        </w:trPr>
        <w:tc>
          <w:tcPr>
            <w:tcW w:w="200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123,931</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167,807</w:t>
            </w:r>
          </w:p>
        </w:tc>
        <w:tc>
          <w:tcPr>
            <w:tcW w:w="20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1,736</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9,822</w:t>
            </w:r>
          </w:p>
        </w:tc>
      </w:tr>
      <w:tr>
        <w:trPr>
          <w:trHeight w:val="587"/>
        </w:trPr>
        <w:tc>
          <w:tcPr>
            <w:tcW w:w="2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20" w:type="dxa"/>
            <w:vAlign w:val="bottom"/>
            <w:gridSpan w:val="3"/>
          </w:tcPr>
          <w:p>
            <w:pPr>
              <w:jc w:val="right"/>
              <w:spacing w:after="0"/>
              <w:rPr>
                <w:sz w:val="20"/>
                <w:szCs w:val="20"/>
                <w:color w:val="auto"/>
              </w:rPr>
            </w:pPr>
            <w:r>
              <w:rPr>
                <w:rFonts w:ascii="Arial" w:cs="Arial" w:eastAsia="Arial" w:hAnsi="Arial"/>
                <w:sz w:val="16"/>
                <w:szCs w:val="16"/>
                <w:color w:val="auto"/>
              </w:rPr>
              <w:t>Six Months Ended June 30, 2022</w:t>
            </w: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7"/>
        </w:trPr>
        <w:tc>
          <w:tcPr>
            <w:tcW w:w="2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Average Notional</w:t>
            </w:r>
          </w:p>
        </w:tc>
        <w:tc>
          <w:tcPr>
            <w:tcW w:w="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Pr>
          <w:p>
            <w:pPr>
              <w:jc w:val="right"/>
              <w:ind w:right="22"/>
              <w:spacing w:after="0"/>
              <w:rPr>
                <w:sz w:val="20"/>
                <w:szCs w:val="20"/>
                <w:color w:val="auto"/>
              </w:rPr>
            </w:pPr>
            <w:r>
              <w:rPr>
                <w:rFonts w:ascii="Arial" w:cs="Arial" w:eastAsia="Arial" w:hAnsi="Arial"/>
                <w:sz w:val="16"/>
                <w:szCs w:val="16"/>
                <w:color w:val="auto"/>
                <w:w w:val="99"/>
              </w:rPr>
              <w:t>Net Cash Received (Paid)</w:t>
            </w:r>
          </w:p>
        </w:tc>
        <w:tc>
          <w:tcPr>
            <w:tcW w:w="140" w:type="dxa"/>
            <w:vAlign w:val="bottom"/>
          </w:tcPr>
          <w:p>
            <w:pPr>
              <w:spacing w:after="0"/>
              <w:rPr>
                <w:sz w:val="16"/>
                <w:szCs w:val="16"/>
                <w:color w:val="auto"/>
              </w:rPr>
            </w:pPr>
          </w:p>
        </w:tc>
        <w:tc>
          <w:tcPr>
            <w:tcW w:w="1860" w:type="dxa"/>
            <w:vAlign w:val="bottom"/>
          </w:tcPr>
          <w:p>
            <w:pPr>
              <w:jc w:val="right"/>
              <w:ind w:right="22"/>
              <w:spacing w:after="0"/>
              <w:rPr>
                <w:sz w:val="20"/>
                <w:szCs w:val="20"/>
                <w:color w:val="auto"/>
              </w:rPr>
            </w:pPr>
            <w:r>
              <w:rPr>
                <w:rFonts w:ascii="Arial" w:cs="Arial" w:eastAsia="Arial" w:hAnsi="Arial"/>
                <w:sz w:val="16"/>
                <w:szCs w:val="16"/>
                <w:color w:val="auto"/>
              </w:rPr>
              <w:t>Fair Value Receivable</w:t>
            </w:r>
          </w:p>
        </w:tc>
      </w:tr>
      <w:tr>
        <w:trPr>
          <w:trHeight w:val="198"/>
        </w:trPr>
        <w:tc>
          <w:tcPr>
            <w:tcW w:w="2000" w:type="dxa"/>
            <w:vAlign w:val="bottom"/>
          </w:tcPr>
          <w:p>
            <w:pPr>
              <w:ind w:left="20"/>
              <w:spacing w:after="0"/>
              <w:rPr>
                <w:sz w:val="20"/>
                <w:szCs w:val="20"/>
                <w:color w:val="auto"/>
              </w:rPr>
            </w:pPr>
            <w:r>
              <w:rPr>
                <w:rFonts w:ascii="Arial" w:cs="Arial" w:eastAsia="Arial" w:hAnsi="Arial"/>
                <w:sz w:val="16"/>
                <w:szCs w:val="16"/>
                <w:color w:val="auto"/>
              </w:rPr>
              <w:t>Hedge Category</w:t>
            </w:r>
          </w:p>
        </w:tc>
        <w:tc>
          <w:tcPr>
            <w:tcW w:w="9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Balance</w:t>
            </w:r>
          </w:p>
        </w:tc>
        <w:tc>
          <w:tcPr>
            <w:tcW w:w="1940" w:type="dxa"/>
            <w:vAlign w:val="bottom"/>
            <w:gridSpan w:val="2"/>
          </w:tcPr>
          <w:p>
            <w:pPr>
              <w:jc w:val="right"/>
              <w:ind w:right="22"/>
              <w:spacing w:after="0"/>
              <w:rPr>
                <w:sz w:val="20"/>
                <w:szCs w:val="20"/>
                <w:color w:val="auto"/>
              </w:rPr>
            </w:pPr>
            <w:r>
              <w:rPr>
                <w:rFonts w:ascii="Arial" w:cs="Arial" w:eastAsia="Arial" w:hAnsi="Arial"/>
                <w:sz w:val="16"/>
                <w:szCs w:val="16"/>
                <w:color w:val="auto"/>
              </w:rPr>
              <w:t>Ending Notional Balance</w:t>
            </w:r>
          </w:p>
        </w:tc>
        <w:tc>
          <w:tcPr>
            <w:tcW w:w="200" w:type="dxa"/>
            <w:vAlign w:val="bottom"/>
          </w:tcPr>
          <w:p>
            <w:pPr>
              <w:spacing w:after="0"/>
              <w:rPr>
                <w:sz w:val="17"/>
                <w:szCs w:val="17"/>
                <w:color w:val="auto"/>
              </w:rPr>
            </w:pPr>
          </w:p>
        </w:tc>
        <w:tc>
          <w:tcPr>
            <w:tcW w:w="1960" w:type="dxa"/>
            <w:vAlign w:val="bottom"/>
          </w:tcPr>
          <w:p>
            <w:pPr>
              <w:jc w:val="right"/>
              <w:ind w:right="22"/>
              <w:spacing w:after="0"/>
              <w:rPr>
                <w:sz w:val="20"/>
                <w:szCs w:val="20"/>
                <w:color w:val="auto"/>
              </w:rPr>
            </w:pPr>
            <w:r>
              <w:rPr>
                <w:rFonts w:ascii="Arial" w:cs="Arial" w:eastAsia="Arial" w:hAnsi="Arial"/>
                <w:sz w:val="16"/>
                <w:szCs w:val="16"/>
                <w:color w:val="auto"/>
              </w:rPr>
              <w:t>Recorded In Net Income</w:t>
            </w:r>
          </w:p>
        </w:tc>
        <w:tc>
          <w:tcPr>
            <w:tcW w:w="140" w:type="dxa"/>
            <w:vAlign w:val="bottom"/>
          </w:tcPr>
          <w:p>
            <w:pPr>
              <w:spacing w:after="0"/>
              <w:rPr>
                <w:sz w:val="17"/>
                <w:szCs w:val="17"/>
                <w:color w:val="auto"/>
              </w:rPr>
            </w:pPr>
          </w:p>
        </w:tc>
        <w:tc>
          <w:tcPr>
            <w:tcW w:w="1860" w:type="dxa"/>
            <w:vAlign w:val="bottom"/>
          </w:tcPr>
          <w:p>
            <w:pPr>
              <w:jc w:val="right"/>
              <w:ind w:right="22"/>
              <w:spacing w:after="0"/>
              <w:rPr>
                <w:sz w:val="20"/>
                <w:szCs w:val="20"/>
                <w:color w:val="auto"/>
              </w:rPr>
            </w:pPr>
            <w:r>
              <w:rPr>
                <w:rFonts w:ascii="Arial" w:cs="Arial" w:eastAsia="Arial" w:hAnsi="Arial"/>
                <w:sz w:val="16"/>
                <w:szCs w:val="16"/>
                <w:color w:val="auto"/>
                <w:w w:val="97"/>
              </w:rPr>
              <w:t>(Payable) at Quarter End</w:t>
            </w:r>
          </w:p>
        </w:tc>
      </w:tr>
      <w:tr>
        <w:trPr>
          <w:trHeight w:val="205"/>
        </w:trPr>
        <w:tc>
          <w:tcPr>
            <w:tcW w:w="2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Investments</w:t>
            </w:r>
          </w:p>
        </w:tc>
        <w:tc>
          <w:tcPr>
            <w:tcW w:w="98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59,066</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66,845</w:t>
            </w:r>
          </w:p>
        </w:tc>
        <w:tc>
          <w:tcPr>
            <w:tcW w:w="20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1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5,920</w:t>
            </w:r>
          </w:p>
        </w:tc>
      </w:tr>
      <w:tr>
        <w:trPr>
          <w:trHeight w:val="203"/>
        </w:trPr>
        <w:tc>
          <w:tcPr>
            <w:tcW w:w="2000" w:type="dxa"/>
            <w:vAlign w:val="bottom"/>
          </w:tcPr>
          <w:p>
            <w:pPr>
              <w:ind w:left="20"/>
              <w:spacing w:after="0"/>
              <w:rPr>
                <w:sz w:val="20"/>
                <w:szCs w:val="20"/>
                <w:color w:val="auto"/>
              </w:rPr>
            </w:pPr>
            <w:r>
              <w:rPr>
                <w:rFonts w:ascii="Arial" w:cs="Arial" w:eastAsia="Arial" w:hAnsi="Arial"/>
                <w:sz w:val="16"/>
                <w:szCs w:val="16"/>
                <w:color w:val="auto"/>
              </w:rPr>
              <w:t>Loans</w:t>
            </w:r>
          </w:p>
        </w:tc>
        <w:tc>
          <w:tcPr>
            <w:tcW w:w="9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20,700</w:t>
            </w:r>
          </w:p>
        </w:tc>
        <w:tc>
          <w:tcPr>
            <w:tcW w:w="200" w:type="dxa"/>
            <w:vAlign w:val="bottom"/>
          </w:tcPr>
          <w:p>
            <w:pPr>
              <w:spacing w:after="0"/>
              <w:rPr>
                <w:sz w:val="17"/>
                <w:szCs w:val="17"/>
                <w:color w:val="auto"/>
              </w:rPr>
            </w:pPr>
          </w:p>
        </w:tc>
        <w:tc>
          <w:tcPr>
            <w:tcW w:w="1740" w:type="dxa"/>
            <w:vAlign w:val="bottom"/>
          </w:tcPr>
          <w:p>
            <w:pPr>
              <w:jc w:val="right"/>
              <w:ind w:right="22"/>
              <w:spacing w:after="0"/>
              <w:rPr>
                <w:sz w:val="20"/>
                <w:szCs w:val="20"/>
                <w:color w:val="auto"/>
              </w:rPr>
            </w:pPr>
            <w:r>
              <w:rPr>
                <w:rFonts w:ascii="Arial" w:cs="Arial" w:eastAsia="Arial" w:hAnsi="Arial"/>
                <w:sz w:val="16"/>
                <w:szCs w:val="16"/>
                <w:color w:val="auto"/>
              </w:rPr>
              <w:t>20,700</w:t>
            </w:r>
          </w:p>
        </w:tc>
        <w:tc>
          <w:tcPr>
            <w:tcW w:w="2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17"/>
                <w:szCs w:val="17"/>
                <w:color w:val="auto"/>
              </w:rPr>
            </w:pPr>
          </w:p>
        </w:tc>
        <w:tc>
          <w:tcPr>
            <w:tcW w:w="1860" w:type="dxa"/>
            <w:vAlign w:val="bottom"/>
          </w:tcPr>
          <w:p>
            <w:pPr>
              <w:jc w:val="right"/>
              <w:ind w:right="22"/>
              <w:spacing w:after="0"/>
              <w:rPr>
                <w:sz w:val="20"/>
                <w:szCs w:val="20"/>
                <w:color w:val="auto"/>
              </w:rPr>
            </w:pPr>
            <w:r>
              <w:rPr>
                <w:rFonts w:ascii="Arial" w:cs="Arial" w:eastAsia="Arial" w:hAnsi="Arial"/>
                <w:sz w:val="16"/>
                <w:szCs w:val="16"/>
                <w:color w:val="auto"/>
              </w:rPr>
              <w:t>1,143</w:t>
            </w:r>
          </w:p>
        </w:tc>
      </w:tr>
      <w:tr>
        <w:trPr>
          <w:trHeight w:val="244"/>
        </w:trPr>
        <w:tc>
          <w:tcPr>
            <w:tcW w:w="200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79,766</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87,545</w:t>
            </w:r>
          </w:p>
        </w:tc>
        <w:tc>
          <w:tcPr>
            <w:tcW w:w="20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(106 ) $</w:t>
            </w:r>
          </w:p>
        </w:tc>
        <w:tc>
          <w:tcPr>
            <w:tcW w:w="18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7,063</w:t>
            </w:r>
          </w:p>
        </w:tc>
      </w:tr>
      <w:tr>
        <w:trPr>
          <w:trHeight w:val="359"/>
        </w:trPr>
        <w:tc>
          <w:tcPr>
            <w:tcW w:w="2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right"/>
              <w:ind w:right="862"/>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41</w:t>
            </w:r>
            <w:r>
              <w:rPr>
                <w:rFonts w:ascii="Arial" w:cs="Arial" w:eastAsia="Arial" w:hAnsi="Arial"/>
                <w:sz w:val="16"/>
                <w:szCs w:val="16"/>
                <w:color w:val="auto"/>
              </w:rPr>
              <w:t xml:space="preserve"> -</w:t>
            </w: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86"/>
        </w:trPr>
        <w:tc>
          <w:tcPr>
            <w:tcW w:w="2000" w:type="dxa"/>
            <w:vAlign w:val="bottom"/>
            <w:tcBorders>
              <w:bottom w:val="single" w:sz="8" w:color="EEEEEE"/>
            </w:tcBorders>
          </w:tcPr>
          <w:p>
            <w:pPr>
              <w:spacing w:after="0"/>
              <w:rPr>
                <w:sz w:val="7"/>
                <w:szCs w:val="7"/>
                <w:color w:val="auto"/>
              </w:rPr>
            </w:pPr>
          </w:p>
        </w:tc>
        <w:tc>
          <w:tcPr>
            <w:tcW w:w="980" w:type="dxa"/>
            <w:vAlign w:val="bottom"/>
            <w:tcBorders>
              <w:bottom w:val="single" w:sz="8" w:color="EEEEEE"/>
            </w:tcBorders>
          </w:tcPr>
          <w:p>
            <w:pPr>
              <w:spacing w:after="0"/>
              <w:rPr>
                <w:sz w:val="7"/>
                <w:szCs w:val="7"/>
                <w:color w:val="auto"/>
              </w:rPr>
            </w:pPr>
          </w:p>
        </w:tc>
        <w:tc>
          <w:tcPr>
            <w:tcW w:w="148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174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1960" w:type="dxa"/>
            <w:vAlign w:val="bottom"/>
            <w:tcBorders>
              <w:bottom w:val="single" w:sz="8" w:color="EEEEEE"/>
            </w:tcBorders>
          </w:tcPr>
          <w:p>
            <w:pPr>
              <w:spacing w:after="0"/>
              <w:rPr>
                <w:sz w:val="7"/>
                <w:szCs w:val="7"/>
                <w:color w:val="auto"/>
              </w:rPr>
            </w:pPr>
          </w:p>
        </w:tc>
        <w:tc>
          <w:tcPr>
            <w:tcW w:w="140" w:type="dxa"/>
            <w:vAlign w:val="bottom"/>
            <w:tcBorders>
              <w:bottom w:val="single" w:sz="8" w:color="EEEEEE"/>
            </w:tcBorders>
          </w:tcPr>
          <w:p>
            <w:pPr>
              <w:spacing w:after="0"/>
              <w:rPr>
                <w:sz w:val="7"/>
                <w:szCs w:val="7"/>
                <w:color w:val="auto"/>
              </w:rPr>
            </w:pPr>
          </w:p>
        </w:tc>
        <w:tc>
          <w:tcPr>
            <w:tcW w:w="1860" w:type="dxa"/>
            <w:vAlign w:val="bottom"/>
            <w:tcBorders>
              <w:bottom w:val="single" w:sz="8" w:color="EEEEEE"/>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887" w:right="64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7"/>
        </w:trPr>
        <w:tc>
          <w:tcPr>
            <w:tcW w:w="200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4"/>
        </w:trPr>
        <w:tc>
          <w:tcPr>
            <w:tcW w:w="2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20" w:type="dxa"/>
            <w:vAlign w:val="bottom"/>
            <w:gridSpan w:val="3"/>
          </w:tcPr>
          <w:p>
            <w:pPr>
              <w:jc w:val="right"/>
              <w:spacing w:after="0"/>
              <w:rPr>
                <w:sz w:val="20"/>
                <w:szCs w:val="20"/>
                <w:color w:val="auto"/>
              </w:rPr>
            </w:pPr>
            <w:r>
              <w:rPr>
                <w:rFonts w:ascii="Arial" w:cs="Arial" w:eastAsia="Arial" w:hAnsi="Arial"/>
                <w:sz w:val="16"/>
                <w:szCs w:val="16"/>
                <w:color w:val="auto"/>
              </w:rPr>
              <w:t>Six Months Ended June 30, 2023</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87"/>
        </w:trPr>
        <w:tc>
          <w:tcPr>
            <w:tcW w:w="2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Average Notional</w:t>
            </w:r>
          </w:p>
        </w:tc>
        <w:tc>
          <w:tcPr>
            <w:tcW w:w="7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w w:val="99"/>
              </w:rPr>
              <w:t>Net Cash Received (Paid)</w:t>
            </w:r>
          </w:p>
        </w:tc>
        <w:tc>
          <w:tcPr>
            <w:tcW w:w="180" w:type="dxa"/>
            <w:vAlign w:val="bottom"/>
          </w:tcPr>
          <w:p>
            <w:pPr>
              <w:spacing w:after="0"/>
              <w:rPr>
                <w:sz w:val="16"/>
                <w:szCs w:val="16"/>
                <w:color w:val="auto"/>
              </w:rPr>
            </w:pPr>
          </w:p>
        </w:tc>
        <w:tc>
          <w:tcPr>
            <w:tcW w:w="1860" w:type="dxa"/>
            <w:vAlign w:val="bottom"/>
          </w:tcPr>
          <w:p>
            <w:pPr>
              <w:jc w:val="right"/>
              <w:ind w:right="22"/>
              <w:spacing w:after="0"/>
              <w:rPr>
                <w:sz w:val="20"/>
                <w:szCs w:val="20"/>
                <w:color w:val="auto"/>
              </w:rPr>
            </w:pPr>
            <w:r>
              <w:rPr>
                <w:rFonts w:ascii="Arial" w:cs="Arial" w:eastAsia="Arial" w:hAnsi="Arial"/>
                <w:sz w:val="16"/>
                <w:szCs w:val="16"/>
                <w:color w:val="auto"/>
              </w:rPr>
              <w:t>Fair Value Receivable</w:t>
            </w:r>
          </w:p>
        </w:tc>
      </w:tr>
      <w:tr>
        <w:trPr>
          <w:trHeight w:val="198"/>
        </w:trPr>
        <w:tc>
          <w:tcPr>
            <w:tcW w:w="2000" w:type="dxa"/>
            <w:vAlign w:val="bottom"/>
          </w:tcPr>
          <w:p>
            <w:pPr>
              <w:ind w:left="20"/>
              <w:spacing w:after="0"/>
              <w:rPr>
                <w:sz w:val="20"/>
                <w:szCs w:val="20"/>
                <w:color w:val="auto"/>
              </w:rPr>
            </w:pPr>
            <w:r>
              <w:rPr>
                <w:rFonts w:ascii="Arial" w:cs="Arial" w:eastAsia="Arial" w:hAnsi="Arial"/>
                <w:sz w:val="16"/>
                <w:szCs w:val="16"/>
                <w:color w:val="auto"/>
              </w:rPr>
              <w:t>Hedge Category</w:t>
            </w:r>
          </w:p>
        </w:tc>
        <w:tc>
          <w:tcPr>
            <w:tcW w:w="9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Balance</w:t>
            </w:r>
          </w:p>
        </w:tc>
        <w:tc>
          <w:tcPr>
            <w:tcW w:w="1940" w:type="dxa"/>
            <w:vAlign w:val="bottom"/>
            <w:gridSpan w:val="2"/>
          </w:tcPr>
          <w:p>
            <w:pPr>
              <w:jc w:val="right"/>
              <w:ind w:right="22"/>
              <w:spacing w:after="0"/>
              <w:rPr>
                <w:sz w:val="20"/>
                <w:szCs w:val="20"/>
                <w:color w:val="auto"/>
              </w:rPr>
            </w:pPr>
            <w:r>
              <w:rPr>
                <w:rFonts w:ascii="Arial" w:cs="Arial" w:eastAsia="Arial" w:hAnsi="Arial"/>
                <w:sz w:val="16"/>
                <w:szCs w:val="16"/>
                <w:color w:val="auto"/>
              </w:rPr>
              <w:t>Ending Notional Balance</w:t>
            </w:r>
          </w:p>
        </w:tc>
        <w:tc>
          <w:tcPr>
            <w:tcW w:w="20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Recorded In Net Income</w:t>
            </w:r>
          </w:p>
        </w:tc>
        <w:tc>
          <w:tcPr>
            <w:tcW w:w="180" w:type="dxa"/>
            <w:vAlign w:val="bottom"/>
          </w:tcPr>
          <w:p>
            <w:pPr>
              <w:spacing w:after="0"/>
              <w:rPr>
                <w:sz w:val="17"/>
                <w:szCs w:val="17"/>
                <w:color w:val="auto"/>
              </w:rPr>
            </w:pPr>
          </w:p>
        </w:tc>
        <w:tc>
          <w:tcPr>
            <w:tcW w:w="1860" w:type="dxa"/>
            <w:vAlign w:val="bottom"/>
          </w:tcPr>
          <w:p>
            <w:pPr>
              <w:jc w:val="right"/>
              <w:ind w:right="22"/>
              <w:spacing w:after="0"/>
              <w:rPr>
                <w:sz w:val="20"/>
                <w:szCs w:val="20"/>
                <w:color w:val="auto"/>
              </w:rPr>
            </w:pPr>
            <w:r>
              <w:rPr>
                <w:rFonts w:ascii="Arial" w:cs="Arial" w:eastAsia="Arial" w:hAnsi="Arial"/>
                <w:sz w:val="16"/>
                <w:szCs w:val="16"/>
                <w:color w:val="auto"/>
                <w:w w:val="97"/>
              </w:rPr>
              <w:t>(Payable) at Quarter End</w:t>
            </w:r>
          </w:p>
        </w:tc>
      </w:tr>
      <w:tr>
        <w:trPr>
          <w:trHeight w:val="244"/>
        </w:trPr>
        <w:tc>
          <w:tcPr>
            <w:tcW w:w="20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Borrowed Funds</w:t>
            </w:r>
          </w:p>
        </w:tc>
        <w:tc>
          <w:tcPr>
            <w:tcW w:w="98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51,667</w:t>
            </w:r>
          </w:p>
        </w:tc>
        <w:tc>
          <w:tcPr>
            <w:tcW w:w="760" w:type="dxa"/>
            <w:vAlign w:val="bottom"/>
            <w:tcBorders>
              <w:bottom w:val="single" w:sz="8" w:color="auto"/>
            </w:tcBorders>
            <w:shd w:val="clear" w:color="auto" w:fill="CFF0FC"/>
          </w:tcPr>
          <w:p>
            <w:pPr>
              <w:jc w:val="right"/>
              <w:ind w:right="54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40,000</w:t>
            </w:r>
          </w:p>
        </w:tc>
        <w:tc>
          <w:tcPr>
            <w:tcW w:w="20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595</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637</w:t>
            </w:r>
          </w:p>
        </w:tc>
      </w:tr>
      <w:tr>
        <w:trPr>
          <w:trHeight w:val="587"/>
        </w:trPr>
        <w:tc>
          <w:tcPr>
            <w:tcW w:w="2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20" w:type="dxa"/>
            <w:vAlign w:val="bottom"/>
            <w:gridSpan w:val="3"/>
          </w:tcPr>
          <w:p>
            <w:pPr>
              <w:jc w:val="right"/>
              <w:spacing w:after="0"/>
              <w:rPr>
                <w:sz w:val="20"/>
                <w:szCs w:val="20"/>
                <w:color w:val="auto"/>
              </w:rPr>
            </w:pPr>
            <w:r>
              <w:rPr>
                <w:rFonts w:ascii="Arial" w:cs="Arial" w:eastAsia="Arial" w:hAnsi="Arial"/>
                <w:sz w:val="16"/>
                <w:szCs w:val="16"/>
                <w:color w:val="auto"/>
              </w:rPr>
              <w:t>Six Months Ended June 30, 2022</w:t>
            </w: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7"/>
        </w:trPr>
        <w:tc>
          <w:tcPr>
            <w:tcW w:w="2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Average Notional</w:t>
            </w:r>
          </w:p>
        </w:tc>
        <w:tc>
          <w:tcPr>
            <w:tcW w:w="7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w w:val="99"/>
              </w:rPr>
              <w:t>Net Cash Received (Paid)</w:t>
            </w:r>
          </w:p>
        </w:tc>
        <w:tc>
          <w:tcPr>
            <w:tcW w:w="180" w:type="dxa"/>
            <w:vAlign w:val="bottom"/>
          </w:tcPr>
          <w:p>
            <w:pPr>
              <w:spacing w:after="0"/>
              <w:rPr>
                <w:sz w:val="16"/>
                <w:szCs w:val="16"/>
                <w:color w:val="auto"/>
              </w:rPr>
            </w:pPr>
          </w:p>
        </w:tc>
        <w:tc>
          <w:tcPr>
            <w:tcW w:w="1860" w:type="dxa"/>
            <w:vAlign w:val="bottom"/>
          </w:tcPr>
          <w:p>
            <w:pPr>
              <w:jc w:val="right"/>
              <w:ind w:right="22"/>
              <w:spacing w:after="0"/>
              <w:rPr>
                <w:sz w:val="20"/>
                <w:szCs w:val="20"/>
                <w:color w:val="auto"/>
              </w:rPr>
            </w:pPr>
            <w:r>
              <w:rPr>
                <w:rFonts w:ascii="Arial" w:cs="Arial" w:eastAsia="Arial" w:hAnsi="Arial"/>
                <w:sz w:val="16"/>
                <w:szCs w:val="16"/>
                <w:color w:val="auto"/>
              </w:rPr>
              <w:t>Fair Value Receivable</w:t>
            </w:r>
          </w:p>
        </w:tc>
      </w:tr>
      <w:tr>
        <w:trPr>
          <w:trHeight w:val="198"/>
        </w:trPr>
        <w:tc>
          <w:tcPr>
            <w:tcW w:w="2000" w:type="dxa"/>
            <w:vAlign w:val="bottom"/>
          </w:tcPr>
          <w:p>
            <w:pPr>
              <w:ind w:left="20"/>
              <w:spacing w:after="0"/>
              <w:rPr>
                <w:sz w:val="20"/>
                <w:szCs w:val="20"/>
                <w:color w:val="auto"/>
              </w:rPr>
            </w:pPr>
            <w:r>
              <w:rPr>
                <w:rFonts w:ascii="Arial" w:cs="Arial" w:eastAsia="Arial" w:hAnsi="Arial"/>
                <w:sz w:val="16"/>
                <w:szCs w:val="16"/>
                <w:color w:val="auto"/>
              </w:rPr>
              <w:t>Hedge Category</w:t>
            </w:r>
          </w:p>
        </w:tc>
        <w:tc>
          <w:tcPr>
            <w:tcW w:w="980" w:type="dxa"/>
            <w:vAlign w:val="bottom"/>
          </w:tcPr>
          <w:p>
            <w:pPr>
              <w:spacing w:after="0"/>
              <w:rPr>
                <w:sz w:val="17"/>
                <w:szCs w:val="17"/>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Balance</w:t>
            </w:r>
          </w:p>
        </w:tc>
        <w:tc>
          <w:tcPr>
            <w:tcW w:w="1940" w:type="dxa"/>
            <w:vAlign w:val="bottom"/>
            <w:gridSpan w:val="2"/>
          </w:tcPr>
          <w:p>
            <w:pPr>
              <w:jc w:val="right"/>
              <w:ind w:right="22"/>
              <w:spacing w:after="0"/>
              <w:rPr>
                <w:sz w:val="20"/>
                <w:szCs w:val="20"/>
                <w:color w:val="auto"/>
              </w:rPr>
            </w:pPr>
            <w:r>
              <w:rPr>
                <w:rFonts w:ascii="Arial" w:cs="Arial" w:eastAsia="Arial" w:hAnsi="Arial"/>
                <w:sz w:val="16"/>
                <w:szCs w:val="16"/>
                <w:color w:val="auto"/>
              </w:rPr>
              <w:t>Ending Notional Balance</w:t>
            </w:r>
          </w:p>
        </w:tc>
        <w:tc>
          <w:tcPr>
            <w:tcW w:w="20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Recorded In Net Income</w:t>
            </w:r>
          </w:p>
        </w:tc>
        <w:tc>
          <w:tcPr>
            <w:tcW w:w="180" w:type="dxa"/>
            <w:vAlign w:val="bottom"/>
          </w:tcPr>
          <w:p>
            <w:pPr>
              <w:spacing w:after="0"/>
              <w:rPr>
                <w:sz w:val="17"/>
                <w:szCs w:val="17"/>
                <w:color w:val="auto"/>
              </w:rPr>
            </w:pPr>
          </w:p>
        </w:tc>
        <w:tc>
          <w:tcPr>
            <w:tcW w:w="1860" w:type="dxa"/>
            <w:vAlign w:val="bottom"/>
          </w:tcPr>
          <w:p>
            <w:pPr>
              <w:jc w:val="right"/>
              <w:ind w:right="22"/>
              <w:spacing w:after="0"/>
              <w:rPr>
                <w:sz w:val="20"/>
                <w:szCs w:val="20"/>
                <w:color w:val="auto"/>
              </w:rPr>
            </w:pPr>
            <w:r>
              <w:rPr>
                <w:rFonts w:ascii="Arial" w:cs="Arial" w:eastAsia="Arial" w:hAnsi="Arial"/>
                <w:sz w:val="16"/>
                <w:szCs w:val="16"/>
                <w:color w:val="auto"/>
                <w:w w:val="97"/>
              </w:rPr>
              <w:t>(Payable) at Quarter End</w:t>
            </w:r>
          </w:p>
        </w:tc>
      </w:tr>
      <w:tr>
        <w:trPr>
          <w:trHeight w:val="268"/>
        </w:trPr>
        <w:tc>
          <w:tcPr>
            <w:tcW w:w="20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Borrowed Funds</w:t>
            </w:r>
          </w:p>
        </w:tc>
        <w:tc>
          <w:tcPr>
            <w:tcW w:w="98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60,000</w:t>
            </w:r>
          </w:p>
        </w:tc>
        <w:tc>
          <w:tcPr>
            <w:tcW w:w="760" w:type="dxa"/>
            <w:vAlign w:val="bottom"/>
            <w:tcBorders>
              <w:bottom w:val="single" w:sz="8" w:color="auto"/>
            </w:tcBorders>
            <w:shd w:val="clear" w:color="auto" w:fill="CFF0FC"/>
          </w:tcPr>
          <w:p>
            <w:pPr>
              <w:jc w:val="right"/>
              <w:ind w:right="54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40,000</w:t>
            </w:r>
          </w:p>
        </w:tc>
        <w:tc>
          <w:tcPr>
            <w:tcW w:w="20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(171 ) $</w:t>
            </w:r>
          </w:p>
        </w:tc>
        <w:tc>
          <w:tcPr>
            <w:tcW w:w="186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583</w:t>
            </w:r>
          </w:p>
        </w:tc>
      </w:tr>
    </w:tbl>
    <w:p>
      <w:pPr>
        <w:spacing w:after="0" w:line="200" w:lineRule="exact"/>
        <w:rPr>
          <w:sz w:val="20"/>
          <w:szCs w:val="20"/>
          <w:color w:val="auto"/>
        </w:rPr>
      </w:pP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 following table shows the pre-tax gains and losses of the Company’s derivatives designated as cash flow hedges in OCI at June 30, 2023 and December 31, 2022:</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60" w:type="dxa"/>
            <w:vAlign w:val="bottom"/>
          </w:tcPr>
          <w:p>
            <w:pPr>
              <w:ind w:left="60"/>
              <w:spacing w:after="0"/>
              <w:rPr>
                <w:sz w:val="20"/>
                <w:szCs w:val="20"/>
                <w:color w:val="auto"/>
              </w:rPr>
            </w:pPr>
            <w:r>
              <w:rPr>
                <w:rFonts w:ascii="Arial" w:cs="Arial" w:eastAsia="Arial" w:hAnsi="Arial"/>
                <w:sz w:val="16"/>
                <w:szCs w:val="16"/>
                <w:i w:val="1"/>
                <w:iCs w:val="1"/>
                <w:color w:val="auto"/>
              </w:rPr>
              <w:t>(In thousands)</w:t>
            </w:r>
          </w:p>
        </w:tc>
        <w:tc>
          <w:tcPr>
            <w:tcW w:w="1900" w:type="dxa"/>
            <w:vAlign w:val="bottom"/>
          </w:tcPr>
          <w:p>
            <w:pPr>
              <w:spacing w:after="0"/>
              <w:rPr>
                <w:sz w:val="17"/>
                <w:szCs w:val="17"/>
                <w:color w:val="auto"/>
              </w:rPr>
            </w:pPr>
          </w:p>
        </w:tc>
        <w:tc>
          <w:tcPr>
            <w:tcW w:w="1660" w:type="dxa"/>
            <w:vAlign w:val="bottom"/>
          </w:tcPr>
          <w:p>
            <w:pPr>
              <w:jc w:val="right"/>
              <w:ind w:right="62"/>
              <w:spacing w:after="0"/>
              <w:rPr>
                <w:sz w:val="20"/>
                <w:szCs w:val="20"/>
                <w:color w:val="auto"/>
              </w:rPr>
            </w:pPr>
            <w:r>
              <w:rPr>
                <w:rFonts w:ascii="Arial" w:cs="Arial" w:eastAsia="Arial" w:hAnsi="Arial"/>
                <w:sz w:val="16"/>
                <w:szCs w:val="16"/>
                <w:color w:val="auto"/>
              </w:rPr>
              <w:t>June 30, 2023</w:t>
            </w:r>
          </w:p>
        </w:tc>
        <w:tc>
          <w:tcPr>
            <w:tcW w:w="560" w:type="dxa"/>
            <w:vAlign w:val="bottom"/>
          </w:tcPr>
          <w:p>
            <w:pPr>
              <w:spacing w:after="0"/>
              <w:rPr>
                <w:sz w:val="17"/>
                <w:szCs w:val="17"/>
                <w:color w:val="auto"/>
              </w:rPr>
            </w:pPr>
          </w:p>
        </w:tc>
        <w:tc>
          <w:tcPr>
            <w:tcW w:w="1780" w:type="dxa"/>
            <w:vAlign w:val="bottom"/>
          </w:tcPr>
          <w:p>
            <w:pPr>
              <w:jc w:val="right"/>
              <w:ind w:right="22"/>
              <w:spacing w:after="0"/>
              <w:rPr>
                <w:sz w:val="20"/>
                <w:szCs w:val="20"/>
                <w:color w:val="auto"/>
              </w:rPr>
            </w:pPr>
            <w:r>
              <w:rPr>
                <w:rFonts w:ascii="Arial" w:cs="Arial" w:eastAsia="Arial" w:hAnsi="Arial"/>
                <w:sz w:val="16"/>
                <w:szCs w:val="16"/>
                <w:color w:val="auto"/>
              </w:rPr>
              <w:t>December 31, 2022</w:t>
            </w:r>
          </w:p>
        </w:tc>
      </w:tr>
      <w:tr>
        <w:trPr>
          <w:trHeight w:val="241"/>
        </w:trPr>
        <w:tc>
          <w:tcPr>
            <w:tcW w:w="4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 hedges:</w:t>
            </w:r>
          </w:p>
        </w:tc>
        <w:tc>
          <w:tcPr>
            <w:tcW w:w="190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r>
      <w:tr>
        <w:trPr>
          <w:trHeight w:val="239"/>
        </w:trPr>
        <w:tc>
          <w:tcPr>
            <w:tcW w:w="4660" w:type="dxa"/>
            <w:vAlign w:val="bottom"/>
          </w:tcPr>
          <w:p>
            <w:pPr>
              <w:ind w:left="100"/>
              <w:spacing w:after="0"/>
              <w:rPr>
                <w:sz w:val="20"/>
                <w:szCs w:val="20"/>
                <w:color w:val="auto"/>
              </w:rPr>
            </w:pPr>
            <w:r>
              <w:rPr>
                <w:rFonts w:ascii="Arial" w:cs="Arial" w:eastAsia="Arial" w:hAnsi="Arial"/>
                <w:sz w:val="16"/>
                <w:szCs w:val="16"/>
                <w:color w:val="auto"/>
              </w:rPr>
              <w:t>Fair market value adjustment interest rate swap</w:t>
            </w:r>
          </w:p>
        </w:tc>
        <w:tc>
          <w:tcPr>
            <w:tcW w:w="190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82"/>
              <w:spacing w:after="0"/>
              <w:rPr>
                <w:sz w:val="20"/>
                <w:szCs w:val="20"/>
                <w:color w:val="auto"/>
              </w:rPr>
            </w:pPr>
            <w:r>
              <w:rPr>
                <w:rFonts w:ascii="Arial" w:cs="Arial" w:eastAsia="Arial" w:hAnsi="Arial"/>
                <w:sz w:val="16"/>
                <w:szCs w:val="16"/>
                <w:color w:val="auto"/>
              </w:rPr>
              <w:t>637</w:t>
            </w:r>
          </w:p>
        </w:tc>
        <w:tc>
          <w:tcPr>
            <w:tcW w:w="56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22"/>
              <w:spacing w:after="0"/>
              <w:rPr>
                <w:sz w:val="20"/>
                <w:szCs w:val="20"/>
                <w:color w:val="auto"/>
              </w:rPr>
            </w:pPr>
            <w:r>
              <w:rPr>
                <w:rFonts w:ascii="Arial" w:cs="Arial" w:eastAsia="Arial" w:hAnsi="Arial"/>
                <w:sz w:val="16"/>
                <w:szCs w:val="16"/>
                <w:color w:val="auto"/>
              </w:rPr>
              <w:t>519</w:t>
            </w:r>
          </w:p>
        </w:tc>
      </w:tr>
      <w:tr>
        <w:trPr>
          <w:trHeight w:val="280"/>
        </w:trPr>
        <w:tc>
          <w:tcPr>
            <w:tcW w:w="466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6"/>
                <w:szCs w:val="16"/>
                <w:color w:val="auto"/>
              </w:rPr>
              <w:t>Total (loss) gain in comprehensive income</w:t>
            </w:r>
          </w:p>
        </w:tc>
        <w:tc>
          <w:tcPr>
            <w:tcW w:w="1900" w:type="dxa"/>
            <w:vAlign w:val="bottom"/>
            <w:tcBorders>
              <w:bottom w:val="single" w:sz="8" w:color="auto"/>
            </w:tcBorders>
            <w:shd w:val="clear" w:color="auto" w:fill="CFF0FC"/>
          </w:tcPr>
          <w:p>
            <w:pPr>
              <w:jc w:val="right"/>
              <w:ind w:right="442"/>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637</w:t>
            </w:r>
          </w:p>
        </w:tc>
        <w:tc>
          <w:tcPr>
            <w:tcW w:w="560" w:type="dxa"/>
            <w:vAlign w:val="bottom"/>
            <w:tcBorders>
              <w:bottom w:val="single" w:sz="8" w:color="auto"/>
            </w:tcBorders>
            <w:shd w:val="clear" w:color="auto" w:fill="CFF0FC"/>
          </w:tcPr>
          <w:p>
            <w:pPr>
              <w:jc w:val="right"/>
              <w:ind w:right="242"/>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519</w:t>
            </w:r>
          </w:p>
        </w:tc>
      </w:tr>
    </w:tbl>
    <w:p>
      <w:pPr>
        <w:spacing w:after="0" w:line="30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hedging contracts noted above, accounted for as cash flow hedges, decreased the interest expense associated with MMDA accounts by 0.47% in the six months ended June 30, 2023 and increased the interest expense associated with MMDA accounts by 0.13% in the six months ended June 30, 2022.</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amounts of hedge ineffectiveness, recognized at June 30, 2023 and December 31, 2022 for cash flow hedges were not material to the Company’s consolidated results of operations. A portion of, or the entire amount included in accumulated other comprehensive loss would be reclassified into current earnings should a portion of, or the entire hedge, no longer be considered effective.</w:t>
      </w:r>
    </w:p>
    <w:p>
      <w:pPr>
        <w:ind w:right="180"/>
        <w:spacing w:after="0" w:line="254" w:lineRule="auto"/>
        <w:rPr>
          <w:sz w:val="20"/>
          <w:szCs w:val="20"/>
          <w:color w:val="auto"/>
        </w:rPr>
      </w:pPr>
      <w:r>
        <w:rPr>
          <w:rFonts w:ascii="Arial" w:cs="Arial" w:eastAsia="Arial" w:hAnsi="Arial"/>
          <w:sz w:val="18"/>
          <w:szCs w:val="18"/>
          <w:color w:val="auto"/>
        </w:rPr>
        <w:t>Management believes that the hedges will remain fully effective during the remaining term of the respective hedging contracts. The changes in the fair values of the interest rate hedging agreements primarily result from the effects of changing index interest rates and the reduction of the time each quarter between the measurement date and the contractual maturity date of the hedging instrument.</w:t>
      </w:r>
    </w:p>
    <w:p>
      <w:pPr>
        <w:spacing w:after="0" w:line="19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 manages its potential credit exposure on interest rate swap transactions by entering into bilateral credit support agreements with each contractual counterparty. These agreements require collateralization of credit exposures beyond specified minimum threshold amounts.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(Loss) Income</w:t>
      </w:r>
    </w:p>
    <w:p>
      <w:pPr>
        <w:spacing w:after="0" w:line="235"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Changes in the components of accumulated other comprehensive (loss) income (“AOCI”), net of tax, for the periods indicated are summarized in the tables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60" w:type="dxa"/>
            <w:vAlign w:val="bottom"/>
            <w:gridSpan w:val="5"/>
          </w:tcPr>
          <w:p>
            <w:pPr>
              <w:jc w:val="right"/>
              <w:ind w:right="508"/>
              <w:spacing w:after="0"/>
              <w:rPr>
                <w:sz w:val="20"/>
                <w:szCs w:val="20"/>
                <w:color w:val="auto"/>
              </w:rPr>
            </w:pPr>
            <w:r>
              <w:rPr>
                <w:rFonts w:ascii="Arial" w:cs="Arial" w:eastAsia="Arial" w:hAnsi="Arial"/>
                <w:sz w:val="14"/>
                <w:szCs w:val="14"/>
                <w:color w:val="auto"/>
              </w:rPr>
              <w:t>For the three months ended June 30, 2023</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Unrealized</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Gain on</w:t>
            </w:r>
          </w:p>
        </w:tc>
        <w:tc>
          <w:tcPr>
            <w:tcW w:w="20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Unrealized Gain</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color w:val="auto"/>
              </w:rPr>
              <w:t>Unrealized Loss</w:t>
            </w:r>
          </w:p>
        </w:tc>
        <w:tc>
          <w:tcPr>
            <w:tcW w:w="20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Derivatives</w:t>
            </w:r>
          </w:p>
        </w:tc>
        <w:tc>
          <w:tcPr>
            <w:tcW w:w="20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on Securities</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60" w:type="dxa"/>
            <w:vAlign w:val="bottom"/>
            <w:gridSpan w:val="2"/>
          </w:tcPr>
          <w:p>
            <w:pPr>
              <w:ind w:left="600"/>
              <w:spacing w:after="0"/>
              <w:rPr>
                <w:sz w:val="20"/>
                <w:szCs w:val="20"/>
                <w:color w:val="auto"/>
              </w:rPr>
            </w:pPr>
            <w:r>
              <w:rPr>
                <w:rFonts w:ascii="Arial" w:cs="Arial" w:eastAsia="Arial" w:hAnsi="Arial"/>
                <w:sz w:val="14"/>
                <w:szCs w:val="14"/>
                <w:color w:val="auto"/>
              </w:rPr>
              <w:t>Retirement</w:t>
            </w: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on Available-for-</w:t>
            </w:r>
          </w:p>
        </w:tc>
        <w:tc>
          <w:tcPr>
            <w:tcW w:w="2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and Hedging</w:t>
            </w:r>
          </w:p>
        </w:tc>
        <w:tc>
          <w:tcPr>
            <w:tcW w:w="20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Transferred to</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4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Plans</w:t>
            </w:r>
          </w:p>
        </w:tc>
        <w:tc>
          <w:tcPr>
            <w:tcW w:w="16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Sale Securities</w:t>
            </w:r>
          </w:p>
        </w:tc>
        <w:tc>
          <w:tcPr>
            <w:tcW w:w="2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Activities</w:t>
            </w:r>
          </w:p>
        </w:tc>
        <w:tc>
          <w:tcPr>
            <w:tcW w:w="20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Held-to-Maturity</w:t>
            </w:r>
          </w:p>
        </w:tc>
        <w:tc>
          <w:tcPr>
            <w:tcW w:w="2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5"/>
        </w:trPr>
        <w:tc>
          <w:tcPr>
            <w:tcW w:w="4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Beginning balance</w:t>
            </w:r>
          </w:p>
        </w:tc>
        <w:tc>
          <w:tcPr>
            <w:tcW w:w="780" w:type="dxa"/>
            <w:vAlign w:val="bottom"/>
            <w:shd w:val="clear" w:color="auto" w:fill="CFF0FC"/>
          </w:tcPr>
          <w:p>
            <w:pPr>
              <w:ind w:left="5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(2,386 )</w:t>
            </w:r>
          </w:p>
        </w:tc>
        <w:tc>
          <w:tcPr>
            <w:tcW w:w="160" w:type="dxa"/>
            <w:vAlign w:val="bottom"/>
            <w:shd w:val="clear" w:color="auto" w:fill="CFF0FC"/>
          </w:tcPr>
          <w:p>
            <w:pPr>
              <w:ind w:left="8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(9,075 )</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(73 )</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(11,534 )</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Other comprehensive (loss) income before reclassifications</w:t>
            </w:r>
          </w:p>
        </w:tc>
        <w:tc>
          <w:tcPr>
            <w:tcW w:w="78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(420 )</w:t>
            </w:r>
          </w:p>
        </w:tc>
        <w:tc>
          <w:tcPr>
            <w:tcW w:w="20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543</w:t>
            </w:r>
          </w:p>
        </w:tc>
        <w:tc>
          <w:tcPr>
            <w:tcW w:w="20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95"/>
        </w:trPr>
        <w:tc>
          <w:tcPr>
            <w:tcW w:w="4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Amounts reclassified from AOCI</w:t>
            </w:r>
          </w:p>
        </w:tc>
        <w:tc>
          <w:tcPr>
            <w:tcW w:w="7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41</w:t>
            </w:r>
          </w:p>
        </w:tc>
        <w:tc>
          <w:tcPr>
            <w:tcW w:w="16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(2,345 )</w:t>
            </w:r>
          </w:p>
        </w:tc>
        <w:tc>
          <w:tcPr>
            <w:tcW w:w="1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(9,495 )</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(11,370 )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42</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22" w:right="68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2"/>
        </w:trPr>
        <w:tc>
          <w:tcPr>
            <w:tcW w:w="4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60" w:type="dxa"/>
            <w:vAlign w:val="bottom"/>
            <w:gridSpan w:val="5"/>
          </w:tcPr>
          <w:p>
            <w:pPr>
              <w:jc w:val="right"/>
              <w:ind w:right="528"/>
              <w:spacing w:after="0"/>
              <w:rPr>
                <w:sz w:val="20"/>
                <w:szCs w:val="20"/>
                <w:color w:val="auto"/>
              </w:rPr>
            </w:pPr>
            <w:r>
              <w:rPr>
                <w:rFonts w:ascii="Arial" w:cs="Arial" w:eastAsia="Arial" w:hAnsi="Arial"/>
                <w:sz w:val="14"/>
                <w:szCs w:val="14"/>
                <w:color w:val="auto"/>
              </w:rPr>
              <w:t>For the three months ended June 30, 2022</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Unrealized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Gain on</w:t>
            </w:r>
          </w:p>
        </w:tc>
        <w:tc>
          <w:tcPr>
            <w:tcW w:w="1340" w:type="dxa"/>
            <w:vAlign w:val="bottom"/>
            <w:gridSpan w:val="2"/>
          </w:tcPr>
          <w:p>
            <w:pPr>
              <w:jc w:val="right"/>
              <w:ind w:right="68"/>
              <w:spacing w:after="0"/>
              <w:rPr>
                <w:sz w:val="20"/>
                <w:szCs w:val="20"/>
                <w:color w:val="auto"/>
              </w:rPr>
            </w:pPr>
            <w:r>
              <w:rPr>
                <w:rFonts w:ascii="Arial" w:cs="Arial" w:eastAsia="Arial" w:hAnsi="Arial"/>
                <w:sz w:val="14"/>
                <w:szCs w:val="14"/>
                <w:color w:val="auto"/>
              </w:rPr>
              <w:t>Unrealized Gain</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Arial" w:cs="Arial" w:eastAsia="Arial" w:hAnsi="Arial"/>
                <w:sz w:val="14"/>
                <w:szCs w:val="14"/>
                <w:color w:val="auto"/>
              </w:rPr>
              <w:t>Unrealized Loss</w:t>
            </w: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Derivatives</w:t>
            </w:r>
          </w:p>
        </w:tc>
        <w:tc>
          <w:tcPr>
            <w:tcW w:w="1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on Securities</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60" w:type="dxa"/>
            <w:vAlign w:val="bottom"/>
            <w:gridSpan w:val="2"/>
          </w:tcPr>
          <w:p>
            <w:pPr>
              <w:jc w:val="right"/>
              <w:ind w:right="88"/>
              <w:spacing w:after="0"/>
              <w:rPr>
                <w:sz w:val="20"/>
                <w:szCs w:val="20"/>
                <w:color w:val="auto"/>
              </w:rPr>
            </w:pPr>
            <w:r>
              <w:rPr>
                <w:rFonts w:ascii="Arial" w:cs="Arial" w:eastAsia="Arial" w:hAnsi="Arial"/>
                <w:sz w:val="14"/>
                <w:szCs w:val="14"/>
                <w:color w:val="auto"/>
              </w:rPr>
              <w:t>Retiremen</w:t>
            </w:r>
          </w:p>
        </w:tc>
        <w:tc>
          <w:tcPr>
            <w:tcW w:w="1340" w:type="dxa"/>
            <w:vAlign w:val="bottom"/>
            <w:gridSpan w:val="2"/>
          </w:tcPr>
          <w:p>
            <w:pPr>
              <w:jc w:val="right"/>
              <w:ind w:right="108"/>
              <w:spacing w:after="0"/>
              <w:rPr>
                <w:sz w:val="20"/>
                <w:szCs w:val="20"/>
                <w:color w:val="auto"/>
              </w:rPr>
            </w:pPr>
            <w:r>
              <w:rPr>
                <w:rFonts w:ascii="Arial" w:cs="Arial" w:eastAsia="Arial" w:hAnsi="Arial"/>
                <w:sz w:val="14"/>
                <w:szCs w:val="14"/>
                <w:color w:val="auto"/>
              </w:rPr>
              <w:t>on Available-for-</w:t>
            </w: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and Hedging</w:t>
            </w:r>
          </w:p>
        </w:tc>
        <w:tc>
          <w:tcPr>
            <w:tcW w:w="1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Transferred to</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38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t Plans</w:t>
            </w:r>
          </w:p>
        </w:tc>
        <w:tc>
          <w:tcPr>
            <w:tcW w:w="18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Sale Securities</w:t>
            </w:r>
          </w:p>
        </w:tc>
        <w:tc>
          <w:tcPr>
            <w:tcW w:w="18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Activities</w:t>
            </w:r>
          </w:p>
        </w:tc>
        <w:tc>
          <w:tcPr>
            <w:tcW w:w="18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Held-to-Maturity</w:t>
            </w:r>
          </w:p>
        </w:tc>
        <w:tc>
          <w:tcPr>
            <w:tcW w:w="2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5"/>
        </w:trPr>
        <w:tc>
          <w:tcPr>
            <w:tcW w:w="4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Beginning balance</w:t>
            </w: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(1,412 )</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(3,842 )</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194</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(5,058 )</w:t>
            </w:r>
          </w:p>
        </w:tc>
        <w:tc>
          <w:tcPr>
            <w:tcW w:w="0" w:type="dxa"/>
            <w:vAlign w:val="bottom"/>
          </w:tcPr>
          <w:p>
            <w:pPr>
              <w:spacing w:after="0"/>
              <w:rPr>
                <w:sz w:val="1"/>
                <w:szCs w:val="1"/>
                <w:color w:val="auto"/>
              </w:rPr>
            </w:pPr>
          </w:p>
        </w:tc>
      </w:tr>
      <w:tr>
        <w:trPr>
          <w:trHeight w:val="189"/>
        </w:trPr>
        <w:tc>
          <w:tcPr>
            <w:tcW w:w="4380" w:type="dxa"/>
            <w:vAlign w:val="bottom"/>
          </w:tcPr>
          <w:p>
            <w:pPr>
              <w:ind w:left="20"/>
              <w:spacing w:after="0"/>
              <w:rPr>
                <w:sz w:val="20"/>
                <w:szCs w:val="20"/>
                <w:color w:val="auto"/>
              </w:rPr>
            </w:pPr>
            <w:r>
              <w:rPr>
                <w:rFonts w:ascii="Arial" w:cs="Arial" w:eastAsia="Arial" w:hAnsi="Arial"/>
                <w:sz w:val="14"/>
                <w:szCs w:val="14"/>
                <w:color w:val="auto"/>
              </w:rPr>
              <w:t>Other comprehensive (loss) income before reclassifications</w:t>
            </w:r>
          </w:p>
        </w:tc>
        <w:tc>
          <w:tcPr>
            <w:tcW w:w="76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(4,559 )</w:t>
            </w:r>
          </w:p>
        </w:tc>
        <w:tc>
          <w:tcPr>
            <w:tcW w:w="18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237</w:t>
            </w:r>
          </w:p>
        </w:tc>
        <w:tc>
          <w:tcPr>
            <w:tcW w:w="18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(4,322 )</w:t>
            </w:r>
          </w:p>
        </w:tc>
        <w:tc>
          <w:tcPr>
            <w:tcW w:w="0" w:type="dxa"/>
            <w:vAlign w:val="bottom"/>
          </w:tcPr>
          <w:p>
            <w:pPr>
              <w:spacing w:after="0"/>
              <w:rPr>
                <w:sz w:val="1"/>
                <w:szCs w:val="1"/>
                <w:color w:val="auto"/>
              </w:rPr>
            </w:pPr>
          </w:p>
        </w:tc>
      </w:tr>
      <w:tr>
        <w:trPr>
          <w:trHeight w:val="219"/>
        </w:trPr>
        <w:tc>
          <w:tcPr>
            <w:tcW w:w="4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Amounts reclassified from AOCI</w:t>
            </w: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(20 )</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189"/>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(1,411 )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(8,421 )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(9,399 )</w:t>
            </w:r>
          </w:p>
        </w:tc>
        <w:tc>
          <w:tcPr>
            <w:tcW w:w="0" w:type="dxa"/>
            <w:vAlign w:val="bottom"/>
          </w:tcPr>
          <w:p>
            <w:pPr>
              <w:spacing w:after="0"/>
              <w:rPr>
                <w:sz w:val="1"/>
                <w:szCs w:val="1"/>
                <w:color w:val="auto"/>
              </w:rPr>
            </w:pP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gridSpan w:val="5"/>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60" w:type="dxa"/>
            <w:vAlign w:val="bottom"/>
            <w:gridSpan w:val="5"/>
          </w:tcPr>
          <w:p>
            <w:pPr>
              <w:jc w:val="right"/>
              <w:ind w:right="588"/>
              <w:spacing w:after="0"/>
              <w:rPr>
                <w:sz w:val="20"/>
                <w:szCs w:val="20"/>
                <w:color w:val="auto"/>
              </w:rPr>
            </w:pPr>
            <w:r>
              <w:rPr>
                <w:rFonts w:ascii="Arial" w:cs="Arial" w:eastAsia="Arial" w:hAnsi="Arial"/>
                <w:sz w:val="14"/>
                <w:szCs w:val="14"/>
                <w:color w:val="auto"/>
              </w:rPr>
              <w:t>For the six months ended June 30, 2023</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Unrealized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Gain on</w:t>
            </w:r>
          </w:p>
        </w:tc>
        <w:tc>
          <w:tcPr>
            <w:tcW w:w="1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Unrealized Gain</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Arial" w:cs="Arial" w:eastAsia="Arial" w:hAnsi="Arial"/>
                <w:sz w:val="14"/>
                <w:szCs w:val="14"/>
                <w:color w:val="auto"/>
              </w:rPr>
              <w:t>Unrealized Loss</w:t>
            </w: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Derivatives</w:t>
            </w:r>
          </w:p>
        </w:tc>
        <w:tc>
          <w:tcPr>
            <w:tcW w:w="1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on Securities</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60" w:type="dxa"/>
            <w:vAlign w:val="bottom"/>
            <w:gridSpan w:val="2"/>
          </w:tcPr>
          <w:p>
            <w:pPr>
              <w:jc w:val="right"/>
              <w:ind w:right="88"/>
              <w:spacing w:after="0"/>
              <w:rPr>
                <w:sz w:val="20"/>
                <w:szCs w:val="20"/>
                <w:color w:val="auto"/>
              </w:rPr>
            </w:pPr>
            <w:r>
              <w:rPr>
                <w:rFonts w:ascii="Arial" w:cs="Arial" w:eastAsia="Arial" w:hAnsi="Arial"/>
                <w:sz w:val="14"/>
                <w:szCs w:val="14"/>
                <w:color w:val="auto"/>
              </w:rPr>
              <w:t>Retiremen</w:t>
            </w:r>
          </w:p>
        </w:tc>
        <w:tc>
          <w:tcPr>
            <w:tcW w:w="1340" w:type="dxa"/>
            <w:vAlign w:val="bottom"/>
            <w:gridSpan w:val="2"/>
          </w:tcPr>
          <w:p>
            <w:pPr>
              <w:jc w:val="right"/>
              <w:ind w:right="108"/>
              <w:spacing w:after="0"/>
              <w:rPr>
                <w:sz w:val="20"/>
                <w:szCs w:val="20"/>
                <w:color w:val="auto"/>
              </w:rPr>
            </w:pPr>
            <w:r>
              <w:rPr>
                <w:rFonts w:ascii="Arial" w:cs="Arial" w:eastAsia="Arial" w:hAnsi="Arial"/>
                <w:sz w:val="14"/>
                <w:szCs w:val="14"/>
                <w:color w:val="auto"/>
              </w:rPr>
              <w:t>on Available-for-</w:t>
            </w: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and Hedging</w:t>
            </w:r>
          </w:p>
        </w:tc>
        <w:tc>
          <w:tcPr>
            <w:tcW w:w="1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Transferred to</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38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t Plans</w:t>
            </w:r>
          </w:p>
        </w:tc>
        <w:tc>
          <w:tcPr>
            <w:tcW w:w="18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Sale Securities</w:t>
            </w:r>
          </w:p>
        </w:tc>
        <w:tc>
          <w:tcPr>
            <w:tcW w:w="18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Activities</w:t>
            </w:r>
          </w:p>
        </w:tc>
        <w:tc>
          <w:tcPr>
            <w:tcW w:w="18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Held-to-Maturity</w:t>
            </w:r>
          </w:p>
        </w:tc>
        <w:tc>
          <w:tcPr>
            <w:tcW w:w="2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5"/>
        </w:trPr>
        <w:tc>
          <w:tcPr>
            <w:tcW w:w="4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Beginning balance</w:t>
            </w: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(2,427 )</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(10,127 )</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382</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(12,172 )</w:t>
            </w:r>
          </w:p>
        </w:tc>
        <w:tc>
          <w:tcPr>
            <w:tcW w:w="0" w:type="dxa"/>
            <w:vAlign w:val="bottom"/>
          </w:tcPr>
          <w:p>
            <w:pPr>
              <w:spacing w:after="0"/>
              <w:rPr>
                <w:sz w:val="1"/>
                <w:szCs w:val="1"/>
                <w:color w:val="auto"/>
              </w:rPr>
            </w:pPr>
          </w:p>
        </w:tc>
      </w:tr>
      <w:tr>
        <w:trPr>
          <w:trHeight w:val="189"/>
        </w:trPr>
        <w:tc>
          <w:tcPr>
            <w:tcW w:w="4380" w:type="dxa"/>
            <w:vAlign w:val="bottom"/>
          </w:tcPr>
          <w:p>
            <w:pPr>
              <w:ind w:left="20"/>
              <w:spacing w:after="0"/>
              <w:rPr>
                <w:sz w:val="20"/>
                <w:szCs w:val="20"/>
                <w:color w:val="auto"/>
              </w:rPr>
            </w:pPr>
            <w:r>
              <w:rPr>
                <w:rFonts w:ascii="Arial" w:cs="Arial" w:eastAsia="Arial" w:hAnsi="Arial"/>
                <w:sz w:val="14"/>
                <w:szCs w:val="14"/>
                <w:color w:val="auto"/>
              </w:rPr>
              <w:t>Other comprehensive (loss) income before reclassifications</w:t>
            </w:r>
          </w:p>
        </w:tc>
        <w:tc>
          <w:tcPr>
            <w:tcW w:w="76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(796 )</w:t>
            </w:r>
          </w:p>
        </w:tc>
        <w:tc>
          <w:tcPr>
            <w:tcW w:w="18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88</w:t>
            </w:r>
          </w:p>
        </w:tc>
        <w:tc>
          <w:tcPr>
            <w:tcW w:w="18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(708 )</w:t>
            </w:r>
          </w:p>
        </w:tc>
        <w:tc>
          <w:tcPr>
            <w:tcW w:w="0" w:type="dxa"/>
            <w:vAlign w:val="bottom"/>
          </w:tcPr>
          <w:p>
            <w:pPr>
              <w:spacing w:after="0"/>
              <w:rPr>
                <w:sz w:val="1"/>
                <w:szCs w:val="1"/>
                <w:color w:val="auto"/>
              </w:rPr>
            </w:pPr>
          </w:p>
        </w:tc>
      </w:tr>
      <w:tr>
        <w:trPr>
          <w:trHeight w:val="195"/>
        </w:trPr>
        <w:tc>
          <w:tcPr>
            <w:tcW w:w="4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Amounts reclassified from AOCI</w:t>
            </w:r>
          </w:p>
        </w:tc>
        <w:tc>
          <w:tcPr>
            <w:tcW w:w="7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82</w:t>
            </w: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1,428</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1,510</w:t>
            </w:r>
          </w:p>
        </w:tc>
        <w:tc>
          <w:tcPr>
            <w:tcW w:w="0" w:type="dxa"/>
            <w:vAlign w:val="bottom"/>
          </w:tcPr>
          <w:p>
            <w:pPr>
              <w:spacing w:after="0"/>
              <w:rPr>
                <w:sz w:val="1"/>
                <w:szCs w:val="1"/>
                <w:color w:val="auto"/>
              </w:rPr>
            </w:pPr>
          </w:p>
        </w:tc>
      </w:tr>
      <w:tr>
        <w:trPr>
          <w:trHeight w:val="189"/>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(2,345 )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(9,495 )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(11,370 )</w:t>
            </w:r>
          </w:p>
        </w:tc>
        <w:tc>
          <w:tcPr>
            <w:tcW w:w="0" w:type="dxa"/>
            <w:vAlign w:val="bottom"/>
          </w:tcPr>
          <w:p>
            <w:pPr>
              <w:spacing w:after="0"/>
              <w:rPr>
                <w:sz w:val="1"/>
                <w:szCs w:val="1"/>
                <w:color w:val="auto"/>
              </w:rPr>
            </w:pP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gridSpan w:val="5"/>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60" w:type="dxa"/>
            <w:vAlign w:val="bottom"/>
            <w:gridSpan w:val="5"/>
          </w:tcPr>
          <w:p>
            <w:pPr>
              <w:jc w:val="right"/>
              <w:ind w:right="588"/>
              <w:spacing w:after="0"/>
              <w:rPr>
                <w:sz w:val="20"/>
                <w:szCs w:val="20"/>
                <w:color w:val="auto"/>
              </w:rPr>
            </w:pPr>
            <w:r>
              <w:rPr>
                <w:rFonts w:ascii="Arial" w:cs="Arial" w:eastAsia="Arial" w:hAnsi="Arial"/>
                <w:sz w:val="14"/>
                <w:szCs w:val="14"/>
                <w:color w:val="auto"/>
              </w:rPr>
              <w:t>For the six months ended June 30, 2022</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Unrealized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Gain on</w:t>
            </w:r>
          </w:p>
        </w:tc>
        <w:tc>
          <w:tcPr>
            <w:tcW w:w="1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Unrealized Gain</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Arial" w:cs="Arial" w:eastAsia="Arial" w:hAnsi="Arial"/>
                <w:sz w:val="14"/>
                <w:szCs w:val="14"/>
                <w:color w:val="auto"/>
              </w:rPr>
              <w:t>Unrealized Loss</w:t>
            </w: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Derivatives</w:t>
            </w:r>
          </w:p>
        </w:tc>
        <w:tc>
          <w:tcPr>
            <w:tcW w:w="1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on Securities</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60" w:type="dxa"/>
            <w:vAlign w:val="bottom"/>
            <w:gridSpan w:val="2"/>
          </w:tcPr>
          <w:p>
            <w:pPr>
              <w:jc w:val="right"/>
              <w:ind w:right="88"/>
              <w:spacing w:after="0"/>
              <w:rPr>
                <w:sz w:val="20"/>
                <w:szCs w:val="20"/>
                <w:color w:val="auto"/>
              </w:rPr>
            </w:pPr>
            <w:r>
              <w:rPr>
                <w:rFonts w:ascii="Arial" w:cs="Arial" w:eastAsia="Arial" w:hAnsi="Arial"/>
                <w:sz w:val="14"/>
                <w:szCs w:val="14"/>
                <w:color w:val="auto"/>
              </w:rPr>
              <w:t>Retiremen</w:t>
            </w:r>
          </w:p>
        </w:tc>
        <w:tc>
          <w:tcPr>
            <w:tcW w:w="1340" w:type="dxa"/>
            <w:vAlign w:val="bottom"/>
            <w:gridSpan w:val="2"/>
          </w:tcPr>
          <w:p>
            <w:pPr>
              <w:jc w:val="right"/>
              <w:ind w:right="108"/>
              <w:spacing w:after="0"/>
              <w:rPr>
                <w:sz w:val="20"/>
                <w:szCs w:val="20"/>
                <w:color w:val="auto"/>
              </w:rPr>
            </w:pPr>
            <w:r>
              <w:rPr>
                <w:rFonts w:ascii="Arial" w:cs="Arial" w:eastAsia="Arial" w:hAnsi="Arial"/>
                <w:sz w:val="14"/>
                <w:szCs w:val="14"/>
                <w:color w:val="auto"/>
              </w:rPr>
              <w:t>on Available-for-</w:t>
            </w: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and Hedging</w:t>
            </w:r>
          </w:p>
        </w:tc>
        <w:tc>
          <w:tcPr>
            <w:tcW w:w="1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Transferred to</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38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t Plans</w:t>
            </w:r>
          </w:p>
        </w:tc>
        <w:tc>
          <w:tcPr>
            <w:tcW w:w="18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Sale Securities</w:t>
            </w:r>
          </w:p>
        </w:tc>
        <w:tc>
          <w:tcPr>
            <w:tcW w:w="18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Activities</w:t>
            </w:r>
          </w:p>
        </w:tc>
        <w:tc>
          <w:tcPr>
            <w:tcW w:w="18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Held-to-Maturity</w:t>
            </w:r>
          </w:p>
        </w:tc>
        <w:tc>
          <w:tcPr>
            <w:tcW w:w="24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5"/>
        </w:trPr>
        <w:tc>
          <w:tcPr>
            <w:tcW w:w="4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Beginning balance</w:t>
            </w:r>
          </w:p>
        </w:tc>
        <w:tc>
          <w:tcPr>
            <w:tcW w:w="7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(1,412 )</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428</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(286 )</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(1,268 )</w:t>
            </w:r>
          </w:p>
        </w:tc>
        <w:tc>
          <w:tcPr>
            <w:tcW w:w="0" w:type="dxa"/>
            <w:vAlign w:val="bottom"/>
          </w:tcPr>
          <w:p>
            <w:pPr>
              <w:spacing w:after="0"/>
              <w:rPr>
                <w:sz w:val="1"/>
                <w:szCs w:val="1"/>
                <w:color w:val="auto"/>
              </w:rPr>
            </w:pPr>
          </w:p>
        </w:tc>
      </w:tr>
      <w:tr>
        <w:trPr>
          <w:trHeight w:val="189"/>
        </w:trPr>
        <w:tc>
          <w:tcPr>
            <w:tcW w:w="4380" w:type="dxa"/>
            <w:vAlign w:val="bottom"/>
          </w:tcPr>
          <w:p>
            <w:pPr>
              <w:ind w:left="20"/>
              <w:spacing w:after="0"/>
              <w:rPr>
                <w:sz w:val="20"/>
                <w:szCs w:val="20"/>
                <w:color w:val="auto"/>
              </w:rPr>
            </w:pPr>
            <w:r>
              <w:rPr>
                <w:rFonts w:ascii="Arial" w:cs="Arial" w:eastAsia="Arial" w:hAnsi="Arial"/>
                <w:sz w:val="14"/>
                <w:szCs w:val="14"/>
                <w:color w:val="auto"/>
              </w:rPr>
              <w:t>Other comprehensive income before reclassifications</w:t>
            </w:r>
          </w:p>
        </w:tc>
        <w:tc>
          <w:tcPr>
            <w:tcW w:w="76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(8,830 )</w:t>
            </w:r>
          </w:p>
        </w:tc>
        <w:tc>
          <w:tcPr>
            <w:tcW w:w="18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717</w:t>
            </w:r>
          </w:p>
        </w:tc>
        <w:tc>
          <w:tcPr>
            <w:tcW w:w="18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(8,113 )</w:t>
            </w:r>
          </w:p>
        </w:tc>
        <w:tc>
          <w:tcPr>
            <w:tcW w:w="0" w:type="dxa"/>
            <w:vAlign w:val="bottom"/>
          </w:tcPr>
          <w:p>
            <w:pPr>
              <w:spacing w:after="0"/>
              <w:rPr>
                <w:sz w:val="1"/>
                <w:szCs w:val="1"/>
                <w:color w:val="auto"/>
              </w:rPr>
            </w:pPr>
          </w:p>
        </w:tc>
      </w:tr>
      <w:tr>
        <w:trPr>
          <w:trHeight w:val="195"/>
        </w:trPr>
        <w:tc>
          <w:tcPr>
            <w:tcW w:w="4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Amounts reclassified from AOCI</w:t>
            </w:r>
          </w:p>
        </w:tc>
        <w:tc>
          <w:tcPr>
            <w:tcW w:w="7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w:t>
            </w: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(19 )</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189"/>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(1,411 )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(8,421 )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(9,399 )</w:t>
            </w:r>
          </w:p>
        </w:tc>
        <w:tc>
          <w:tcPr>
            <w:tcW w:w="0" w:type="dxa"/>
            <w:vAlign w:val="bottom"/>
          </w:tcPr>
          <w:p>
            <w:pPr>
              <w:spacing w:after="0"/>
              <w:rPr>
                <w:sz w:val="1"/>
                <w:szCs w:val="1"/>
                <w:color w:val="auto"/>
              </w:rPr>
            </w:pP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amounts reclassified out of each component of AOCI for the indicated period:</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165"/>
        </w:trPr>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3"/>
          </w:tcPr>
          <w:p>
            <w:pPr>
              <w:jc w:val="center"/>
              <w:ind w:right="214"/>
              <w:spacing w:after="0"/>
              <w:rPr>
                <w:sz w:val="20"/>
                <w:szCs w:val="20"/>
                <w:color w:val="auto"/>
              </w:rPr>
            </w:pPr>
            <w:r>
              <w:rPr>
                <w:rFonts w:ascii="Arial" w:cs="Arial" w:eastAsia="Arial" w:hAnsi="Arial"/>
                <w:sz w:val="13"/>
                <w:szCs w:val="13"/>
                <w:color w:val="auto"/>
              </w:rPr>
              <w:t>Amount Reclassified</w:t>
            </w:r>
          </w:p>
        </w:tc>
        <w:tc>
          <w:tcPr>
            <w:tcW w:w="160" w:type="dxa"/>
            <w:vAlign w:val="bottom"/>
          </w:tcPr>
          <w:p>
            <w:pPr>
              <w:spacing w:after="0"/>
              <w:rPr>
                <w:sz w:val="14"/>
                <w:szCs w:val="14"/>
                <w:color w:val="auto"/>
              </w:rPr>
            </w:pPr>
          </w:p>
        </w:tc>
        <w:tc>
          <w:tcPr>
            <w:tcW w:w="2020" w:type="dxa"/>
            <w:vAlign w:val="bottom"/>
            <w:gridSpan w:val="2"/>
          </w:tcPr>
          <w:p>
            <w:pPr>
              <w:jc w:val="center"/>
              <w:ind w:right="114"/>
              <w:spacing w:after="0"/>
              <w:rPr>
                <w:sz w:val="20"/>
                <w:szCs w:val="20"/>
                <w:color w:val="auto"/>
              </w:rPr>
            </w:pPr>
            <w:r>
              <w:rPr>
                <w:rFonts w:ascii="Arial" w:cs="Arial" w:eastAsia="Arial" w:hAnsi="Arial"/>
                <w:sz w:val="13"/>
                <w:szCs w:val="13"/>
                <w:color w:val="auto"/>
              </w:rPr>
              <w:t>Amount Reclassified</w:t>
            </w:r>
          </w:p>
        </w:tc>
      </w:tr>
      <w:tr>
        <w:trPr>
          <w:trHeight w:val="195"/>
        </w:trPr>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3"/>
          </w:tcPr>
          <w:p>
            <w:pPr>
              <w:jc w:val="center"/>
              <w:ind w:right="214"/>
              <w:spacing w:after="0"/>
              <w:rPr>
                <w:sz w:val="20"/>
                <w:szCs w:val="20"/>
                <w:color w:val="auto"/>
              </w:rPr>
            </w:pPr>
            <w:r>
              <w:rPr>
                <w:rFonts w:ascii="Arial" w:cs="Arial" w:eastAsia="Arial" w:hAnsi="Arial"/>
                <w:sz w:val="13"/>
                <w:szCs w:val="13"/>
                <w:color w:val="auto"/>
                <w:w w:val="97"/>
              </w:rPr>
              <w:t xml:space="preserve">from AOCI </w:t>
            </w:r>
            <w:r>
              <w:rPr>
                <w:rFonts w:ascii="Arial" w:cs="Arial" w:eastAsia="Arial" w:hAnsi="Arial"/>
                <w:sz w:val="16"/>
                <w:szCs w:val="16"/>
                <w:color w:val="auto"/>
                <w:w w:val="97"/>
                <w:vertAlign w:val="superscript"/>
              </w:rPr>
              <w:t>(1)</w:t>
            </w:r>
          </w:p>
        </w:tc>
        <w:tc>
          <w:tcPr>
            <w:tcW w:w="160" w:type="dxa"/>
            <w:vAlign w:val="bottom"/>
          </w:tcPr>
          <w:p>
            <w:pPr>
              <w:spacing w:after="0"/>
              <w:rPr>
                <w:sz w:val="16"/>
                <w:szCs w:val="16"/>
                <w:color w:val="auto"/>
              </w:rPr>
            </w:pPr>
          </w:p>
        </w:tc>
        <w:tc>
          <w:tcPr>
            <w:tcW w:w="2020" w:type="dxa"/>
            <w:vAlign w:val="bottom"/>
            <w:gridSpan w:val="2"/>
          </w:tcPr>
          <w:p>
            <w:pPr>
              <w:jc w:val="center"/>
              <w:ind w:right="114"/>
              <w:spacing w:after="0"/>
              <w:rPr>
                <w:sz w:val="20"/>
                <w:szCs w:val="20"/>
                <w:color w:val="auto"/>
              </w:rPr>
            </w:pPr>
            <w:r>
              <w:rPr>
                <w:rFonts w:ascii="Arial" w:cs="Arial" w:eastAsia="Arial" w:hAnsi="Arial"/>
                <w:sz w:val="13"/>
                <w:szCs w:val="13"/>
                <w:color w:val="auto"/>
                <w:w w:val="97"/>
              </w:rPr>
              <w:t xml:space="preserve">from AOCI </w:t>
            </w:r>
            <w:r>
              <w:rPr>
                <w:rFonts w:ascii="Arial" w:cs="Arial" w:eastAsia="Arial" w:hAnsi="Arial"/>
                <w:sz w:val="16"/>
                <w:szCs w:val="16"/>
                <w:color w:val="auto"/>
                <w:w w:val="97"/>
                <w:vertAlign w:val="superscript"/>
              </w:rPr>
              <w:t>(1)</w:t>
            </w:r>
          </w:p>
        </w:tc>
      </w:tr>
      <w:tr>
        <w:trPr>
          <w:trHeight w:val="165"/>
        </w:trPr>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3"/>
          </w:tcPr>
          <w:p>
            <w:pPr>
              <w:jc w:val="center"/>
              <w:ind w:right="194"/>
              <w:spacing w:after="0"/>
              <w:rPr>
                <w:sz w:val="20"/>
                <w:szCs w:val="20"/>
                <w:color w:val="auto"/>
              </w:rPr>
            </w:pPr>
            <w:r>
              <w:rPr>
                <w:rFonts w:ascii="Arial" w:cs="Arial" w:eastAsia="Arial" w:hAnsi="Arial"/>
                <w:sz w:val="13"/>
                <w:szCs w:val="13"/>
                <w:color w:val="auto"/>
              </w:rPr>
              <w:t>(Unaudited)</w:t>
            </w:r>
          </w:p>
        </w:tc>
        <w:tc>
          <w:tcPr>
            <w:tcW w:w="160" w:type="dxa"/>
            <w:vAlign w:val="bottom"/>
          </w:tcPr>
          <w:p>
            <w:pPr>
              <w:spacing w:after="0"/>
              <w:rPr>
                <w:sz w:val="14"/>
                <w:szCs w:val="14"/>
                <w:color w:val="auto"/>
              </w:rPr>
            </w:pPr>
          </w:p>
        </w:tc>
        <w:tc>
          <w:tcPr>
            <w:tcW w:w="2020" w:type="dxa"/>
            <w:vAlign w:val="bottom"/>
            <w:gridSpan w:val="2"/>
          </w:tcPr>
          <w:p>
            <w:pPr>
              <w:jc w:val="center"/>
              <w:ind w:right="114"/>
              <w:spacing w:after="0"/>
              <w:rPr>
                <w:sz w:val="20"/>
                <w:szCs w:val="20"/>
                <w:color w:val="auto"/>
              </w:rPr>
            </w:pPr>
            <w:r>
              <w:rPr>
                <w:rFonts w:ascii="Arial" w:cs="Arial" w:eastAsia="Arial" w:hAnsi="Arial"/>
                <w:sz w:val="13"/>
                <w:szCs w:val="13"/>
                <w:color w:val="auto"/>
              </w:rPr>
              <w:t>(Unaudited)</w:t>
            </w:r>
          </w:p>
        </w:tc>
      </w:tr>
      <w:tr>
        <w:trPr>
          <w:trHeight w:val="180"/>
        </w:trPr>
        <w:tc>
          <w:tcPr>
            <w:tcW w:w="2720" w:type="dxa"/>
            <w:vAlign w:val="bottom"/>
            <w:gridSpan w:val="3"/>
          </w:tcPr>
          <w:p>
            <w:pPr>
              <w:ind w:left="20"/>
              <w:spacing w:after="0"/>
              <w:rPr>
                <w:sz w:val="20"/>
                <w:szCs w:val="20"/>
                <w:color w:val="auto"/>
              </w:rPr>
            </w:pPr>
            <w:r>
              <w:rPr>
                <w:rFonts w:ascii="Arial" w:cs="Arial" w:eastAsia="Arial" w:hAnsi="Arial"/>
                <w:sz w:val="13"/>
                <w:szCs w:val="13"/>
                <w:i w:val="1"/>
                <w:iCs w:val="1"/>
                <w:color w:val="auto"/>
              </w:rPr>
              <w:t>(In thousands)</w:t>
            </w: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0" w:type="dxa"/>
            <w:vAlign w:val="bottom"/>
            <w:gridSpan w:val="3"/>
          </w:tcPr>
          <w:p>
            <w:pPr>
              <w:jc w:val="center"/>
              <w:ind w:right="194"/>
              <w:spacing w:after="0"/>
              <w:rPr>
                <w:sz w:val="20"/>
                <w:szCs w:val="20"/>
                <w:color w:val="auto"/>
              </w:rPr>
            </w:pPr>
            <w:r>
              <w:rPr>
                <w:rFonts w:ascii="Arial" w:cs="Arial" w:eastAsia="Arial" w:hAnsi="Arial"/>
                <w:sz w:val="13"/>
                <w:szCs w:val="13"/>
                <w:color w:val="auto"/>
              </w:rPr>
              <w:t>For the three months ended</w:t>
            </w:r>
          </w:p>
        </w:tc>
        <w:tc>
          <w:tcPr>
            <w:tcW w:w="160" w:type="dxa"/>
            <w:vAlign w:val="bottom"/>
          </w:tcPr>
          <w:p>
            <w:pPr>
              <w:spacing w:after="0"/>
              <w:rPr>
                <w:sz w:val="15"/>
                <w:szCs w:val="15"/>
                <w:color w:val="auto"/>
              </w:rPr>
            </w:pPr>
          </w:p>
        </w:tc>
        <w:tc>
          <w:tcPr>
            <w:tcW w:w="2020" w:type="dxa"/>
            <w:vAlign w:val="bottom"/>
            <w:gridSpan w:val="2"/>
          </w:tcPr>
          <w:p>
            <w:pPr>
              <w:jc w:val="center"/>
              <w:ind w:right="114"/>
              <w:spacing w:after="0"/>
              <w:rPr>
                <w:sz w:val="20"/>
                <w:szCs w:val="20"/>
                <w:color w:val="auto"/>
              </w:rPr>
            </w:pPr>
            <w:r>
              <w:rPr>
                <w:rFonts w:ascii="Arial" w:cs="Arial" w:eastAsia="Arial" w:hAnsi="Arial"/>
                <w:sz w:val="13"/>
                <w:szCs w:val="13"/>
                <w:color w:val="auto"/>
              </w:rPr>
              <w:t>For the six months ended</w:t>
            </w:r>
          </w:p>
        </w:tc>
      </w:tr>
      <w:tr>
        <w:trPr>
          <w:trHeight w:val="190"/>
        </w:trPr>
        <w:tc>
          <w:tcPr>
            <w:tcW w:w="2720" w:type="dxa"/>
            <w:vAlign w:val="bottom"/>
            <w:gridSpan w:val="3"/>
          </w:tcPr>
          <w:p>
            <w:pPr>
              <w:ind w:left="20"/>
              <w:spacing w:after="0"/>
              <w:rPr>
                <w:sz w:val="20"/>
                <w:szCs w:val="20"/>
                <w:color w:val="auto"/>
              </w:rPr>
            </w:pPr>
            <w:r>
              <w:rPr>
                <w:rFonts w:ascii="Arial" w:cs="Arial" w:eastAsia="Arial" w:hAnsi="Arial"/>
                <w:sz w:val="13"/>
                <w:szCs w:val="13"/>
                <w:color w:val="auto"/>
              </w:rPr>
              <w:t xml:space="preserve">Details about AOCI </w:t>
            </w:r>
            <w:r>
              <w:rPr>
                <w:rFonts w:ascii="Arial" w:cs="Arial" w:eastAsia="Arial" w:hAnsi="Arial"/>
                <w:sz w:val="16"/>
                <w:szCs w:val="16"/>
                <w:color w:val="auto"/>
                <w:vertAlign w:val="superscript"/>
              </w:rPr>
              <w:t>(1)</w:t>
            </w:r>
            <w:r>
              <w:rPr>
                <w:rFonts w:ascii="Arial" w:cs="Arial" w:eastAsia="Arial" w:hAnsi="Arial"/>
                <w:sz w:val="13"/>
                <w:szCs w:val="13"/>
                <w:color w:val="auto"/>
              </w:rPr>
              <w:t xml:space="preserve"> components</w:t>
            </w:r>
          </w:p>
        </w:tc>
        <w:tc>
          <w:tcPr>
            <w:tcW w:w="3180" w:type="dxa"/>
            <w:vAlign w:val="bottom"/>
          </w:tcPr>
          <w:p>
            <w:pPr>
              <w:ind w:left="340"/>
              <w:spacing w:after="0"/>
              <w:rPr>
                <w:sz w:val="20"/>
                <w:szCs w:val="20"/>
                <w:color w:val="auto"/>
              </w:rPr>
            </w:pPr>
            <w:r>
              <w:rPr>
                <w:rFonts w:ascii="Arial" w:cs="Arial" w:eastAsia="Arial" w:hAnsi="Arial"/>
                <w:sz w:val="13"/>
                <w:szCs w:val="13"/>
                <w:color w:val="auto"/>
              </w:rPr>
              <w:t>Affected Line Item in the Statement of Income</w:t>
            </w:r>
          </w:p>
        </w:tc>
        <w:tc>
          <w:tcPr>
            <w:tcW w:w="280" w:type="dxa"/>
            <w:vAlign w:val="bottom"/>
          </w:tcPr>
          <w:p>
            <w:pPr>
              <w:spacing w:after="0"/>
              <w:rPr>
                <w:sz w:val="16"/>
                <w:szCs w:val="16"/>
                <w:color w:val="auto"/>
              </w:rPr>
            </w:pPr>
          </w:p>
        </w:tc>
        <w:tc>
          <w:tcPr>
            <w:tcW w:w="1040" w:type="dxa"/>
            <w:vAlign w:val="bottom"/>
          </w:tcPr>
          <w:p>
            <w:pPr>
              <w:jc w:val="right"/>
              <w:ind w:right="114"/>
              <w:spacing w:after="0"/>
              <w:rPr>
                <w:sz w:val="20"/>
                <w:szCs w:val="20"/>
                <w:color w:val="auto"/>
              </w:rPr>
            </w:pPr>
            <w:r>
              <w:rPr>
                <w:rFonts w:ascii="Arial" w:cs="Arial" w:eastAsia="Arial" w:hAnsi="Arial"/>
                <w:sz w:val="13"/>
                <w:szCs w:val="13"/>
                <w:color w:val="auto"/>
              </w:rPr>
              <w:t>June 30, 2023</w:t>
            </w:r>
          </w:p>
        </w:tc>
        <w:tc>
          <w:tcPr>
            <w:tcW w:w="160" w:type="dxa"/>
            <w:vAlign w:val="bottom"/>
          </w:tcPr>
          <w:p>
            <w:pPr>
              <w:spacing w:after="0"/>
              <w:rPr>
                <w:sz w:val="16"/>
                <w:szCs w:val="16"/>
                <w:color w:val="auto"/>
              </w:rPr>
            </w:pPr>
          </w:p>
        </w:tc>
        <w:tc>
          <w:tcPr>
            <w:tcW w:w="1000" w:type="dxa"/>
            <w:vAlign w:val="bottom"/>
          </w:tcPr>
          <w:p>
            <w:pPr>
              <w:jc w:val="right"/>
              <w:ind w:right="94"/>
              <w:spacing w:after="0"/>
              <w:rPr>
                <w:sz w:val="20"/>
                <w:szCs w:val="20"/>
                <w:color w:val="auto"/>
              </w:rPr>
            </w:pPr>
            <w:r>
              <w:rPr>
                <w:rFonts w:ascii="Arial" w:cs="Arial" w:eastAsia="Arial" w:hAnsi="Arial"/>
                <w:sz w:val="13"/>
                <w:szCs w:val="13"/>
                <w:color w:val="auto"/>
                <w:w w:val="99"/>
              </w:rPr>
              <w:t>June 30, 2022</w:t>
            </w:r>
          </w:p>
        </w:tc>
        <w:tc>
          <w:tcPr>
            <w:tcW w:w="160" w:type="dxa"/>
            <w:vAlign w:val="bottom"/>
          </w:tcPr>
          <w:p>
            <w:pPr>
              <w:spacing w:after="0"/>
              <w:rPr>
                <w:sz w:val="16"/>
                <w:szCs w:val="16"/>
                <w:color w:val="auto"/>
              </w:rPr>
            </w:pPr>
          </w:p>
        </w:tc>
        <w:tc>
          <w:tcPr>
            <w:tcW w:w="1060" w:type="dxa"/>
            <w:vAlign w:val="bottom"/>
          </w:tcPr>
          <w:p>
            <w:pPr>
              <w:jc w:val="right"/>
              <w:ind w:right="154"/>
              <w:spacing w:after="0"/>
              <w:rPr>
                <w:sz w:val="20"/>
                <w:szCs w:val="20"/>
                <w:color w:val="auto"/>
              </w:rPr>
            </w:pPr>
            <w:r>
              <w:rPr>
                <w:rFonts w:ascii="Arial" w:cs="Arial" w:eastAsia="Arial" w:hAnsi="Arial"/>
                <w:sz w:val="13"/>
                <w:szCs w:val="13"/>
                <w:color w:val="auto"/>
                <w:w w:val="99"/>
              </w:rPr>
              <w:t>June 30, 2023</w:t>
            </w:r>
          </w:p>
        </w:tc>
        <w:tc>
          <w:tcPr>
            <w:tcW w:w="960" w:type="dxa"/>
            <w:vAlign w:val="bottom"/>
          </w:tcPr>
          <w:p>
            <w:pPr>
              <w:jc w:val="right"/>
              <w:ind w:right="34"/>
              <w:spacing w:after="0"/>
              <w:rPr>
                <w:sz w:val="20"/>
                <w:szCs w:val="20"/>
                <w:color w:val="auto"/>
              </w:rPr>
            </w:pPr>
            <w:r>
              <w:rPr>
                <w:rFonts w:ascii="Arial" w:cs="Arial" w:eastAsia="Arial" w:hAnsi="Arial"/>
                <w:sz w:val="13"/>
                <w:szCs w:val="13"/>
                <w:color w:val="auto"/>
              </w:rPr>
              <w:t>June 30, 2022</w:t>
            </w:r>
          </w:p>
        </w:tc>
      </w:tr>
      <w:tr>
        <w:trPr>
          <w:trHeight w:val="144"/>
        </w:trPr>
        <w:tc>
          <w:tcPr>
            <w:tcW w:w="2720" w:type="dxa"/>
            <w:vAlign w:val="bottom"/>
            <w:tcBorders>
              <w:left w:val="single" w:sz="8" w:color="CFF0FC"/>
            </w:tcBorders>
            <w:gridSpan w:val="3"/>
            <w:shd w:val="clear" w:color="auto" w:fill="CFF0FC"/>
          </w:tcPr>
          <w:p>
            <w:pPr>
              <w:ind w:left="20"/>
              <w:spacing w:after="0" w:line="144" w:lineRule="exact"/>
              <w:rPr>
                <w:sz w:val="20"/>
                <w:szCs w:val="20"/>
                <w:color w:val="auto"/>
              </w:rPr>
            </w:pPr>
            <w:r>
              <w:rPr>
                <w:rFonts w:ascii="Arial" w:cs="Arial" w:eastAsia="Arial" w:hAnsi="Arial"/>
                <w:sz w:val="13"/>
                <w:szCs w:val="13"/>
                <w:color w:val="auto"/>
              </w:rPr>
              <w:t>Retirement plan items</w:t>
            </w:r>
          </w:p>
        </w:tc>
        <w:tc>
          <w:tcPr>
            <w:tcW w:w="3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r>
      <w:tr>
        <w:trPr>
          <w:trHeight w:val="36"/>
        </w:trPr>
        <w:tc>
          <w:tcPr>
            <w:tcW w:w="1300" w:type="dxa"/>
            <w:vAlign w:val="bottom"/>
            <w:tcBorders>
              <w:left w:val="single" w:sz="8" w:color="CFF0FC"/>
            </w:tcBorders>
            <w:shd w:val="clear" w:color="auto" w:fill="000000"/>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1100" w:type="dxa"/>
            <w:vAlign w:val="bottom"/>
            <w:shd w:val="clear" w:color="auto" w:fill="CFF0FC"/>
          </w:tcPr>
          <w:p>
            <w:pPr>
              <w:spacing w:after="0"/>
              <w:rPr>
                <w:sz w:val="3"/>
                <w:szCs w:val="3"/>
                <w:color w:val="auto"/>
              </w:rPr>
            </w:pPr>
          </w:p>
        </w:tc>
        <w:tc>
          <w:tcPr>
            <w:tcW w:w="318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r>
      <w:tr>
        <w:trPr>
          <w:trHeight w:val="146"/>
        </w:trPr>
        <w:tc>
          <w:tcPr>
            <w:tcW w:w="2720" w:type="dxa"/>
            <w:vAlign w:val="bottom"/>
            <w:gridSpan w:val="3"/>
          </w:tcPr>
          <w:p>
            <w:pPr>
              <w:ind w:left="60"/>
              <w:spacing w:after="0" w:line="146" w:lineRule="exact"/>
              <w:rPr>
                <w:sz w:val="20"/>
                <w:szCs w:val="20"/>
                <w:color w:val="auto"/>
              </w:rPr>
            </w:pPr>
            <w:r>
              <w:rPr>
                <w:rFonts w:ascii="Arial" w:cs="Arial" w:eastAsia="Arial" w:hAnsi="Arial"/>
                <w:sz w:val="13"/>
                <w:szCs w:val="13"/>
                <w:color w:val="auto"/>
              </w:rPr>
              <w:t>Retirement plan net losses</w:t>
            </w:r>
          </w:p>
        </w:tc>
        <w:tc>
          <w:tcPr>
            <w:tcW w:w="3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90"/>
        </w:trPr>
        <w:tc>
          <w:tcPr>
            <w:tcW w:w="2720" w:type="dxa"/>
            <w:vAlign w:val="bottom"/>
            <w:gridSpan w:val="3"/>
          </w:tcPr>
          <w:p>
            <w:pPr>
              <w:ind w:left="120"/>
              <w:spacing w:after="0"/>
              <w:rPr>
                <w:sz w:val="20"/>
                <w:szCs w:val="20"/>
                <w:color w:val="auto"/>
              </w:rPr>
            </w:pPr>
            <w:r>
              <w:rPr>
                <w:rFonts w:ascii="Arial" w:cs="Arial" w:eastAsia="Arial" w:hAnsi="Arial"/>
                <w:sz w:val="13"/>
                <w:szCs w:val="13"/>
                <w:color w:val="auto"/>
              </w:rPr>
              <w:t xml:space="preserve">recognized in plan expenses </w:t>
            </w:r>
            <w:r>
              <w:rPr>
                <w:rFonts w:ascii="Arial" w:cs="Arial" w:eastAsia="Arial" w:hAnsi="Arial"/>
                <w:sz w:val="16"/>
                <w:szCs w:val="16"/>
                <w:color w:val="auto"/>
                <w:vertAlign w:val="superscript"/>
              </w:rPr>
              <w:t>(2)</w:t>
            </w:r>
          </w:p>
        </w:tc>
        <w:tc>
          <w:tcPr>
            <w:tcW w:w="3180" w:type="dxa"/>
            <w:vAlign w:val="bottom"/>
          </w:tcPr>
          <w:p>
            <w:pPr>
              <w:ind w:left="380"/>
              <w:spacing w:after="0"/>
              <w:rPr>
                <w:sz w:val="20"/>
                <w:szCs w:val="20"/>
                <w:color w:val="auto"/>
              </w:rPr>
            </w:pPr>
            <w:r>
              <w:rPr>
                <w:rFonts w:ascii="Arial" w:cs="Arial" w:eastAsia="Arial" w:hAnsi="Arial"/>
                <w:sz w:val="13"/>
                <w:szCs w:val="13"/>
                <w:color w:val="auto"/>
              </w:rPr>
              <w:t>Salaries and employee benefits</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4"/>
              <w:spacing w:after="0"/>
              <w:rPr>
                <w:sz w:val="20"/>
                <w:szCs w:val="20"/>
                <w:color w:val="auto"/>
              </w:rPr>
            </w:pPr>
            <w:r>
              <w:rPr>
                <w:rFonts w:ascii="Arial" w:cs="Arial" w:eastAsia="Arial" w:hAnsi="Arial"/>
                <w:sz w:val="13"/>
                <w:szCs w:val="13"/>
                <w:color w:val="auto"/>
              </w:rPr>
              <w:t>(56 )</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4"/>
              <w:spacing w:after="0"/>
              <w:rPr>
                <w:sz w:val="20"/>
                <w:szCs w:val="20"/>
                <w:color w:val="auto"/>
              </w:rPr>
            </w:pPr>
            <w:r>
              <w:rPr>
                <w:rFonts w:ascii="Arial" w:cs="Arial" w:eastAsia="Arial" w:hAnsi="Arial"/>
                <w:sz w:val="13"/>
                <w:szCs w:val="13"/>
                <w:color w:val="auto"/>
              </w:rPr>
              <w:t>(1 )</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(111 ) $</w:t>
            </w:r>
          </w:p>
        </w:tc>
        <w:tc>
          <w:tcPr>
            <w:tcW w:w="960" w:type="dxa"/>
            <w:vAlign w:val="bottom"/>
          </w:tcPr>
          <w:p>
            <w:pPr>
              <w:jc w:val="right"/>
              <w:spacing w:after="0"/>
              <w:rPr>
                <w:sz w:val="20"/>
                <w:szCs w:val="20"/>
                <w:color w:val="auto"/>
              </w:rPr>
            </w:pPr>
            <w:r>
              <w:rPr>
                <w:rFonts w:ascii="Arial" w:cs="Arial" w:eastAsia="Arial" w:hAnsi="Arial"/>
                <w:sz w:val="13"/>
                <w:szCs w:val="13"/>
                <w:color w:val="auto"/>
              </w:rPr>
              <w:t>(1 )</w:t>
            </w:r>
          </w:p>
        </w:tc>
      </w:tr>
      <w:tr>
        <w:trPr>
          <w:trHeight w:val="180"/>
        </w:trPr>
        <w:tc>
          <w:tcPr>
            <w:tcW w:w="272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color w:val="auto"/>
              </w:rPr>
              <w:t>Tax effect</w:t>
            </w:r>
          </w:p>
        </w:tc>
        <w:tc>
          <w:tcPr>
            <w:tcW w:w="3180" w:type="dxa"/>
            <w:vAlign w:val="bottom"/>
            <w:shd w:val="clear" w:color="auto" w:fill="CFF0FC"/>
          </w:tcPr>
          <w:p>
            <w:pPr>
              <w:ind w:left="380"/>
              <w:spacing w:after="0"/>
              <w:rPr>
                <w:sz w:val="20"/>
                <w:szCs w:val="20"/>
                <w:color w:val="auto"/>
              </w:rPr>
            </w:pPr>
            <w:r>
              <w:rPr>
                <w:rFonts w:ascii="Arial" w:cs="Arial" w:eastAsia="Arial" w:hAnsi="Arial"/>
                <w:sz w:val="13"/>
                <w:szCs w:val="13"/>
                <w:color w:val="auto"/>
              </w:rPr>
              <w:t>Provision for income taxes</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15</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134"/>
              <w:spacing w:after="0"/>
              <w:rPr>
                <w:sz w:val="20"/>
                <w:szCs w:val="20"/>
                <w:color w:val="auto"/>
              </w:rPr>
            </w:pPr>
            <w:r>
              <w:rPr>
                <w:rFonts w:ascii="Arial" w:cs="Arial" w:eastAsia="Arial" w:hAnsi="Arial"/>
                <w:sz w:val="13"/>
                <w:szCs w:val="13"/>
                <w:color w:val="auto"/>
              </w:rPr>
              <w:t>29</w:t>
            </w: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w:t>
            </w:r>
          </w:p>
        </w:tc>
      </w:tr>
      <w:tr>
        <w:trPr>
          <w:trHeight w:val="175"/>
        </w:trPr>
        <w:tc>
          <w:tcPr>
            <w:tcW w:w="1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ind w:left="380"/>
              <w:spacing w:after="0"/>
              <w:rPr>
                <w:sz w:val="20"/>
                <w:szCs w:val="20"/>
                <w:color w:val="auto"/>
              </w:rPr>
            </w:pPr>
            <w:r>
              <w:rPr>
                <w:rFonts w:ascii="Arial" w:cs="Arial" w:eastAsia="Arial" w:hAnsi="Arial"/>
                <w:sz w:val="13"/>
                <w:szCs w:val="13"/>
                <w:color w:val="auto"/>
              </w:rPr>
              <w:t>Net (losses) income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(41 )</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(1 )</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(82 )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(1 )</w:t>
            </w: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1"/>
        </w:trPr>
        <w:tc>
          <w:tcPr>
            <w:tcW w:w="2720" w:type="dxa"/>
            <w:vAlign w:val="bottom"/>
            <w:tcBorders>
              <w:left w:val="single" w:sz="8" w:color="CFF0FC"/>
            </w:tcBorders>
            <w:gridSpan w:val="3"/>
            <w:shd w:val="clear" w:color="auto" w:fill="CFF0FC"/>
          </w:tcPr>
          <w:p>
            <w:pPr>
              <w:ind w:left="20"/>
              <w:spacing w:after="0" w:line="125" w:lineRule="exact"/>
              <w:rPr>
                <w:sz w:val="20"/>
                <w:szCs w:val="20"/>
                <w:color w:val="auto"/>
              </w:rPr>
            </w:pPr>
            <w:r>
              <w:rPr>
                <w:rFonts w:ascii="Arial" w:cs="Arial" w:eastAsia="Arial" w:hAnsi="Arial"/>
                <w:sz w:val="13"/>
                <w:szCs w:val="13"/>
                <w:color w:val="auto"/>
              </w:rPr>
              <w:t>Available-for-sale securities</w:t>
            </w:r>
          </w:p>
        </w:tc>
        <w:tc>
          <w:tcPr>
            <w:tcW w:w="3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r>
      <w:tr>
        <w:trPr>
          <w:trHeight w:val="161"/>
        </w:trPr>
        <w:tc>
          <w:tcPr>
            <w:tcW w:w="13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CFF0FC"/>
            </w:tcBorders>
          </w:tcPr>
          <w:p>
            <w:pPr>
              <w:spacing w:after="0"/>
              <w:rPr>
                <w:sz w:val="13"/>
                <w:szCs w:val="13"/>
                <w:color w:val="auto"/>
              </w:rPr>
            </w:pPr>
          </w:p>
        </w:tc>
        <w:tc>
          <w:tcPr>
            <w:tcW w:w="3180" w:type="dxa"/>
            <w:vAlign w:val="bottom"/>
            <w:tcBorders>
              <w:top w:val="single" w:sz="8" w:color="CFF0FC"/>
            </w:tcBorders>
          </w:tcPr>
          <w:p>
            <w:pPr>
              <w:ind w:left="380"/>
              <w:spacing w:after="0"/>
              <w:rPr>
                <w:sz w:val="20"/>
                <w:szCs w:val="20"/>
                <w:color w:val="auto"/>
              </w:rPr>
            </w:pPr>
            <w:r>
              <w:rPr>
                <w:rFonts w:ascii="Arial" w:cs="Arial" w:eastAsia="Arial" w:hAnsi="Arial"/>
                <w:sz w:val="13"/>
                <w:szCs w:val="13"/>
                <w:color w:val="auto"/>
              </w:rPr>
              <w:t>Net gains on sales and redemptions</w:t>
            </w:r>
          </w:p>
        </w:tc>
        <w:tc>
          <w:tcPr>
            <w:tcW w:w="280" w:type="dxa"/>
            <w:vAlign w:val="bottom"/>
            <w:tcBorders>
              <w:top w:val="single" w:sz="8" w:color="CFF0FC"/>
            </w:tcBorders>
          </w:tcPr>
          <w:p>
            <w:pPr>
              <w:spacing w:after="0"/>
              <w:rPr>
                <w:sz w:val="13"/>
                <w:szCs w:val="13"/>
                <w:color w:val="auto"/>
              </w:rPr>
            </w:pPr>
          </w:p>
        </w:tc>
        <w:tc>
          <w:tcPr>
            <w:tcW w:w="104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00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060" w:type="dxa"/>
            <w:vAlign w:val="bottom"/>
            <w:tcBorders>
              <w:top w:val="single" w:sz="8" w:color="CFF0FC"/>
            </w:tcBorders>
          </w:tcPr>
          <w:p>
            <w:pPr>
              <w:spacing w:after="0"/>
              <w:rPr>
                <w:sz w:val="13"/>
                <w:szCs w:val="13"/>
                <w:color w:val="auto"/>
              </w:rPr>
            </w:pPr>
          </w:p>
        </w:tc>
        <w:tc>
          <w:tcPr>
            <w:tcW w:w="960" w:type="dxa"/>
            <w:vAlign w:val="bottom"/>
            <w:tcBorders>
              <w:top w:val="single" w:sz="8" w:color="CFF0FC"/>
            </w:tcBorders>
          </w:tcPr>
          <w:p>
            <w:pPr>
              <w:spacing w:after="0"/>
              <w:rPr>
                <w:sz w:val="13"/>
                <w:szCs w:val="13"/>
                <w:color w:val="auto"/>
              </w:rPr>
            </w:pPr>
          </w:p>
        </w:tc>
      </w:tr>
      <w:tr>
        <w:trPr>
          <w:trHeight w:val="170"/>
        </w:trPr>
        <w:tc>
          <w:tcPr>
            <w:tcW w:w="2720" w:type="dxa"/>
            <w:vAlign w:val="bottom"/>
            <w:gridSpan w:val="3"/>
          </w:tcPr>
          <w:p>
            <w:pPr>
              <w:ind w:left="20"/>
              <w:spacing w:after="0"/>
              <w:rPr>
                <w:sz w:val="20"/>
                <w:szCs w:val="20"/>
                <w:color w:val="auto"/>
              </w:rPr>
            </w:pPr>
            <w:r>
              <w:rPr>
                <w:rFonts w:ascii="Arial" w:cs="Arial" w:eastAsia="Arial" w:hAnsi="Arial"/>
                <w:sz w:val="13"/>
                <w:szCs w:val="13"/>
                <w:color w:val="auto"/>
              </w:rPr>
              <w:t>Realized gain (loss) on sale of securities</w:t>
            </w:r>
          </w:p>
        </w:tc>
        <w:tc>
          <w:tcPr>
            <w:tcW w:w="3180" w:type="dxa"/>
            <w:vAlign w:val="bottom"/>
          </w:tcPr>
          <w:p>
            <w:pPr>
              <w:ind w:left="440"/>
              <w:spacing w:after="0"/>
              <w:rPr>
                <w:sz w:val="20"/>
                <w:szCs w:val="20"/>
                <w:color w:val="auto"/>
              </w:rPr>
            </w:pPr>
            <w:r>
              <w:rPr>
                <w:rFonts w:ascii="Arial" w:cs="Arial" w:eastAsia="Arial" w:hAnsi="Arial"/>
                <w:sz w:val="13"/>
                <w:szCs w:val="13"/>
                <w:color w:val="auto"/>
              </w:rPr>
              <w:t>of investment securities</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4"/>
              <w:spacing w:after="0"/>
              <w:rPr>
                <w:sz w:val="20"/>
                <w:szCs w:val="20"/>
                <w:color w:val="auto"/>
              </w:rPr>
            </w:pPr>
            <w:r>
              <w:rPr>
                <w:rFonts w:ascii="Arial" w:cs="Arial" w:eastAsia="Arial" w:hAnsi="Arial"/>
                <w:sz w:val="13"/>
                <w:szCs w:val="13"/>
                <w:color w:val="auto"/>
              </w:rPr>
              <w:t>26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(1,933 ) $</w:t>
            </w:r>
          </w:p>
        </w:tc>
        <w:tc>
          <w:tcPr>
            <w:tcW w:w="960" w:type="dxa"/>
            <w:vAlign w:val="bottom"/>
          </w:tcPr>
          <w:p>
            <w:pPr>
              <w:jc w:val="right"/>
              <w:ind w:right="34"/>
              <w:spacing w:after="0"/>
              <w:rPr>
                <w:sz w:val="20"/>
                <w:szCs w:val="20"/>
                <w:color w:val="auto"/>
              </w:rPr>
            </w:pPr>
            <w:r>
              <w:rPr>
                <w:rFonts w:ascii="Arial" w:cs="Arial" w:eastAsia="Arial" w:hAnsi="Arial"/>
                <w:sz w:val="13"/>
                <w:szCs w:val="13"/>
                <w:color w:val="auto"/>
              </w:rPr>
              <w:t>25</w:t>
            </w:r>
          </w:p>
        </w:tc>
      </w:tr>
      <w:tr>
        <w:trPr>
          <w:trHeight w:val="185"/>
        </w:trPr>
        <w:tc>
          <w:tcPr>
            <w:tcW w:w="272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color w:val="auto"/>
              </w:rPr>
              <w:t>Tax effect</w:t>
            </w:r>
          </w:p>
        </w:tc>
        <w:tc>
          <w:tcPr>
            <w:tcW w:w="3180" w:type="dxa"/>
            <w:vAlign w:val="bottom"/>
            <w:shd w:val="clear" w:color="auto" w:fill="CFF0FC"/>
          </w:tcPr>
          <w:p>
            <w:pPr>
              <w:ind w:left="380"/>
              <w:spacing w:after="0"/>
              <w:rPr>
                <w:sz w:val="20"/>
                <w:szCs w:val="20"/>
                <w:color w:val="auto"/>
              </w:rPr>
            </w:pPr>
            <w:r>
              <w:rPr>
                <w:rFonts w:ascii="Arial" w:cs="Arial" w:eastAsia="Arial" w:hAnsi="Arial"/>
                <w:sz w:val="13"/>
                <w:szCs w:val="13"/>
                <w:color w:val="auto"/>
              </w:rPr>
              <w:t>Provision for income taxes</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(6 )</w:t>
            </w: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134"/>
              <w:spacing w:after="0"/>
              <w:rPr>
                <w:sz w:val="20"/>
                <w:szCs w:val="20"/>
                <w:color w:val="auto"/>
              </w:rPr>
            </w:pPr>
            <w:r>
              <w:rPr>
                <w:rFonts w:ascii="Arial" w:cs="Arial" w:eastAsia="Arial" w:hAnsi="Arial"/>
                <w:sz w:val="13"/>
                <w:szCs w:val="13"/>
                <w:color w:val="auto"/>
              </w:rPr>
              <w:t>505</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(6 )</w:t>
            </w:r>
          </w:p>
        </w:tc>
      </w:tr>
      <w:tr>
        <w:trPr>
          <w:trHeight w:val="175"/>
        </w:trPr>
        <w:tc>
          <w:tcPr>
            <w:tcW w:w="1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ind w:left="380"/>
              <w:spacing w:after="0"/>
              <w:rPr>
                <w:sz w:val="20"/>
                <w:szCs w:val="20"/>
                <w:color w:val="auto"/>
              </w:rPr>
            </w:pPr>
            <w:r>
              <w:rPr>
                <w:rFonts w:ascii="Arial" w:cs="Arial" w:eastAsia="Arial" w:hAnsi="Arial"/>
                <w:sz w:val="13"/>
                <w:szCs w:val="13"/>
                <w:color w:val="auto"/>
              </w:rPr>
              <w:t>Net (losses) income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3"/>
                <w:szCs w:val="13"/>
                <w:color w:val="auto"/>
              </w:rPr>
              <w:t>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(1,428 ) $</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19</w:t>
            </w: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(1)Amounts in parentheses indicates debits in net income.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(2)These items are included in net periodic pension cost.</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See Note 5 for additional information.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43</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01" w:right="680"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Note 13: Noninterest Income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included the following table regarding the Company’s noninterest income for the periods presented.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60" w:type="dxa"/>
            <w:vAlign w:val="bottom"/>
            <w:gridSpan w:val="3"/>
          </w:tcPr>
          <w:p>
            <w:pPr>
              <w:jc w:val="right"/>
              <w:ind w:right="582"/>
              <w:spacing w:after="0"/>
              <w:rPr>
                <w:sz w:val="20"/>
                <w:szCs w:val="20"/>
                <w:color w:val="auto"/>
              </w:rPr>
            </w:pPr>
            <w:r>
              <w:rPr>
                <w:rFonts w:ascii="Arial" w:cs="Arial" w:eastAsia="Arial" w:hAnsi="Arial"/>
                <w:sz w:val="16"/>
                <w:szCs w:val="16"/>
                <w:color w:val="auto"/>
              </w:rPr>
              <w:t>For the three months ended</w:t>
            </w:r>
          </w:p>
        </w:tc>
        <w:tc>
          <w:tcPr>
            <w:tcW w:w="280" w:type="dxa"/>
            <w:vAlign w:val="bottom"/>
          </w:tcPr>
          <w:p>
            <w:pPr>
              <w:spacing w:after="0"/>
              <w:rPr>
                <w:sz w:val="17"/>
                <w:szCs w:val="17"/>
                <w:color w:val="auto"/>
              </w:rPr>
            </w:pPr>
          </w:p>
        </w:tc>
        <w:tc>
          <w:tcPr>
            <w:tcW w:w="2740" w:type="dxa"/>
            <w:vAlign w:val="bottom"/>
            <w:gridSpan w:val="3"/>
          </w:tcPr>
          <w:p>
            <w:pPr>
              <w:jc w:val="right"/>
              <w:ind w:right="562"/>
              <w:spacing w:after="0"/>
              <w:rPr>
                <w:sz w:val="20"/>
                <w:szCs w:val="20"/>
                <w:color w:val="auto"/>
              </w:rPr>
            </w:pPr>
            <w:r>
              <w:rPr>
                <w:rFonts w:ascii="Arial" w:cs="Arial" w:eastAsia="Arial" w:hAnsi="Arial"/>
                <w:sz w:val="16"/>
                <w:szCs w:val="16"/>
                <w:color w:val="auto"/>
              </w:rPr>
              <w:t>For the six months ended</w:t>
            </w:r>
          </w:p>
        </w:tc>
      </w:tr>
      <w:tr>
        <w:trPr>
          <w:trHeight w:val="205"/>
        </w:trPr>
        <w:tc>
          <w:tcPr>
            <w:tcW w:w="42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June 30, 2023</w:t>
            </w:r>
          </w:p>
        </w:tc>
        <w:tc>
          <w:tcPr>
            <w:tcW w:w="30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June 30, 2022</w:t>
            </w:r>
          </w:p>
        </w:tc>
        <w:tc>
          <w:tcPr>
            <w:tcW w:w="280" w:type="dxa"/>
            <w:vAlign w:val="bottom"/>
          </w:tcPr>
          <w:p>
            <w:pPr>
              <w:spacing w:after="0"/>
              <w:rPr>
                <w:sz w:val="17"/>
                <w:szCs w:val="17"/>
                <w:color w:val="auto"/>
              </w:rPr>
            </w:pPr>
          </w:p>
        </w:tc>
        <w:tc>
          <w:tcPr>
            <w:tcW w:w="1260" w:type="dxa"/>
            <w:vAlign w:val="bottom"/>
          </w:tcPr>
          <w:p>
            <w:pPr>
              <w:jc w:val="right"/>
              <w:ind w:right="82"/>
              <w:spacing w:after="0"/>
              <w:rPr>
                <w:sz w:val="20"/>
                <w:szCs w:val="20"/>
                <w:color w:val="auto"/>
              </w:rPr>
            </w:pPr>
            <w:r>
              <w:rPr>
                <w:rFonts w:ascii="Arial" w:cs="Arial" w:eastAsia="Arial" w:hAnsi="Arial"/>
                <w:sz w:val="16"/>
                <w:szCs w:val="16"/>
                <w:color w:val="auto"/>
              </w:rPr>
              <w:t>June 30, 2023</w:t>
            </w:r>
          </w:p>
        </w:tc>
        <w:tc>
          <w:tcPr>
            <w:tcW w:w="300" w:type="dxa"/>
            <w:vAlign w:val="bottom"/>
          </w:tcPr>
          <w:p>
            <w:pPr>
              <w:spacing w:after="0"/>
              <w:rPr>
                <w:sz w:val="17"/>
                <w:szCs w:val="17"/>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June 30, 2022</w:t>
            </w:r>
          </w:p>
        </w:tc>
      </w:tr>
      <w:tr>
        <w:trPr>
          <w:trHeight w:val="205"/>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Service charges on deposit accounts</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03"/>
        </w:trPr>
        <w:tc>
          <w:tcPr>
            <w:tcW w:w="4280" w:type="dxa"/>
            <w:vAlign w:val="bottom"/>
          </w:tcPr>
          <w:p>
            <w:pPr>
              <w:ind w:left="100"/>
              <w:spacing w:after="0"/>
              <w:rPr>
                <w:sz w:val="20"/>
                <w:szCs w:val="20"/>
                <w:color w:val="auto"/>
              </w:rPr>
            </w:pPr>
            <w:r>
              <w:rPr>
                <w:rFonts w:ascii="Arial" w:cs="Arial" w:eastAsia="Arial" w:hAnsi="Arial"/>
                <w:sz w:val="16"/>
                <w:szCs w:val="16"/>
                <w:color w:val="auto"/>
              </w:rPr>
              <w:t>Insufficient funds fees</w:t>
            </w:r>
          </w:p>
        </w:tc>
        <w:tc>
          <w:tcPr>
            <w:tcW w:w="4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2"/>
              <w:spacing w:after="0"/>
              <w:rPr>
                <w:sz w:val="20"/>
                <w:szCs w:val="20"/>
                <w:color w:val="auto"/>
              </w:rPr>
            </w:pPr>
            <w:r>
              <w:rPr>
                <w:rFonts w:ascii="Arial" w:cs="Arial" w:eastAsia="Arial" w:hAnsi="Arial"/>
                <w:sz w:val="16"/>
                <w:szCs w:val="16"/>
                <w:color w:val="auto"/>
              </w:rPr>
              <w:t>163</w:t>
            </w:r>
          </w:p>
        </w:tc>
        <w:tc>
          <w:tcPr>
            <w:tcW w:w="3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134</w:t>
            </w:r>
          </w:p>
        </w:tc>
        <w:tc>
          <w:tcPr>
            <w:tcW w:w="2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02"/>
              <w:spacing w:after="0"/>
              <w:rPr>
                <w:sz w:val="20"/>
                <w:szCs w:val="20"/>
                <w:color w:val="auto"/>
              </w:rPr>
            </w:pPr>
            <w:r>
              <w:rPr>
                <w:rFonts w:ascii="Arial" w:cs="Arial" w:eastAsia="Arial" w:hAnsi="Arial"/>
                <w:sz w:val="16"/>
                <w:szCs w:val="16"/>
                <w:color w:val="auto"/>
              </w:rPr>
              <w:t>307</w:t>
            </w:r>
          </w:p>
        </w:tc>
        <w:tc>
          <w:tcPr>
            <w:tcW w:w="3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252</w:t>
            </w:r>
          </w:p>
        </w:tc>
      </w:tr>
      <w:tr>
        <w:trPr>
          <w:trHeight w:val="205"/>
        </w:trPr>
        <w:tc>
          <w:tcPr>
            <w:tcW w:w="42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Deposit related fees</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112</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110</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209</w:t>
            </w: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211</w:t>
            </w:r>
          </w:p>
        </w:tc>
      </w:tr>
      <w:tr>
        <w:trPr>
          <w:trHeight w:val="203"/>
        </w:trPr>
        <w:tc>
          <w:tcPr>
            <w:tcW w:w="4280" w:type="dxa"/>
            <w:vAlign w:val="bottom"/>
          </w:tcPr>
          <w:p>
            <w:pPr>
              <w:ind w:left="100"/>
              <w:spacing w:after="0"/>
              <w:rPr>
                <w:sz w:val="20"/>
                <w:szCs w:val="20"/>
                <w:color w:val="auto"/>
              </w:rPr>
            </w:pPr>
            <w:r>
              <w:rPr>
                <w:rFonts w:ascii="Arial" w:cs="Arial" w:eastAsia="Arial" w:hAnsi="Arial"/>
                <w:sz w:val="16"/>
                <w:szCs w:val="16"/>
                <w:color w:val="auto"/>
              </w:rPr>
              <w:t>ATM fees</w:t>
            </w:r>
          </w:p>
        </w:tc>
        <w:tc>
          <w:tcPr>
            <w:tcW w:w="40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28</w:t>
            </w:r>
          </w:p>
        </w:tc>
        <w:tc>
          <w:tcPr>
            <w:tcW w:w="30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39</w:t>
            </w:r>
          </w:p>
        </w:tc>
        <w:tc>
          <w:tcPr>
            <w:tcW w:w="280" w:type="dxa"/>
            <w:vAlign w:val="bottom"/>
          </w:tcPr>
          <w:p>
            <w:pPr>
              <w:spacing w:after="0"/>
              <w:rPr>
                <w:sz w:val="17"/>
                <w:szCs w:val="17"/>
                <w:color w:val="auto"/>
              </w:rPr>
            </w:pPr>
          </w:p>
        </w:tc>
        <w:tc>
          <w:tcPr>
            <w:tcW w:w="1260" w:type="dxa"/>
            <w:vAlign w:val="bottom"/>
          </w:tcPr>
          <w:p>
            <w:pPr>
              <w:jc w:val="right"/>
              <w:ind w:right="82"/>
              <w:spacing w:after="0"/>
              <w:rPr>
                <w:sz w:val="20"/>
                <w:szCs w:val="20"/>
                <w:color w:val="auto"/>
              </w:rPr>
            </w:pPr>
            <w:r>
              <w:rPr>
                <w:rFonts w:ascii="Arial" w:cs="Arial" w:eastAsia="Arial" w:hAnsi="Arial"/>
                <w:sz w:val="16"/>
                <w:szCs w:val="16"/>
                <w:color w:val="auto"/>
              </w:rPr>
              <w:t>54</w:t>
            </w:r>
          </w:p>
        </w:tc>
        <w:tc>
          <w:tcPr>
            <w:tcW w:w="300" w:type="dxa"/>
            <w:vAlign w:val="bottom"/>
          </w:tcPr>
          <w:p>
            <w:pPr>
              <w:spacing w:after="0"/>
              <w:rPr>
                <w:sz w:val="17"/>
                <w:szCs w:val="17"/>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79</w:t>
            </w:r>
          </w:p>
        </w:tc>
      </w:tr>
      <w:tr>
        <w:trPr>
          <w:trHeight w:val="205"/>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service charges on deposit accounts</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303</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283</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570</w:t>
            </w: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542</w:t>
            </w:r>
          </w:p>
        </w:tc>
      </w:tr>
      <w:tr>
        <w:trPr>
          <w:trHeight w:val="204"/>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Fee Income</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4"/>
        </w:trPr>
        <w:tc>
          <w:tcPr>
            <w:tcW w:w="42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Insurance agency revenue</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271</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292</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691</w:t>
            </w: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591</w:t>
            </w:r>
          </w:p>
        </w:tc>
      </w:tr>
      <w:tr>
        <w:trPr>
          <w:trHeight w:val="203"/>
        </w:trPr>
        <w:tc>
          <w:tcPr>
            <w:tcW w:w="4280" w:type="dxa"/>
            <w:vAlign w:val="bottom"/>
          </w:tcPr>
          <w:p>
            <w:pPr>
              <w:ind w:left="100"/>
              <w:spacing w:after="0"/>
              <w:rPr>
                <w:sz w:val="20"/>
                <w:szCs w:val="20"/>
                <w:color w:val="auto"/>
              </w:rPr>
            </w:pPr>
            <w:r>
              <w:rPr>
                <w:rFonts w:ascii="Arial" w:cs="Arial" w:eastAsia="Arial" w:hAnsi="Arial"/>
                <w:sz w:val="16"/>
                <w:szCs w:val="16"/>
                <w:color w:val="auto"/>
              </w:rPr>
              <w:t>Investment services revenue</w:t>
            </w:r>
          </w:p>
        </w:tc>
        <w:tc>
          <w:tcPr>
            <w:tcW w:w="40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97</w:t>
            </w:r>
          </w:p>
        </w:tc>
        <w:tc>
          <w:tcPr>
            <w:tcW w:w="30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128</w:t>
            </w:r>
          </w:p>
        </w:tc>
        <w:tc>
          <w:tcPr>
            <w:tcW w:w="280" w:type="dxa"/>
            <w:vAlign w:val="bottom"/>
          </w:tcPr>
          <w:p>
            <w:pPr>
              <w:spacing w:after="0"/>
              <w:rPr>
                <w:sz w:val="17"/>
                <w:szCs w:val="17"/>
                <w:color w:val="auto"/>
              </w:rPr>
            </w:pPr>
          </w:p>
        </w:tc>
        <w:tc>
          <w:tcPr>
            <w:tcW w:w="1260" w:type="dxa"/>
            <w:vAlign w:val="bottom"/>
          </w:tcPr>
          <w:p>
            <w:pPr>
              <w:jc w:val="right"/>
              <w:ind w:right="102"/>
              <w:spacing w:after="0"/>
              <w:rPr>
                <w:sz w:val="20"/>
                <w:szCs w:val="20"/>
                <w:color w:val="auto"/>
              </w:rPr>
            </w:pPr>
            <w:r>
              <w:rPr>
                <w:rFonts w:ascii="Arial" w:cs="Arial" w:eastAsia="Arial" w:hAnsi="Arial"/>
                <w:sz w:val="16"/>
                <w:szCs w:val="16"/>
                <w:color w:val="auto"/>
              </w:rPr>
              <w:t>232</w:t>
            </w:r>
          </w:p>
        </w:tc>
        <w:tc>
          <w:tcPr>
            <w:tcW w:w="300" w:type="dxa"/>
            <w:vAlign w:val="bottom"/>
          </w:tcPr>
          <w:p>
            <w:pPr>
              <w:spacing w:after="0"/>
              <w:rPr>
                <w:sz w:val="17"/>
                <w:szCs w:val="17"/>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225</w:t>
            </w:r>
          </w:p>
        </w:tc>
      </w:tr>
      <w:tr>
        <w:trPr>
          <w:trHeight w:val="205"/>
        </w:trPr>
        <w:tc>
          <w:tcPr>
            <w:tcW w:w="42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ATM fees surcharge</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59</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59</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107</w:t>
            </w: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107</w:t>
            </w:r>
          </w:p>
        </w:tc>
      </w:tr>
      <w:tr>
        <w:trPr>
          <w:trHeight w:val="203"/>
        </w:trPr>
        <w:tc>
          <w:tcPr>
            <w:tcW w:w="4280" w:type="dxa"/>
            <w:vAlign w:val="bottom"/>
          </w:tcPr>
          <w:p>
            <w:pPr>
              <w:ind w:left="100"/>
              <w:spacing w:after="0"/>
              <w:rPr>
                <w:sz w:val="20"/>
                <w:szCs w:val="20"/>
                <w:color w:val="auto"/>
              </w:rPr>
            </w:pPr>
            <w:r>
              <w:rPr>
                <w:rFonts w:ascii="Arial" w:cs="Arial" w:eastAsia="Arial" w:hAnsi="Arial"/>
                <w:sz w:val="16"/>
                <w:szCs w:val="16"/>
                <w:color w:val="auto"/>
              </w:rPr>
              <w:t>Banking house rents collected</w:t>
            </w:r>
          </w:p>
        </w:tc>
        <w:tc>
          <w:tcPr>
            <w:tcW w:w="40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48</w:t>
            </w:r>
          </w:p>
        </w:tc>
        <w:tc>
          <w:tcPr>
            <w:tcW w:w="30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46</w:t>
            </w:r>
          </w:p>
        </w:tc>
        <w:tc>
          <w:tcPr>
            <w:tcW w:w="280" w:type="dxa"/>
            <w:vAlign w:val="bottom"/>
          </w:tcPr>
          <w:p>
            <w:pPr>
              <w:spacing w:after="0"/>
              <w:rPr>
                <w:sz w:val="17"/>
                <w:szCs w:val="17"/>
                <w:color w:val="auto"/>
              </w:rPr>
            </w:pPr>
          </w:p>
        </w:tc>
        <w:tc>
          <w:tcPr>
            <w:tcW w:w="1260" w:type="dxa"/>
            <w:vAlign w:val="bottom"/>
          </w:tcPr>
          <w:p>
            <w:pPr>
              <w:jc w:val="right"/>
              <w:ind w:right="82"/>
              <w:spacing w:after="0"/>
              <w:rPr>
                <w:sz w:val="20"/>
                <w:szCs w:val="20"/>
                <w:color w:val="auto"/>
              </w:rPr>
            </w:pPr>
            <w:r>
              <w:rPr>
                <w:rFonts w:ascii="Arial" w:cs="Arial" w:eastAsia="Arial" w:hAnsi="Arial"/>
                <w:sz w:val="16"/>
                <w:szCs w:val="16"/>
                <w:color w:val="auto"/>
              </w:rPr>
              <w:t>96</w:t>
            </w:r>
          </w:p>
        </w:tc>
        <w:tc>
          <w:tcPr>
            <w:tcW w:w="300" w:type="dxa"/>
            <w:vAlign w:val="bottom"/>
          </w:tcPr>
          <w:p>
            <w:pPr>
              <w:spacing w:after="0"/>
              <w:rPr>
                <w:sz w:val="17"/>
                <w:szCs w:val="17"/>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102</w:t>
            </w:r>
          </w:p>
        </w:tc>
      </w:tr>
      <w:tr>
        <w:trPr>
          <w:trHeight w:val="205"/>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fee income</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475</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525</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1,126</w:t>
            </w: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1,025</w:t>
            </w:r>
          </w:p>
        </w:tc>
      </w:tr>
      <w:tr>
        <w:trPr>
          <w:trHeight w:val="204"/>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Card income</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4"/>
        </w:trPr>
        <w:tc>
          <w:tcPr>
            <w:tcW w:w="42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Debit card interchange fees</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112</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231</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433</w:t>
            </w: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459</w:t>
            </w:r>
          </w:p>
        </w:tc>
      </w:tr>
      <w:tr>
        <w:trPr>
          <w:trHeight w:val="203"/>
        </w:trPr>
        <w:tc>
          <w:tcPr>
            <w:tcW w:w="4280" w:type="dxa"/>
            <w:vAlign w:val="bottom"/>
          </w:tcPr>
          <w:p>
            <w:pPr>
              <w:ind w:left="100"/>
              <w:spacing w:after="0"/>
              <w:rPr>
                <w:sz w:val="20"/>
                <w:szCs w:val="20"/>
                <w:color w:val="auto"/>
              </w:rPr>
            </w:pPr>
            <w:r>
              <w:rPr>
                <w:rFonts w:ascii="Arial" w:cs="Arial" w:eastAsia="Arial" w:hAnsi="Arial"/>
                <w:sz w:val="16"/>
                <w:szCs w:val="16"/>
                <w:color w:val="auto"/>
              </w:rPr>
              <w:t>Merchant card fees</w:t>
            </w:r>
          </w:p>
        </w:tc>
        <w:tc>
          <w:tcPr>
            <w:tcW w:w="40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15</w:t>
            </w:r>
          </w:p>
        </w:tc>
        <w:tc>
          <w:tcPr>
            <w:tcW w:w="30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17"/>
                <w:szCs w:val="17"/>
                <w:color w:val="auto"/>
              </w:rPr>
            </w:pPr>
          </w:p>
        </w:tc>
        <w:tc>
          <w:tcPr>
            <w:tcW w:w="1260" w:type="dxa"/>
            <w:vAlign w:val="bottom"/>
          </w:tcPr>
          <w:p>
            <w:pPr>
              <w:jc w:val="right"/>
              <w:ind w:right="82"/>
              <w:spacing w:after="0"/>
              <w:rPr>
                <w:sz w:val="20"/>
                <w:szCs w:val="20"/>
                <w:color w:val="auto"/>
              </w:rPr>
            </w:pPr>
            <w:r>
              <w:rPr>
                <w:rFonts w:ascii="Arial" w:cs="Arial" w:eastAsia="Arial" w:hAnsi="Arial"/>
                <w:sz w:val="16"/>
                <w:szCs w:val="16"/>
                <w:color w:val="auto"/>
              </w:rPr>
              <w:t>27</w:t>
            </w:r>
          </w:p>
        </w:tc>
        <w:tc>
          <w:tcPr>
            <w:tcW w:w="300" w:type="dxa"/>
            <w:vAlign w:val="bottom"/>
          </w:tcPr>
          <w:p>
            <w:pPr>
              <w:spacing w:after="0"/>
              <w:rPr>
                <w:sz w:val="17"/>
                <w:szCs w:val="17"/>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33</w:t>
            </w:r>
          </w:p>
        </w:tc>
      </w:tr>
      <w:tr>
        <w:trPr>
          <w:trHeight w:val="205"/>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card income</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127</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249</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460</w:t>
            </w: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492</w:t>
            </w:r>
          </w:p>
        </w:tc>
      </w:tr>
      <w:tr>
        <w:trPr>
          <w:trHeight w:val="177"/>
        </w:trPr>
        <w:tc>
          <w:tcPr>
            <w:tcW w:w="4280" w:type="dxa"/>
            <w:vAlign w:val="bottom"/>
          </w:tcPr>
          <w:p>
            <w:pPr>
              <w:ind w:left="20"/>
              <w:spacing w:after="0" w:line="177" w:lineRule="exact"/>
              <w:rPr>
                <w:sz w:val="20"/>
                <w:szCs w:val="20"/>
                <w:color w:val="auto"/>
              </w:rPr>
            </w:pPr>
            <w:r>
              <w:rPr>
                <w:rFonts w:ascii="Arial" w:cs="Arial" w:eastAsia="Arial" w:hAnsi="Arial"/>
                <w:sz w:val="16"/>
                <w:szCs w:val="16"/>
                <w:b w:val="1"/>
                <w:bCs w:val="1"/>
                <w:color w:val="auto"/>
              </w:rPr>
              <w:t>Mortgage fee income and realized gain on sale of loans</w:t>
            </w: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7"/>
        </w:trPr>
        <w:tc>
          <w:tcPr>
            <w:tcW w:w="4280" w:type="dxa"/>
            <w:vAlign w:val="bottom"/>
          </w:tcPr>
          <w:p>
            <w:pPr>
              <w:ind w:left="100"/>
              <w:spacing w:after="0"/>
              <w:rPr>
                <w:sz w:val="20"/>
                <w:szCs w:val="20"/>
                <w:color w:val="auto"/>
              </w:rPr>
            </w:pPr>
            <w:r>
              <w:rPr>
                <w:rFonts w:ascii="Arial" w:cs="Arial" w:eastAsia="Arial" w:hAnsi="Arial"/>
                <w:sz w:val="16"/>
                <w:szCs w:val="16"/>
                <w:b w:val="1"/>
                <w:bCs w:val="1"/>
                <w:color w:val="auto"/>
              </w:rPr>
              <w:t>and foreclosed real estate</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4"/>
        </w:trPr>
        <w:tc>
          <w:tcPr>
            <w:tcW w:w="42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Loan servicing fees</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67</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69</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139</w:t>
            </w: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186</w:t>
            </w:r>
          </w:p>
        </w:tc>
      </w:tr>
      <w:tr>
        <w:trPr>
          <w:trHeight w:val="203"/>
        </w:trPr>
        <w:tc>
          <w:tcPr>
            <w:tcW w:w="4280" w:type="dxa"/>
            <w:vAlign w:val="bottom"/>
          </w:tcPr>
          <w:p>
            <w:pPr>
              <w:ind w:left="100"/>
              <w:spacing w:after="0"/>
              <w:rPr>
                <w:sz w:val="20"/>
                <w:szCs w:val="20"/>
                <w:color w:val="auto"/>
              </w:rPr>
            </w:pPr>
            <w:r>
              <w:rPr>
                <w:rFonts w:ascii="Arial" w:cs="Arial" w:eastAsia="Arial" w:hAnsi="Arial"/>
                <w:sz w:val="16"/>
                <w:szCs w:val="16"/>
                <w:color w:val="auto"/>
              </w:rPr>
              <w:t>Net gains on sales of loans and foreclosed real estate</w:t>
            </w:r>
          </w:p>
        </w:tc>
        <w:tc>
          <w:tcPr>
            <w:tcW w:w="400" w:type="dxa"/>
            <w:vAlign w:val="bottom"/>
          </w:tcPr>
          <w:p>
            <w:pPr>
              <w:spacing w:after="0"/>
              <w:rPr>
                <w:sz w:val="17"/>
                <w:szCs w:val="17"/>
                <w:color w:val="auto"/>
              </w:rPr>
            </w:pPr>
          </w:p>
        </w:tc>
        <w:tc>
          <w:tcPr>
            <w:tcW w:w="1280" w:type="dxa"/>
            <w:vAlign w:val="bottom"/>
          </w:tcPr>
          <w:p>
            <w:pPr>
              <w:jc w:val="right"/>
              <w:ind w:right="122"/>
              <w:spacing w:after="0"/>
              <w:rPr>
                <w:sz w:val="20"/>
                <w:szCs w:val="20"/>
                <w:color w:val="auto"/>
              </w:rPr>
            </w:pPr>
            <w:r>
              <w:rPr>
                <w:rFonts w:ascii="Arial" w:cs="Arial" w:eastAsia="Arial" w:hAnsi="Arial"/>
                <w:sz w:val="16"/>
                <w:szCs w:val="16"/>
                <w:color w:val="auto"/>
              </w:rPr>
              <w:t>117</w:t>
            </w:r>
          </w:p>
        </w:tc>
        <w:tc>
          <w:tcPr>
            <w:tcW w:w="30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7"/>
                <w:szCs w:val="17"/>
                <w:color w:val="auto"/>
              </w:rPr>
            </w:pPr>
          </w:p>
        </w:tc>
        <w:tc>
          <w:tcPr>
            <w:tcW w:w="1260" w:type="dxa"/>
            <w:vAlign w:val="bottom"/>
          </w:tcPr>
          <w:p>
            <w:pPr>
              <w:jc w:val="right"/>
              <w:ind w:right="102"/>
              <w:spacing w:after="0"/>
              <w:rPr>
                <w:sz w:val="20"/>
                <w:szCs w:val="20"/>
                <w:color w:val="auto"/>
              </w:rPr>
            </w:pPr>
            <w:r>
              <w:rPr>
                <w:rFonts w:ascii="Arial" w:cs="Arial" w:eastAsia="Arial" w:hAnsi="Arial"/>
                <w:sz w:val="16"/>
                <w:szCs w:val="16"/>
                <w:color w:val="auto"/>
              </w:rPr>
              <w:t>142</w:t>
            </w:r>
          </w:p>
        </w:tc>
        <w:tc>
          <w:tcPr>
            <w:tcW w:w="300" w:type="dxa"/>
            <w:vAlign w:val="bottom"/>
          </w:tcPr>
          <w:p>
            <w:pPr>
              <w:spacing w:after="0"/>
              <w:rPr>
                <w:sz w:val="17"/>
                <w:szCs w:val="17"/>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75</w:t>
            </w:r>
          </w:p>
        </w:tc>
      </w:tr>
      <w:tr>
        <w:trPr>
          <w:trHeight w:val="186"/>
        </w:trPr>
        <w:tc>
          <w:tcPr>
            <w:tcW w:w="4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mortgage fee income and realized gain on sale of</w:t>
            </w:r>
          </w:p>
        </w:tc>
        <w:tc>
          <w:tcPr>
            <w:tcW w:w="4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r>
      <w:tr>
        <w:trPr>
          <w:trHeight w:val="199"/>
        </w:trPr>
        <w:tc>
          <w:tcPr>
            <w:tcW w:w="42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loans and foreclosed real estate</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184</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81</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281</w:t>
            </w: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261</w:t>
            </w:r>
          </w:p>
        </w:tc>
      </w:tr>
      <w:tr>
        <w:trPr>
          <w:trHeight w:val="204"/>
        </w:trPr>
        <w:tc>
          <w:tcPr>
            <w:tcW w:w="4280" w:type="dxa"/>
            <w:vAlign w:val="bottom"/>
          </w:tcPr>
          <w:p>
            <w:pPr>
              <w:ind w:left="340"/>
              <w:spacing w:after="0"/>
              <w:rPr>
                <w:sz w:val="20"/>
                <w:szCs w:val="20"/>
                <w:color w:val="auto"/>
              </w:rPr>
            </w:pPr>
            <w:r>
              <w:rPr>
                <w:rFonts w:ascii="Arial" w:cs="Arial" w:eastAsia="Arial" w:hAnsi="Arial"/>
                <w:sz w:val="16"/>
                <w:szCs w:val="16"/>
                <w:b w:val="1"/>
                <w:bCs w:val="1"/>
                <w:color w:val="auto"/>
              </w:rPr>
              <w:t>Total</w:t>
            </w:r>
          </w:p>
        </w:tc>
        <w:tc>
          <w:tcPr>
            <w:tcW w:w="40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1,089</w:t>
            </w:r>
          </w:p>
        </w:tc>
        <w:tc>
          <w:tcPr>
            <w:tcW w:w="30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1,138</w:t>
            </w:r>
          </w:p>
        </w:tc>
        <w:tc>
          <w:tcPr>
            <w:tcW w:w="280" w:type="dxa"/>
            <w:vAlign w:val="bottom"/>
          </w:tcPr>
          <w:p>
            <w:pPr>
              <w:spacing w:after="0"/>
              <w:rPr>
                <w:sz w:val="17"/>
                <w:szCs w:val="17"/>
                <w:color w:val="auto"/>
              </w:rPr>
            </w:pPr>
          </w:p>
        </w:tc>
        <w:tc>
          <w:tcPr>
            <w:tcW w:w="1260" w:type="dxa"/>
            <w:vAlign w:val="bottom"/>
          </w:tcPr>
          <w:p>
            <w:pPr>
              <w:jc w:val="right"/>
              <w:ind w:right="82"/>
              <w:spacing w:after="0"/>
              <w:rPr>
                <w:sz w:val="20"/>
                <w:szCs w:val="20"/>
                <w:color w:val="auto"/>
              </w:rPr>
            </w:pPr>
            <w:r>
              <w:rPr>
                <w:rFonts w:ascii="Arial" w:cs="Arial" w:eastAsia="Arial" w:hAnsi="Arial"/>
                <w:sz w:val="16"/>
                <w:szCs w:val="16"/>
                <w:color w:val="auto"/>
              </w:rPr>
              <w:t>2,437</w:t>
            </w:r>
          </w:p>
        </w:tc>
        <w:tc>
          <w:tcPr>
            <w:tcW w:w="300" w:type="dxa"/>
            <w:vAlign w:val="bottom"/>
          </w:tcPr>
          <w:p>
            <w:pPr>
              <w:spacing w:after="0"/>
              <w:rPr>
                <w:sz w:val="17"/>
                <w:szCs w:val="17"/>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2,320</w:t>
            </w:r>
          </w:p>
        </w:tc>
      </w:tr>
      <w:tr>
        <w:trPr>
          <w:trHeight w:val="204"/>
        </w:trPr>
        <w:tc>
          <w:tcPr>
            <w:tcW w:w="4280" w:type="dxa"/>
            <w:vAlign w:val="bottom"/>
            <w:shd w:val="clear" w:color="auto" w:fill="CFF0FC"/>
          </w:tcPr>
          <w:p>
            <w:pPr>
              <w:ind w:left="100"/>
              <w:spacing w:after="0"/>
              <w:rPr>
                <w:sz w:val="20"/>
                <w:szCs w:val="20"/>
                <w:color w:val="auto"/>
              </w:rPr>
            </w:pPr>
            <w:r>
              <w:rPr>
                <w:rFonts w:ascii="Arial" w:cs="Arial" w:eastAsia="Arial" w:hAnsi="Arial"/>
                <w:sz w:val="16"/>
                <w:szCs w:val="16"/>
                <w:b w:val="1"/>
                <w:bCs w:val="1"/>
                <w:color w:val="auto"/>
              </w:rPr>
              <w:t>Earnings and gain on bank owned life insurance</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143</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123</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301</w:t>
            </w: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285</w:t>
            </w:r>
          </w:p>
        </w:tc>
      </w:tr>
      <w:tr>
        <w:trPr>
          <w:trHeight w:val="177"/>
        </w:trPr>
        <w:tc>
          <w:tcPr>
            <w:tcW w:w="4280" w:type="dxa"/>
            <w:vAlign w:val="bottom"/>
          </w:tcPr>
          <w:p>
            <w:pPr>
              <w:ind w:left="100"/>
              <w:spacing w:after="0" w:line="177" w:lineRule="exact"/>
              <w:rPr>
                <w:sz w:val="20"/>
                <w:szCs w:val="20"/>
                <w:color w:val="auto"/>
              </w:rPr>
            </w:pPr>
            <w:r>
              <w:rPr>
                <w:rFonts w:ascii="Arial" w:cs="Arial" w:eastAsia="Arial" w:hAnsi="Arial"/>
                <w:sz w:val="16"/>
                <w:szCs w:val="16"/>
                <w:b w:val="1"/>
                <w:bCs w:val="1"/>
                <w:color w:val="auto"/>
              </w:rPr>
              <w:t>Net gains on sale and redemption of investment</w:t>
            </w: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7"/>
        </w:trPr>
        <w:tc>
          <w:tcPr>
            <w:tcW w:w="4280" w:type="dxa"/>
            <w:vAlign w:val="bottom"/>
          </w:tcPr>
          <w:p>
            <w:pPr>
              <w:ind w:left="220"/>
              <w:spacing w:after="0"/>
              <w:rPr>
                <w:sz w:val="20"/>
                <w:szCs w:val="20"/>
                <w:color w:val="auto"/>
              </w:rPr>
            </w:pPr>
            <w:r>
              <w:rPr>
                <w:rFonts w:ascii="Arial" w:cs="Arial" w:eastAsia="Arial" w:hAnsi="Arial"/>
                <w:sz w:val="16"/>
                <w:szCs w:val="16"/>
                <w:b w:val="1"/>
                <w:bCs w:val="1"/>
                <w:color w:val="auto"/>
              </w:rPr>
              <w:t>securities</w:t>
            </w:r>
          </w:p>
        </w:tc>
        <w:tc>
          <w:tcPr>
            <w:tcW w:w="400" w:type="dxa"/>
            <w:vAlign w:val="bottom"/>
          </w:tcPr>
          <w:p>
            <w:pPr>
              <w:spacing w:after="0"/>
              <w:rPr>
                <w:sz w:val="18"/>
                <w:szCs w:val="18"/>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36</w:t>
            </w:r>
          </w:p>
        </w:tc>
        <w:tc>
          <w:tcPr>
            <w:tcW w:w="280" w:type="dxa"/>
            <w:vAlign w:val="bottom"/>
          </w:tcPr>
          <w:p>
            <w:pPr>
              <w:spacing w:after="0"/>
              <w:rPr>
                <w:sz w:val="18"/>
                <w:szCs w:val="18"/>
                <w:color w:val="auto"/>
              </w:rPr>
            </w:pPr>
          </w:p>
        </w:tc>
        <w:tc>
          <w:tcPr>
            <w:tcW w:w="1260" w:type="dxa"/>
            <w:vAlign w:val="bottom"/>
          </w:tcPr>
          <w:p>
            <w:pPr>
              <w:jc w:val="right"/>
              <w:ind w:right="82"/>
              <w:spacing w:after="0"/>
              <w:rPr>
                <w:sz w:val="20"/>
                <w:szCs w:val="20"/>
                <w:color w:val="auto"/>
              </w:rPr>
            </w:pPr>
            <w:r>
              <w:rPr>
                <w:rFonts w:ascii="Arial" w:cs="Arial" w:eastAsia="Arial" w:hAnsi="Arial"/>
                <w:sz w:val="16"/>
                <w:szCs w:val="16"/>
                <w:color w:val="auto"/>
              </w:rPr>
              <w:t>73</w:t>
            </w:r>
          </w:p>
        </w:tc>
        <w:tc>
          <w:tcPr>
            <w:tcW w:w="300" w:type="dxa"/>
            <w:vAlign w:val="bottom"/>
          </w:tcPr>
          <w:p>
            <w:pPr>
              <w:spacing w:after="0"/>
              <w:rPr>
                <w:sz w:val="18"/>
                <w:szCs w:val="18"/>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30</w:t>
            </w:r>
          </w:p>
        </w:tc>
      </w:tr>
      <w:tr>
        <w:trPr>
          <w:trHeight w:val="204"/>
        </w:trPr>
        <w:tc>
          <w:tcPr>
            <w:tcW w:w="4280" w:type="dxa"/>
            <w:vAlign w:val="bottom"/>
            <w:shd w:val="clear" w:color="auto" w:fill="CFF0FC"/>
          </w:tcPr>
          <w:p>
            <w:pPr>
              <w:ind w:left="100"/>
              <w:spacing w:after="0"/>
              <w:rPr>
                <w:sz w:val="20"/>
                <w:szCs w:val="20"/>
                <w:color w:val="auto"/>
              </w:rPr>
            </w:pPr>
            <w:r>
              <w:rPr>
                <w:rFonts w:ascii="Arial" w:cs="Arial" w:eastAsia="Arial" w:hAnsi="Arial"/>
                <w:sz w:val="16"/>
                <w:szCs w:val="16"/>
                <w:b w:val="1"/>
                <w:bCs w:val="1"/>
                <w:color w:val="auto"/>
              </w:rPr>
              <w:t>Gains (losses) on marketable equity securities</w:t>
            </w:r>
          </w:p>
        </w:tc>
        <w:tc>
          <w:tcPr>
            <w:tcW w:w="4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(169 )</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(29)</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(169 )</w:t>
            </w: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39</w:t>
            </w:r>
          </w:p>
        </w:tc>
      </w:tr>
      <w:tr>
        <w:trPr>
          <w:trHeight w:val="204"/>
        </w:trPr>
        <w:tc>
          <w:tcPr>
            <w:tcW w:w="4280" w:type="dxa"/>
            <w:vAlign w:val="bottom"/>
          </w:tcPr>
          <w:p>
            <w:pPr>
              <w:ind w:left="100"/>
              <w:spacing w:after="0"/>
              <w:rPr>
                <w:sz w:val="20"/>
                <w:szCs w:val="20"/>
                <w:color w:val="auto"/>
              </w:rPr>
            </w:pPr>
            <w:r>
              <w:rPr>
                <w:rFonts w:ascii="Arial" w:cs="Arial" w:eastAsia="Arial" w:hAnsi="Arial"/>
                <w:sz w:val="16"/>
                <w:szCs w:val="16"/>
                <w:b w:val="1"/>
                <w:bCs w:val="1"/>
                <w:color w:val="auto"/>
              </w:rPr>
              <w:t>Other miscellaneous income</w:t>
            </w:r>
          </w:p>
        </w:tc>
        <w:tc>
          <w:tcPr>
            <w:tcW w:w="40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24</w:t>
            </w:r>
          </w:p>
        </w:tc>
        <w:tc>
          <w:tcPr>
            <w:tcW w:w="30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28</w:t>
            </w:r>
          </w:p>
        </w:tc>
        <w:tc>
          <w:tcPr>
            <w:tcW w:w="280" w:type="dxa"/>
            <w:vAlign w:val="bottom"/>
          </w:tcPr>
          <w:p>
            <w:pPr>
              <w:spacing w:after="0"/>
              <w:rPr>
                <w:sz w:val="17"/>
                <w:szCs w:val="17"/>
                <w:color w:val="auto"/>
              </w:rPr>
            </w:pPr>
          </w:p>
        </w:tc>
        <w:tc>
          <w:tcPr>
            <w:tcW w:w="1260" w:type="dxa"/>
            <w:vAlign w:val="bottom"/>
          </w:tcPr>
          <w:p>
            <w:pPr>
              <w:jc w:val="right"/>
              <w:ind w:right="82"/>
              <w:spacing w:after="0"/>
              <w:rPr>
                <w:sz w:val="20"/>
                <w:szCs w:val="20"/>
                <w:color w:val="auto"/>
              </w:rPr>
            </w:pPr>
            <w:r>
              <w:rPr>
                <w:rFonts w:ascii="Arial" w:cs="Arial" w:eastAsia="Arial" w:hAnsi="Arial"/>
                <w:sz w:val="16"/>
                <w:szCs w:val="16"/>
                <w:color w:val="auto"/>
              </w:rPr>
              <w:t>37</w:t>
            </w:r>
          </w:p>
        </w:tc>
        <w:tc>
          <w:tcPr>
            <w:tcW w:w="300" w:type="dxa"/>
            <w:vAlign w:val="bottom"/>
          </w:tcPr>
          <w:p>
            <w:pPr>
              <w:spacing w:after="0"/>
              <w:rPr>
                <w:sz w:val="17"/>
                <w:szCs w:val="17"/>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225</w:t>
            </w:r>
          </w:p>
        </w:tc>
      </w:tr>
      <w:tr>
        <w:trPr>
          <w:trHeight w:val="244"/>
        </w:trPr>
        <w:tc>
          <w:tcPr>
            <w:tcW w:w="42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noninterest income</w:t>
            </w:r>
          </w:p>
        </w:tc>
        <w:tc>
          <w:tcPr>
            <w:tcW w:w="4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6"/>
                <w:szCs w:val="16"/>
                <w:color w:val="auto"/>
              </w:rPr>
              <w:t>1,087</w:t>
            </w:r>
          </w:p>
        </w:tc>
        <w:tc>
          <w:tcPr>
            <w:tcW w:w="30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6"/>
                <w:szCs w:val="16"/>
                <w:color w:val="auto"/>
              </w:rPr>
              <w:t>1,296</w:t>
            </w:r>
          </w:p>
        </w:tc>
        <w:tc>
          <w:tcPr>
            <w:tcW w:w="28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2,679</w:t>
            </w:r>
          </w:p>
        </w:tc>
        <w:tc>
          <w:tcPr>
            <w:tcW w:w="30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2,899</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key revenues within the scope of ASC 606 guidance:</w:t>
      </w:r>
    </w:p>
    <w:p>
      <w:pPr>
        <w:spacing w:after="0" w:line="21" w:lineRule="exact"/>
        <w:rPr>
          <w:sz w:val="20"/>
          <w:szCs w:val="20"/>
          <w:color w:val="auto"/>
        </w:rPr>
      </w:pPr>
    </w:p>
    <w:p>
      <w:pPr>
        <w:ind w:left="360" w:right="16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Service charges on deposit accounts –</w:t>
      </w:r>
      <w:r>
        <w:rPr>
          <w:rFonts w:ascii="Arial" w:cs="Arial" w:eastAsia="Arial" w:hAnsi="Arial"/>
          <w:sz w:val="18"/>
          <w:szCs w:val="18"/>
          <w:color w:val="auto"/>
        </w:rPr>
        <w:t xml:space="preserve"> Revenue is earned through insufficient funds fees, customer initiated activities or passage of time for deposit related fees, and ATM service fees. Transaction- based fees are recognized at the time the transaction is executed, which is the same time the Company’s performance obligation is satisfied. Account maintenance fees are earned over the course of the month as the monthly maintenance performance obligation to the customer is satisfied.</w:t>
      </w:r>
    </w:p>
    <w:p>
      <w:pPr>
        <w:spacing w:after="0" w:line="2" w:lineRule="exact"/>
        <w:rPr>
          <w:sz w:val="20"/>
          <w:szCs w:val="20"/>
          <w:color w:val="auto"/>
        </w:rPr>
      </w:pPr>
    </w:p>
    <w:p>
      <w:pPr>
        <w:ind w:left="360" w:right="22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Fee income –</w:t>
      </w:r>
      <w:r>
        <w:rPr>
          <w:rFonts w:ascii="Arial" w:cs="Arial" w:eastAsia="Arial" w:hAnsi="Arial"/>
          <w:sz w:val="18"/>
          <w:szCs w:val="18"/>
          <w:color w:val="auto"/>
        </w:rPr>
        <w:t xml:space="preserve"> Revenue is earned through commissions on insurance and securities sales, ATM surcharge fees, and banking house rents collected. The Company earns investment advisory fee income by providing investment management services to customers under investment management contracts. As the direction of investment management accounts is provided over time, the performance obligation to investment management customers is satisfied over time, and therefore, revenue is recognized over time.</w:t>
      </w:r>
    </w:p>
    <w:p>
      <w:pPr>
        <w:spacing w:after="0" w:line="2" w:lineRule="exact"/>
        <w:rPr>
          <w:sz w:val="20"/>
          <w:szCs w:val="20"/>
          <w:color w:val="auto"/>
        </w:rPr>
      </w:pPr>
    </w:p>
    <w:p>
      <w:pPr>
        <w:ind w:left="360" w:right="34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Card income –</w:t>
      </w:r>
      <w:r>
        <w:rPr>
          <w:rFonts w:ascii="Arial" w:cs="Arial" w:eastAsia="Arial" w:hAnsi="Arial"/>
          <w:sz w:val="18"/>
          <w:szCs w:val="18"/>
          <w:color w:val="auto"/>
        </w:rPr>
        <w:t xml:space="preserve"> Card income consists of interchange fees from consumer debit card networks and other related services. Interchange rates are set by the card networks. Interchange fees are based on purchase volumes and other factors and are recognized as transactions occur.</w:t>
      </w:r>
    </w:p>
    <w:p>
      <w:pPr>
        <w:spacing w:after="0" w:line="1" w:lineRule="exact"/>
        <w:rPr>
          <w:sz w:val="20"/>
          <w:szCs w:val="20"/>
          <w:color w:val="auto"/>
        </w:rPr>
      </w:pPr>
    </w:p>
    <w:p>
      <w:pPr>
        <w:ind w:left="360" w:right="200"/>
        <w:spacing w:after="0" w:line="2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Mortgage fee income and realized gain on sale of loans and foreclosed real estate</w:t>
      </w:r>
      <w:r>
        <w:rPr>
          <w:rFonts w:ascii="Arial" w:cs="Arial" w:eastAsia="Arial" w:hAnsi="Arial"/>
          <w:sz w:val="18"/>
          <w:szCs w:val="18"/>
          <w:color w:val="auto"/>
        </w:rPr>
        <w:t xml:space="preserve"> – Revenue from mortgage fee income and realized gain on sale of loans and foreclosed real estate is earned through the origination of residential and commercial mortgage loans, sales of one-to-four family residential mortgage loans, sales of government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44</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73" w:right="680" w:bottom="1440" w:gutter="0" w:footer="0" w:header="0"/>
        </w:sectPr>
      </w:pPr>
    </w:p>
    <w:bookmarkStart w:id="44" w:name="page45"/>
    <w:bookmarkEnd w:id="44"/>
    <w:p>
      <w:pPr>
        <w:ind w:left="360" w:right="140"/>
        <w:spacing w:after="0" w:line="275" w:lineRule="auto"/>
        <w:rPr>
          <w:sz w:val="20"/>
          <w:szCs w:val="20"/>
          <w:color w:val="auto"/>
        </w:rPr>
      </w:pPr>
      <w:r>
        <w:rPr>
          <w:rFonts w:ascii="Arial" w:cs="Arial" w:eastAsia="Arial" w:hAnsi="Arial"/>
          <w:sz w:val="18"/>
          <w:szCs w:val="18"/>
          <w:color w:val="auto"/>
        </w:rPr>
        <w:t>guarantees portions of Small Business Administration loans (“SBA loans”), and sales of foreclosed real estate, and is earned as the transaction occurs.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Leases</w:t>
      </w:r>
    </w:p>
    <w:p>
      <w:pPr>
        <w:spacing w:after="0" w:line="23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operating and finance leases for certain banking offices and land under noncancelable agreements. Our leases have remaining lease terms that vary from 2 years up to 29 years, some of which include options to extend the leases for various renewal periods. All options to renew are included in the current lease term when we believe it is reasonably certain that the renewal options will be exercised.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760" w:type="dxa"/>
            <w:vAlign w:val="bottom"/>
            <w:gridSpan w:val="3"/>
          </w:tcPr>
          <w:p>
            <w:pPr>
              <w:jc w:val="right"/>
              <w:ind w:right="502"/>
              <w:spacing w:after="0"/>
              <w:rPr>
                <w:sz w:val="20"/>
                <w:szCs w:val="20"/>
                <w:color w:val="auto"/>
              </w:rPr>
            </w:pPr>
            <w:r>
              <w:rPr>
                <w:rFonts w:ascii="Arial" w:cs="Arial" w:eastAsia="Arial" w:hAnsi="Arial"/>
                <w:sz w:val="16"/>
                <w:szCs w:val="16"/>
                <w:color w:val="auto"/>
              </w:rPr>
              <w:t>For the three months ended</w:t>
            </w:r>
          </w:p>
        </w:tc>
        <w:tc>
          <w:tcPr>
            <w:tcW w:w="320" w:type="dxa"/>
            <w:vAlign w:val="bottom"/>
          </w:tcPr>
          <w:p>
            <w:pPr>
              <w:spacing w:after="0"/>
              <w:rPr>
                <w:sz w:val="17"/>
                <w:szCs w:val="17"/>
                <w:color w:val="auto"/>
              </w:rPr>
            </w:pPr>
          </w:p>
        </w:tc>
        <w:tc>
          <w:tcPr>
            <w:tcW w:w="2660" w:type="dxa"/>
            <w:vAlign w:val="bottom"/>
            <w:gridSpan w:val="3"/>
          </w:tcPr>
          <w:p>
            <w:pPr>
              <w:jc w:val="right"/>
              <w:ind w:right="502"/>
              <w:spacing w:after="0"/>
              <w:rPr>
                <w:sz w:val="20"/>
                <w:szCs w:val="20"/>
                <w:color w:val="auto"/>
              </w:rPr>
            </w:pPr>
            <w:r>
              <w:rPr>
                <w:rFonts w:ascii="Arial" w:cs="Arial" w:eastAsia="Arial" w:hAnsi="Arial"/>
                <w:sz w:val="16"/>
                <w:szCs w:val="16"/>
                <w:color w:val="auto"/>
              </w:rPr>
              <w:t>For the six months ended</w:t>
            </w:r>
          </w:p>
        </w:tc>
      </w:tr>
      <w:tr>
        <w:trPr>
          <w:trHeight w:val="205"/>
        </w:trPr>
        <w:tc>
          <w:tcPr>
            <w:tcW w:w="3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760" w:type="dxa"/>
            <w:vAlign w:val="bottom"/>
          </w:tcPr>
          <w:p>
            <w:pPr>
              <w:spacing w:after="0"/>
              <w:rPr>
                <w:sz w:val="17"/>
                <w:szCs w:val="17"/>
                <w:color w:val="auto"/>
              </w:rPr>
            </w:pPr>
          </w:p>
        </w:tc>
        <w:tc>
          <w:tcPr>
            <w:tcW w:w="1220" w:type="dxa"/>
            <w:vAlign w:val="bottom"/>
          </w:tcPr>
          <w:p>
            <w:pPr>
              <w:jc w:val="right"/>
              <w:ind w:right="102"/>
              <w:spacing w:after="0"/>
              <w:rPr>
                <w:sz w:val="20"/>
                <w:szCs w:val="20"/>
                <w:color w:val="auto"/>
              </w:rPr>
            </w:pPr>
            <w:r>
              <w:rPr>
                <w:rFonts w:ascii="Arial" w:cs="Arial" w:eastAsia="Arial" w:hAnsi="Arial"/>
                <w:sz w:val="16"/>
                <w:szCs w:val="16"/>
                <w:color w:val="auto"/>
              </w:rPr>
              <w:t>June 30, 2023</w:t>
            </w:r>
          </w:p>
        </w:tc>
        <w:tc>
          <w:tcPr>
            <w:tcW w:w="320" w:type="dxa"/>
            <w:vAlign w:val="bottom"/>
          </w:tcPr>
          <w:p>
            <w:pPr>
              <w:spacing w:after="0"/>
              <w:rPr>
                <w:sz w:val="17"/>
                <w:szCs w:val="17"/>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June 30, 2022</w:t>
            </w:r>
          </w:p>
        </w:tc>
        <w:tc>
          <w:tcPr>
            <w:tcW w:w="320" w:type="dxa"/>
            <w:vAlign w:val="bottom"/>
          </w:tcPr>
          <w:p>
            <w:pPr>
              <w:spacing w:after="0"/>
              <w:rPr>
                <w:sz w:val="17"/>
                <w:szCs w:val="17"/>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June 30, 2023</w:t>
            </w:r>
          </w:p>
        </w:tc>
        <w:tc>
          <w:tcPr>
            <w:tcW w:w="300" w:type="dxa"/>
            <w:vAlign w:val="bottom"/>
          </w:tcPr>
          <w:p>
            <w:pPr>
              <w:spacing w:after="0"/>
              <w:rPr>
                <w:sz w:val="17"/>
                <w:szCs w:val="17"/>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June 30, 2022</w:t>
            </w:r>
          </w:p>
        </w:tc>
      </w:tr>
      <w:tr>
        <w:trPr>
          <w:trHeight w:val="205"/>
        </w:trPr>
        <w:tc>
          <w:tcPr>
            <w:tcW w:w="3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cost</w:t>
            </w:r>
          </w:p>
        </w:tc>
        <w:tc>
          <w:tcPr>
            <w:tcW w:w="176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59</w:t>
            </w:r>
          </w:p>
        </w:tc>
        <w:tc>
          <w:tcPr>
            <w:tcW w:w="32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57</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118</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113</w:t>
            </w:r>
          </w:p>
        </w:tc>
      </w:tr>
      <w:tr>
        <w:trPr>
          <w:trHeight w:val="202"/>
        </w:trPr>
        <w:tc>
          <w:tcPr>
            <w:tcW w:w="3060" w:type="dxa"/>
            <w:vAlign w:val="bottom"/>
          </w:tcPr>
          <w:p>
            <w:pPr>
              <w:ind w:left="20"/>
              <w:spacing w:after="0"/>
              <w:rPr>
                <w:sz w:val="20"/>
                <w:szCs w:val="20"/>
                <w:color w:val="auto"/>
              </w:rPr>
            </w:pPr>
            <w:r>
              <w:rPr>
                <w:rFonts w:ascii="Arial" w:cs="Arial" w:eastAsia="Arial" w:hAnsi="Arial"/>
                <w:sz w:val="16"/>
                <w:szCs w:val="16"/>
                <w:color w:val="auto"/>
              </w:rPr>
              <w:t>Finance lease cost</w:t>
            </w:r>
          </w:p>
        </w:tc>
        <w:tc>
          <w:tcPr>
            <w:tcW w:w="1760" w:type="dxa"/>
            <w:vAlign w:val="bottom"/>
          </w:tcPr>
          <w:p>
            <w:pPr>
              <w:spacing w:after="0"/>
              <w:rPr>
                <w:sz w:val="17"/>
                <w:szCs w:val="17"/>
                <w:color w:val="auto"/>
              </w:rPr>
            </w:pPr>
          </w:p>
        </w:tc>
        <w:tc>
          <w:tcPr>
            <w:tcW w:w="1220" w:type="dxa"/>
            <w:vAlign w:val="bottom"/>
          </w:tcPr>
          <w:p>
            <w:pPr>
              <w:jc w:val="right"/>
              <w:ind w:right="102"/>
              <w:spacing w:after="0"/>
              <w:rPr>
                <w:sz w:val="20"/>
                <w:szCs w:val="20"/>
                <w:color w:val="auto"/>
              </w:rPr>
            </w:pPr>
            <w:r>
              <w:rPr>
                <w:rFonts w:ascii="Arial" w:cs="Arial" w:eastAsia="Arial" w:hAnsi="Arial"/>
                <w:sz w:val="16"/>
                <w:szCs w:val="16"/>
                <w:color w:val="auto"/>
              </w:rPr>
              <w:t>56</w:t>
            </w:r>
          </w:p>
        </w:tc>
        <w:tc>
          <w:tcPr>
            <w:tcW w:w="320" w:type="dxa"/>
            <w:vAlign w:val="bottom"/>
          </w:tcPr>
          <w:p>
            <w:pPr>
              <w:spacing w:after="0"/>
              <w:rPr>
                <w:sz w:val="17"/>
                <w:szCs w:val="17"/>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21</w:t>
            </w:r>
          </w:p>
        </w:tc>
        <w:tc>
          <w:tcPr>
            <w:tcW w:w="320" w:type="dxa"/>
            <w:vAlign w:val="bottom"/>
          </w:tcPr>
          <w:p>
            <w:pPr>
              <w:spacing w:after="0"/>
              <w:rPr>
                <w:sz w:val="17"/>
                <w:szCs w:val="17"/>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111</w:t>
            </w:r>
          </w:p>
        </w:tc>
        <w:tc>
          <w:tcPr>
            <w:tcW w:w="300" w:type="dxa"/>
            <w:vAlign w:val="bottom"/>
          </w:tcPr>
          <w:p>
            <w:pPr>
              <w:spacing w:after="0"/>
              <w:rPr>
                <w:sz w:val="17"/>
                <w:szCs w:val="17"/>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41</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760" w:type="dxa"/>
            <w:vAlign w:val="bottom"/>
            <w:gridSpan w:val="3"/>
          </w:tcPr>
          <w:p>
            <w:pPr>
              <w:jc w:val="right"/>
              <w:ind w:right="502"/>
              <w:spacing w:after="0"/>
              <w:rPr>
                <w:sz w:val="20"/>
                <w:szCs w:val="20"/>
                <w:color w:val="auto"/>
              </w:rPr>
            </w:pPr>
            <w:r>
              <w:rPr>
                <w:rFonts w:ascii="Arial" w:cs="Arial" w:eastAsia="Arial" w:hAnsi="Arial"/>
                <w:sz w:val="16"/>
                <w:szCs w:val="16"/>
                <w:color w:val="auto"/>
              </w:rPr>
              <w:t>For the three months ended</w:t>
            </w:r>
          </w:p>
        </w:tc>
        <w:tc>
          <w:tcPr>
            <w:tcW w:w="320" w:type="dxa"/>
            <w:vAlign w:val="bottom"/>
          </w:tcPr>
          <w:p>
            <w:pPr>
              <w:spacing w:after="0"/>
              <w:rPr>
                <w:sz w:val="17"/>
                <w:szCs w:val="17"/>
                <w:color w:val="auto"/>
              </w:rPr>
            </w:pPr>
          </w:p>
        </w:tc>
        <w:tc>
          <w:tcPr>
            <w:tcW w:w="2660" w:type="dxa"/>
            <w:vAlign w:val="bottom"/>
            <w:gridSpan w:val="3"/>
          </w:tcPr>
          <w:p>
            <w:pPr>
              <w:jc w:val="right"/>
              <w:ind w:right="502"/>
              <w:spacing w:after="0"/>
              <w:rPr>
                <w:sz w:val="20"/>
                <w:szCs w:val="20"/>
                <w:color w:val="auto"/>
              </w:rPr>
            </w:pPr>
            <w:r>
              <w:rPr>
                <w:rFonts w:ascii="Arial" w:cs="Arial" w:eastAsia="Arial" w:hAnsi="Arial"/>
                <w:sz w:val="16"/>
                <w:szCs w:val="16"/>
                <w:color w:val="auto"/>
              </w:rPr>
              <w:t>For the six months ended</w:t>
            </w:r>
          </w:p>
        </w:tc>
      </w:tr>
      <w:tr>
        <w:trPr>
          <w:trHeight w:val="205"/>
        </w:trPr>
        <w:tc>
          <w:tcPr>
            <w:tcW w:w="39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880" w:type="dxa"/>
            <w:vAlign w:val="bottom"/>
          </w:tcPr>
          <w:p>
            <w:pPr>
              <w:spacing w:after="0"/>
              <w:rPr>
                <w:sz w:val="17"/>
                <w:szCs w:val="17"/>
                <w:color w:val="auto"/>
              </w:rPr>
            </w:pPr>
          </w:p>
        </w:tc>
        <w:tc>
          <w:tcPr>
            <w:tcW w:w="1220" w:type="dxa"/>
            <w:vAlign w:val="bottom"/>
          </w:tcPr>
          <w:p>
            <w:pPr>
              <w:jc w:val="right"/>
              <w:ind w:right="102"/>
              <w:spacing w:after="0"/>
              <w:rPr>
                <w:sz w:val="20"/>
                <w:szCs w:val="20"/>
                <w:color w:val="auto"/>
              </w:rPr>
            </w:pPr>
            <w:r>
              <w:rPr>
                <w:rFonts w:ascii="Arial" w:cs="Arial" w:eastAsia="Arial" w:hAnsi="Arial"/>
                <w:sz w:val="16"/>
                <w:szCs w:val="16"/>
                <w:color w:val="auto"/>
              </w:rPr>
              <w:t>June 30, 2023</w:t>
            </w:r>
          </w:p>
        </w:tc>
        <w:tc>
          <w:tcPr>
            <w:tcW w:w="320" w:type="dxa"/>
            <w:vAlign w:val="bottom"/>
          </w:tcPr>
          <w:p>
            <w:pPr>
              <w:spacing w:after="0"/>
              <w:rPr>
                <w:sz w:val="17"/>
                <w:szCs w:val="17"/>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June 30, 2022</w:t>
            </w:r>
          </w:p>
        </w:tc>
        <w:tc>
          <w:tcPr>
            <w:tcW w:w="320" w:type="dxa"/>
            <w:vAlign w:val="bottom"/>
          </w:tcPr>
          <w:p>
            <w:pPr>
              <w:spacing w:after="0"/>
              <w:rPr>
                <w:sz w:val="17"/>
                <w:szCs w:val="17"/>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June 30, 2023</w:t>
            </w:r>
          </w:p>
        </w:tc>
        <w:tc>
          <w:tcPr>
            <w:tcW w:w="300" w:type="dxa"/>
            <w:vAlign w:val="bottom"/>
          </w:tcPr>
          <w:p>
            <w:pPr>
              <w:spacing w:after="0"/>
              <w:rPr>
                <w:sz w:val="17"/>
                <w:szCs w:val="17"/>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June 30, 2022</w:t>
            </w:r>
          </w:p>
        </w:tc>
      </w:tr>
      <w:tr>
        <w:trPr>
          <w:trHeight w:val="205"/>
        </w:trPr>
        <w:tc>
          <w:tcPr>
            <w:tcW w:w="6040" w:type="dxa"/>
            <w:vAlign w:val="bottom"/>
            <w:gridSpan w:val="3"/>
            <w:shd w:val="clear" w:color="auto" w:fill="CFF0FC"/>
          </w:tcPr>
          <w:p>
            <w:pPr>
              <w:ind w:left="20"/>
              <w:spacing w:after="0"/>
              <w:rPr>
                <w:sz w:val="20"/>
                <w:szCs w:val="20"/>
                <w:color w:val="auto"/>
              </w:rPr>
            </w:pPr>
            <w:r>
              <w:rPr>
                <w:rFonts w:ascii="Arial" w:cs="Arial" w:eastAsia="Arial" w:hAnsi="Arial"/>
                <w:sz w:val="16"/>
                <w:szCs w:val="16"/>
                <w:b w:val="1"/>
                <w:bCs w:val="1"/>
                <w:color w:val="auto"/>
              </w:rPr>
              <w:t>Cash paid for amount included in the measurement of lease liabilities:</w:t>
            </w: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3940" w:type="dxa"/>
            <w:vAlign w:val="bottom"/>
          </w:tcPr>
          <w:p>
            <w:pPr>
              <w:ind w:left="240"/>
              <w:spacing w:after="0"/>
              <w:rPr>
                <w:sz w:val="20"/>
                <w:szCs w:val="20"/>
                <w:color w:val="auto"/>
              </w:rPr>
            </w:pPr>
            <w:r>
              <w:rPr>
                <w:rFonts w:ascii="Arial" w:cs="Arial" w:eastAsia="Arial" w:hAnsi="Arial"/>
                <w:sz w:val="16"/>
                <w:szCs w:val="16"/>
                <w:color w:val="auto"/>
              </w:rPr>
              <w:t>Operating cash flows from operating leases</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02"/>
              <w:spacing w:after="0"/>
              <w:rPr>
                <w:sz w:val="20"/>
                <w:szCs w:val="20"/>
                <w:color w:val="auto"/>
              </w:rPr>
            </w:pPr>
            <w:r>
              <w:rPr>
                <w:rFonts w:ascii="Arial" w:cs="Arial" w:eastAsia="Arial" w:hAnsi="Arial"/>
                <w:sz w:val="16"/>
                <w:szCs w:val="16"/>
                <w:color w:val="auto"/>
              </w:rPr>
              <w:t>54</w:t>
            </w:r>
          </w:p>
        </w:tc>
        <w:tc>
          <w:tcPr>
            <w:tcW w:w="3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52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108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105</w:t>
            </w:r>
          </w:p>
        </w:tc>
      </w:tr>
      <w:tr>
        <w:trPr>
          <w:trHeight w:val="205"/>
        </w:trPr>
        <w:tc>
          <w:tcPr>
            <w:tcW w:w="39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Operating cash flows from finance leases</w:t>
            </w:r>
          </w:p>
        </w:tc>
        <w:tc>
          <w:tcPr>
            <w:tcW w:w="88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56</w:t>
            </w: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21</w:t>
            </w: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111</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41</w:t>
            </w:r>
          </w:p>
        </w:tc>
      </w:tr>
      <w:tr>
        <w:trPr>
          <w:trHeight w:val="202"/>
        </w:trPr>
        <w:tc>
          <w:tcPr>
            <w:tcW w:w="3940" w:type="dxa"/>
            <w:vAlign w:val="bottom"/>
          </w:tcPr>
          <w:p>
            <w:pPr>
              <w:ind w:left="240"/>
              <w:spacing w:after="0"/>
              <w:rPr>
                <w:sz w:val="20"/>
                <w:szCs w:val="20"/>
                <w:color w:val="auto"/>
              </w:rPr>
            </w:pPr>
            <w:r>
              <w:rPr>
                <w:rFonts w:ascii="Arial" w:cs="Arial" w:eastAsia="Arial" w:hAnsi="Arial"/>
                <w:sz w:val="16"/>
                <w:szCs w:val="16"/>
                <w:color w:val="auto"/>
              </w:rPr>
              <w:t>Financing cash flows from finance leases</w:t>
            </w:r>
          </w:p>
        </w:tc>
        <w:tc>
          <w:tcPr>
            <w:tcW w:w="880" w:type="dxa"/>
            <w:vAlign w:val="bottom"/>
          </w:tcPr>
          <w:p>
            <w:pPr>
              <w:spacing w:after="0"/>
              <w:rPr>
                <w:sz w:val="17"/>
                <w:szCs w:val="17"/>
                <w:color w:val="auto"/>
              </w:rPr>
            </w:pPr>
          </w:p>
        </w:tc>
        <w:tc>
          <w:tcPr>
            <w:tcW w:w="1220" w:type="dxa"/>
            <w:vAlign w:val="bottom"/>
          </w:tcPr>
          <w:p>
            <w:pPr>
              <w:jc w:val="right"/>
              <w:ind w:right="102"/>
              <w:spacing w:after="0"/>
              <w:rPr>
                <w:sz w:val="20"/>
                <w:szCs w:val="20"/>
                <w:color w:val="auto"/>
              </w:rPr>
            </w:pPr>
            <w:r>
              <w:rPr>
                <w:rFonts w:ascii="Arial" w:cs="Arial" w:eastAsia="Arial" w:hAnsi="Arial"/>
                <w:sz w:val="16"/>
                <w:szCs w:val="16"/>
                <w:color w:val="auto"/>
              </w:rPr>
              <w:t>31</w:t>
            </w:r>
          </w:p>
        </w:tc>
        <w:tc>
          <w:tcPr>
            <w:tcW w:w="320" w:type="dxa"/>
            <w:vAlign w:val="bottom"/>
          </w:tcPr>
          <w:p>
            <w:pPr>
              <w:spacing w:after="0"/>
              <w:rPr>
                <w:sz w:val="17"/>
                <w:szCs w:val="17"/>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18</w:t>
            </w:r>
          </w:p>
        </w:tc>
        <w:tc>
          <w:tcPr>
            <w:tcW w:w="320" w:type="dxa"/>
            <w:vAlign w:val="bottom"/>
          </w:tcPr>
          <w:p>
            <w:pPr>
              <w:spacing w:after="0"/>
              <w:rPr>
                <w:sz w:val="17"/>
                <w:szCs w:val="17"/>
                <w:color w:val="auto"/>
              </w:rPr>
            </w:pPr>
          </w:p>
        </w:tc>
        <w:tc>
          <w:tcPr>
            <w:tcW w:w="1220" w:type="dxa"/>
            <w:vAlign w:val="bottom"/>
          </w:tcPr>
          <w:p>
            <w:pPr>
              <w:jc w:val="right"/>
              <w:ind w:right="82"/>
              <w:spacing w:after="0"/>
              <w:rPr>
                <w:sz w:val="20"/>
                <w:szCs w:val="20"/>
                <w:color w:val="auto"/>
              </w:rPr>
            </w:pPr>
            <w:r>
              <w:rPr>
                <w:rFonts w:ascii="Arial" w:cs="Arial" w:eastAsia="Arial" w:hAnsi="Arial"/>
                <w:sz w:val="16"/>
                <w:szCs w:val="16"/>
                <w:color w:val="auto"/>
              </w:rPr>
              <w:t>62</w:t>
            </w:r>
          </w:p>
        </w:tc>
        <w:tc>
          <w:tcPr>
            <w:tcW w:w="300" w:type="dxa"/>
            <w:vAlign w:val="bottom"/>
          </w:tcPr>
          <w:p>
            <w:pPr>
              <w:spacing w:after="0"/>
              <w:rPr>
                <w:sz w:val="17"/>
                <w:szCs w:val="17"/>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37</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40" w:type="dxa"/>
            <w:vAlign w:val="bottom"/>
          </w:tcPr>
          <w:p>
            <w:pPr>
              <w:ind w:left="20"/>
              <w:spacing w:after="0"/>
              <w:rPr>
                <w:sz w:val="20"/>
                <w:szCs w:val="20"/>
                <w:color w:val="auto"/>
              </w:rPr>
            </w:pPr>
            <w:r>
              <w:rPr>
                <w:rFonts w:ascii="Arial" w:cs="Arial" w:eastAsia="Arial" w:hAnsi="Arial"/>
                <w:sz w:val="16"/>
                <w:szCs w:val="16"/>
                <w:i w:val="1"/>
                <w:iCs w:val="1"/>
                <w:color w:val="auto"/>
              </w:rPr>
              <w:t>(In thousands, except lease term and discount rate)</w:t>
            </w:r>
          </w:p>
        </w:tc>
        <w:tc>
          <w:tcPr>
            <w:tcW w:w="2620" w:type="dxa"/>
            <w:vAlign w:val="bottom"/>
          </w:tcPr>
          <w:p>
            <w:pPr>
              <w:spacing w:after="0"/>
              <w:rPr>
                <w:sz w:val="17"/>
                <w:szCs w:val="17"/>
                <w:color w:val="auto"/>
              </w:rPr>
            </w:pPr>
          </w:p>
        </w:tc>
        <w:tc>
          <w:tcPr>
            <w:tcW w:w="1620" w:type="dxa"/>
            <w:vAlign w:val="bottom"/>
          </w:tcPr>
          <w:p>
            <w:pPr>
              <w:jc w:val="right"/>
              <w:ind w:right="202"/>
              <w:spacing w:after="0"/>
              <w:rPr>
                <w:sz w:val="20"/>
                <w:szCs w:val="20"/>
                <w:color w:val="auto"/>
              </w:rPr>
            </w:pPr>
            <w:r>
              <w:rPr>
                <w:rFonts w:ascii="Arial" w:cs="Arial" w:eastAsia="Arial" w:hAnsi="Arial"/>
                <w:sz w:val="16"/>
                <w:szCs w:val="16"/>
                <w:color w:val="auto"/>
              </w:rPr>
              <w:t>June 30, 2023</w:t>
            </w:r>
          </w:p>
        </w:tc>
        <w:tc>
          <w:tcPr>
            <w:tcW w:w="36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December 31, 2022</w:t>
            </w:r>
          </w:p>
        </w:tc>
      </w:tr>
      <w:tr>
        <w:trPr>
          <w:trHeight w:val="205"/>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Leases:</w:t>
            </w:r>
          </w:p>
        </w:tc>
        <w:tc>
          <w:tcPr>
            <w:tcW w:w="26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340" w:type="dxa"/>
            <w:vAlign w:val="bottom"/>
          </w:tcPr>
          <w:p>
            <w:pPr>
              <w:ind w:left="100"/>
              <w:spacing w:after="0"/>
              <w:rPr>
                <w:sz w:val="20"/>
                <w:szCs w:val="20"/>
                <w:color w:val="auto"/>
              </w:rPr>
            </w:pPr>
            <w:r>
              <w:rPr>
                <w:rFonts w:ascii="Arial" w:cs="Arial" w:eastAsia="Arial" w:hAnsi="Arial"/>
                <w:sz w:val="16"/>
                <w:szCs w:val="16"/>
                <w:color w:val="auto"/>
              </w:rPr>
              <w:t>Operating lease right-of-use assets</w:t>
            </w:r>
          </w:p>
        </w:tc>
        <w:tc>
          <w:tcPr>
            <w:tcW w:w="262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02"/>
              <w:spacing w:after="0"/>
              <w:rPr>
                <w:sz w:val="20"/>
                <w:szCs w:val="20"/>
                <w:color w:val="auto"/>
              </w:rPr>
            </w:pPr>
            <w:r>
              <w:rPr>
                <w:rFonts w:ascii="Arial" w:cs="Arial" w:eastAsia="Arial" w:hAnsi="Arial"/>
                <w:sz w:val="16"/>
                <w:szCs w:val="16"/>
                <w:color w:val="auto"/>
              </w:rPr>
              <w:t>2,025</w:t>
            </w:r>
          </w:p>
        </w:tc>
        <w:tc>
          <w:tcPr>
            <w:tcW w:w="3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2,098</w:t>
            </w:r>
          </w:p>
        </w:tc>
        <w:tc>
          <w:tcPr>
            <w:tcW w:w="60" w:type="dxa"/>
            <w:vAlign w:val="bottom"/>
          </w:tcPr>
          <w:p>
            <w:pPr>
              <w:spacing w:after="0"/>
              <w:rPr>
                <w:sz w:val="17"/>
                <w:szCs w:val="17"/>
                <w:color w:val="auto"/>
              </w:rPr>
            </w:pPr>
          </w:p>
        </w:tc>
      </w:tr>
      <w:tr>
        <w:trPr>
          <w:trHeight w:val="205"/>
        </w:trPr>
        <w:tc>
          <w:tcPr>
            <w:tcW w:w="43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Operating lease liabilities</w:t>
            </w:r>
          </w:p>
        </w:tc>
        <w:tc>
          <w:tcPr>
            <w:tcW w:w="262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2,353</w:t>
            </w:r>
          </w:p>
        </w:tc>
        <w:tc>
          <w:tcPr>
            <w:tcW w:w="36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2,417</w:t>
            </w:r>
          </w:p>
        </w:tc>
        <w:tc>
          <w:tcPr>
            <w:tcW w:w="60" w:type="dxa"/>
            <w:vAlign w:val="bottom"/>
          </w:tcPr>
          <w:p>
            <w:pPr>
              <w:spacing w:after="0"/>
              <w:rPr>
                <w:sz w:val="17"/>
                <w:szCs w:val="17"/>
                <w:color w:val="auto"/>
              </w:rPr>
            </w:pPr>
          </w:p>
        </w:tc>
      </w:tr>
      <w:tr>
        <w:trPr>
          <w:trHeight w:val="204"/>
        </w:trPr>
        <w:tc>
          <w:tcPr>
            <w:tcW w:w="43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Finance Leases:</w:t>
            </w:r>
          </w:p>
        </w:tc>
        <w:tc>
          <w:tcPr>
            <w:tcW w:w="26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340" w:type="dxa"/>
            <w:vAlign w:val="bottom"/>
          </w:tcPr>
          <w:p>
            <w:pPr>
              <w:ind w:left="100"/>
              <w:spacing w:after="0"/>
              <w:rPr>
                <w:sz w:val="20"/>
                <w:szCs w:val="20"/>
                <w:color w:val="auto"/>
              </w:rPr>
            </w:pPr>
            <w:r>
              <w:rPr>
                <w:rFonts w:ascii="Arial" w:cs="Arial" w:eastAsia="Arial" w:hAnsi="Arial"/>
                <w:sz w:val="16"/>
                <w:szCs w:val="16"/>
                <w:color w:val="auto"/>
              </w:rPr>
              <w:t>Finance lease right-of-use assets</w:t>
            </w:r>
          </w:p>
        </w:tc>
        <w:tc>
          <w:tcPr>
            <w:tcW w:w="262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02"/>
              <w:spacing w:after="0"/>
              <w:rPr>
                <w:sz w:val="20"/>
                <w:szCs w:val="20"/>
                <w:color w:val="auto"/>
              </w:rPr>
            </w:pPr>
            <w:r>
              <w:rPr>
                <w:rFonts w:ascii="Arial" w:cs="Arial" w:eastAsia="Arial" w:hAnsi="Arial"/>
                <w:sz w:val="16"/>
                <w:szCs w:val="16"/>
                <w:color w:val="auto"/>
              </w:rPr>
              <w:t>4,143</w:t>
            </w:r>
          </w:p>
        </w:tc>
        <w:tc>
          <w:tcPr>
            <w:tcW w:w="3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4,213</w:t>
            </w:r>
          </w:p>
        </w:tc>
        <w:tc>
          <w:tcPr>
            <w:tcW w:w="60" w:type="dxa"/>
            <w:vAlign w:val="bottom"/>
          </w:tcPr>
          <w:p>
            <w:pPr>
              <w:spacing w:after="0"/>
              <w:rPr>
                <w:sz w:val="17"/>
                <w:szCs w:val="17"/>
                <w:color w:val="auto"/>
              </w:rPr>
            </w:pPr>
          </w:p>
        </w:tc>
      </w:tr>
      <w:tr>
        <w:trPr>
          <w:trHeight w:val="205"/>
        </w:trPr>
        <w:tc>
          <w:tcPr>
            <w:tcW w:w="43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Finance lease liability</w:t>
            </w:r>
          </w:p>
        </w:tc>
        <w:tc>
          <w:tcPr>
            <w:tcW w:w="262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4,401</w:t>
            </w:r>
          </w:p>
        </w:tc>
        <w:tc>
          <w:tcPr>
            <w:tcW w:w="36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4,422</w:t>
            </w:r>
          </w:p>
        </w:tc>
        <w:tc>
          <w:tcPr>
            <w:tcW w:w="60" w:type="dxa"/>
            <w:vAlign w:val="bottom"/>
          </w:tcPr>
          <w:p>
            <w:pPr>
              <w:spacing w:after="0"/>
              <w:rPr>
                <w:sz w:val="17"/>
                <w:szCs w:val="17"/>
                <w:color w:val="auto"/>
              </w:rPr>
            </w:pPr>
          </w:p>
        </w:tc>
      </w:tr>
      <w:tr>
        <w:trPr>
          <w:trHeight w:val="204"/>
        </w:trPr>
        <w:tc>
          <w:tcPr>
            <w:tcW w:w="43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Weighted Average Remaining Lease Term:</w:t>
            </w:r>
          </w:p>
        </w:tc>
        <w:tc>
          <w:tcPr>
            <w:tcW w:w="26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4340" w:type="dxa"/>
            <w:vAlign w:val="bottom"/>
          </w:tcPr>
          <w:p>
            <w:pPr>
              <w:ind w:left="100"/>
              <w:spacing w:after="0"/>
              <w:rPr>
                <w:sz w:val="20"/>
                <w:szCs w:val="20"/>
                <w:color w:val="auto"/>
              </w:rPr>
            </w:pPr>
            <w:r>
              <w:rPr>
                <w:rFonts w:ascii="Arial" w:cs="Arial" w:eastAsia="Arial" w:hAnsi="Arial"/>
                <w:sz w:val="16"/>
                <w:szCs w:val="16"/>
                <w:color w:val="auto"/>
              </w:rPr>
              <w:t>Operating Leases</w:t>
            </w:r>
          </w:p>
        </w:tc>
        <w:tc>
          <w:tcPr>
            <w:tcW w:w="2620" w:type="dxa"/>
            <w:vAlign w:val="bottom"/>
          </w:tcPr>
          <w:p>
            <w:pPr>
              <w:spacing w:after="0"/>
              <w:rPr>
                <w:sz w:val="17"/>
                <w:szCs w:val="17"/>
                <w:color w:val="auto"/>
              </w:rPr>
            </w:pPr>
          </w:p>
        </w:tc>
        <w:tc>
          <w:tcPr>
            <w:tcW w:w="1620" w:type="dxa"/>
            <w:vAlign w:val="bottom"/>
          </w:tcPr>
          <w:p>
            <w:pPr>
              <w:jc w:val="right"/>
              <w:ind w:right="202"/>
              <w:spacing w:after="0"/>
              <w:rPr>
                <w:sz w:val="20"/>
                <w:szCs w:val="20"/>
                <w:color w:val="auto"/>
              </w:rPr>
            </w:pPr>
            <w:r>
              <w:rPr>
                <w:rFonts w:ascii="Arial" w:cs="Arial" w:eastAsia="Arial" w:hAnsi="Arial"/>
                <w:sz w:val="16"/>
                <w:szCs w:val="16"/>
                <w:color w:val="auto"/>
              </w:rPr>
              <w:t>18.06 years</w:t>
            </w:r>
          </w:p>
        </w:tc>
        <w:tc>
          <w:tcPr>
            <w:tcW w:w="36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18.28 years</w:t>
            </w:r>
          </w:p>
        </w:tc>
      </w:tr>
      <w:tr>
        <w:trPr>
          <w:trHeight w:val="134"/>
        </w:trPr>
        <w:tc>
          <w:tcPr>
            <w:tcW w:w="43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80" w:type="dxa"/>
            <w:vAlign w:val="bottom"/>
            <w:gridSpan w:val="2"/>
          </w:tcPr>
          <w:p>
            <w:pPr>
              <w:spacing w:after="0"/>
              <w:rPr>
                <w:sz w:val="11"/>
                <w:szCs w:val="11"/>
                <w:color w:val="auto"/>
              </w:rPr>
            </w:pPr>
          </w:p>
        </w:tc>
      </w:tr>
      <w:tr>
        <w:trPr>
          <w:trHeight w:val="204"/>
        </w:trPr>
        <w:tc>
          <w:tcPr>
            <w:tcW w:w="43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Finance Leases</w:t>
            </w:r>
          </w:p>
        </w:tc>
        <w:tc>
          <w:tcPr>
            <w:tcW w:w="262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27.81 years</w:t>
            </w:r>
          </w:p>
        </w:tc>
        <w:tc>
          <w:tcPr>
            <w:tcW w:w="36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28.35 years</w:t>
            </w:r>
          </w:p>
        </w:tc>
        <w:tc>
          <w:tcPr>
            <w:tcW w:w="60" w:type="dxa"/>
            <w:vAlign w:val="bottom"/>
          </w:tcPr>
          <w:p>
            <w:pPr>
              <w:spacing w:after="0"/>
              <w:rPr>
                <w:sz w:val="17"/>
                <w:szCs w:val="17"/>
                <w:color w:val="auto"/>
              </w:rPr>
            </w:pPr>
          </w:p>
        </w:tc>
      </w:tr>
      <w:tr>
        <w:trPr>
          <w:trHeight w:val="204"/>
        </w:trPr>
        <w:tc>
          <w:tcPr>
            <w:tcW w:w="43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26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4340" w:type="dxa"/>
            <w:vAlign w:val="bottom"/>
          </w:tcPr>
          <w:p>
            <w:pPr>
              <w:ind w:left="100"/>
              <w:spacing w:after="0"/>
              <w:rPr>
                <w:sz w:val="20"/>
                <w:szCs w:val="20"/>
                <w:color w:val="auto"/>
              </w:rPr>
            </w:pPr>
            <w:r>
              <w:rPr>
                <w:rFonts w:ascii="Arial" w:cs="Arial" w:eastAsia="Arial" w:hAnsi="Arial"/>
                <w:sz w:val="16"/>
                <w:szCs w:val="16"/>
                <w:color w:val="auto"/>
              </w:rPr>
              <w:t>Operating Leases</w:t>
            </w:r>
          </w:p>
        </w:tc>
        <w:tc>
          <w:tcPr>
            <w:tcW w:w="2620" w:type="dxa"/>
            <w:vAlign w:val="bottom"/>
          </w:tcPr>
          <w:p>
            <w:pPr>
              <w:spacing w:after="0"/>
              <w:rPr>
                <w:sz w:val="17"/>
                <w:szCs w:val="17"/>
                <w:color w:val="auto"/>
              </w:rPr>
            </w:pPr>
          </w:p>
        </w:tc>
        <w:tc>
          <w:tcPr>
            <w:tcW w:w="1620" w:type="dxa"/>
            <w:vAlign w:val="bottom"/>
          </w:tcPr>
          <w:p>
            <w:pPr>
              <w:jc w:val="right"/>
              <w:ind w:right="42"/>
              <w:spacing w:after="0"/>
              <w:rPr>
                <w:sz w:val="20"/>
                <w:szCs w:val="20"/>
                <w:color w:val="auto"/>
              </w:rPr>
            </w:pPr>
            <w:r>
              <w:rPr>
                <w:rFonts w:ascii="Arial" w:cs="Arial" w:eastAsia="Arial" w:hAnsi="Arial"/>
                <w:sz w:val="16"/>
                <w:szCs w:val="16"/>
                <w:color w:val="auto"/>
              </w:rPr>
              <w:t>9.41 %</w:t>
            </w:r>
          </w:p>
        </w:tc>
        <w:tc>
          <w:tcPr>
            <w:tcW w:w="36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3.85 %</w:t>
            </w:r>
          </w:p>
        </w:tc>
      </w:tr>
      <w:tr>
        <w:trPr>
          <w:trHeight w:val="204"/>
        </w:trPr>
        <w:tc>
          <w:tcPr>
            <w:tcW w:w="4340" w:type="dxa"/>
            <w:vAlign w:val="bottom"/>
          </w:tcPr>
          <w:p>
            <w:pPr>
              <w:ind w:left="100"/>
              <w:spacing w:after="0"/>
              <w:rPr>
                <w:sz w:val="20"/>
                <w:szCs w:val="20"/>
                <w:color w:val="auto"/>
              </w:rPr>
            </w:pPr>
            <w:r>
              <w:rPr>
                <w:rFonts w:ascii="Arial" w:cs="Arial" w:eastAsia="Arial" w:hAnsi="Arial"/>
                <w:sz w:val="16"/>
                <w:szCs w:val="16"/>
                <w:color w:val="auto"/>
              </w:rPr>
              <w:t>Finance Leases</w:t>
            </w:r>
          </w:p>
        </w:tc>
        <w:tc>
          <w:tcPr>
            <w:tcW w:w="2620" w:type="dxa"/>
            <w:vAlign w:val="bottom"/>
          </w:tcPr>
          <w:p>
            <w:pPr>
              <w:spacing w:after="0"/>
              <w:rPr>
                <w:sz w:val="17"/>
                <w:szCs w:val="17"/>
                <w:color w:val="auto"/>
              </w:rPr>
            </w:pPr>
          </w:p>
        </w:tc>
        <w:tc>
          <w:tcPr>
            <w:tcW w:w="1620" w:type="dxa"/>
            <w:vAlign w:val="bottom"/>
          </w:tcPr>
          <w:p>
            <w:pPr>
              <w:jc w:val="right"/>
              <w:ind w:right="42"/>
              <w:spacing w:after="0"/>
              <w:rPr>
                <w:sz w:val="20"/>
                <w:szCs w:val="20"/>
                <w:color w:val="auto"/>
              </w:rPr>
            </w:pPr>
            <w:r>
              <w:rPr>
                <w:rFonts w:ascii="Arial" w:cs="Arial" w:eastAsia="Arial" w:hAnsi="Arial"/>
                <w:sz w:val="16"/>
                <w:szCs w:val="16"/>
                <w:color w:val="auto"/>
              </w:rPr>
              <w:t>3.88 %</w:t>
            </w:r>
          </w:p>
        </w:tc>
        <w:tc>
          <w:tcPr>
            <w:tcW w:w="36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9.41 %</w:t>
            </w:r>
          </w:p>
        </w:tc>
      </w:tr>
      <w:tr>
        <w:trPr>
          <w:trHeight w:val="384"/>
        </w:trPr>
        <w:tc>
          <w:tcPr>
            <w:tcW w:w="4340" w:type="dxa"/>
            <w:vAlign w:val="bottom"/>
          </w:tcPr>
          <w:p>
            <w:pPr>
              <w:spacing w:after="0"/>
              <w:rPr>
                <w:sz w:val="24"/>
                <w:szCs w:val="24"/>
                <w:color w:val="auto"/>
              </w:rPr>
            </w:pPr>
          </w:p>
        </w:tc>
        <w:tc>
          <w:tcPr>
            <w:tcW w:w="2620" w:type="dxa"/>
            <w:vAlign w:val="bottom"/>
          </w:tcPr>
          <w:p>
            <w:pPr>
              <w:jc w:val="right"/>
              <w:ind w:right="1422"/>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45</w:t>
            </w:r>
            <w:r>
              <w:rPr>
                <w:rFonts w:ascii="Arial" w:cs="Arial" w:eastAsia="Arial" w:hAnsi="Arial"/>
                <w:sz w:val="16"/>
                <w:szCs w:val="16"/>
                <w:color w:val="auto"/>
              </w:rPr>
              <w:t xml:space="preserve"> -</w:t>
            </w: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6"/>
        </w:trPr>
        <w:tc>
          <w:tcPr>
            <w:tcW w:w="4340" w:type="dxa"/>
            <w:vAlign w:val="bottom"/>
            <w:tcBorders>
              <w:bottom w:val="single" w:sz="8" w:color="EEEEEE"/>
            </w:tcBorders>
          </w:tcPr>
          <w:p>
            <w:pPr>
              <w:spacing w:after="0"/>
              <w:rPr>
                <w:sz w:val="7"/>
                <w:szCs w:val="7"/>
                <w:color w:val="auto"/>
              </w:rPr>
            </w:pPr>
          </w:p>
        </w:tc>
        <w:tc>
          <w:tcPr>
            <w:tcW w:w="2620" w:type="dxa"/>
            <w:vAlign w:val="bottom"/>
            <w:tcBorders>
              <w:bottom w:val="single" w:sz="8" w:color="EEEEEE"/>
            </w:tcBorders>
          </w:tcPr>
          <w:p>
            <w:pPr>
              <w:spacing w:after="0"/>
              <w:rPr>
                <w:sz w:val="7"/>
                <w:szCs w:val="7"/>
                <w:color w:val="auto"/>
              </w:rPr>
            </w:pPr>
          </w:p>
        </w:tc>
        <w:tc>
          <w:tcPr>
            <w:tcW w:w="1620" w:type="dxa"/>
            <w:vAlign w:val="bottom"/>
            <w:tcBorders>
              <w:bottom w:val="single" w:sz="8" w:color="EEEEEE"/>
            </w:tcBorders>
          </w:tcPr>
          <w:p>
            <w:pPr>
              <w:spacing w:after="0"/>
              <w:rPr>
                <w:sz w:val="7"/>
                <w:szCs w:val="7"/>
                <w:color w:val="auto"/>
              </w:rPr>
            </w:pPr>
          </w:p>
        </w:tc>
        <w:tc>
          <w:tcPr>
            <w:tcW w:w="360" w:type="dxa"/>
            <w:vAlign w:val="bottom"/>
            <w:tcBorders>
              <w:bottom w:val="single" w:sz="8" w:color="EEEEEE"/>
            </w:tcBorders>
          </w:tcPr>
          <w:p>
            <w:pPr>
              <w:spacing w:after="0"/>
              <w:rPr>
                <w:sz w:val="7"/>
                <w:szCs w:val="7"/>
                <w:color w:val="auto"/>
              </w:rPr>
            </w:pPr>
          </w:p>
        </w:tc>
        <w:tc>
          <w:tcPr>
            <w:tcW w:w="1620" w:type="dxa"/>
            <w:vAlign w:val="bottom"/>
            <w:tcBorders>
              <w:bottom w:val="single" w:sz="8" w:color="EEEEEE"/>
            </w:tcBorders>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-433705</wp:posOffset>
            </wp:positionV>
            <wp:extent cx="6707505" cy="1295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887" w:right="62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97"/>
        </w:trPr>
        <w:tc>
          <w:tcPr>
            <w:tcW w:w="4560" w:type="dxa"/>
            <w:vAlign w:val="bottom"/>
          </w:tcPr>
          <w:p>
            <w:pPr>
              <w:spacing w:after="0"/>
              <w:rPr>
                <w:sz w:val="20"/>
                <w:szCs w:val="20"/>
                <w:color w:val="auto"/>
              </w:rPr>
            </w:pPr>
            <w:r>
              <w:rPr>
                <w:rFonts w:ascii="Arial" w:cs="Arial" w:eastAsia="Arial" w:hAnsi="Arial"/>
                <w:sz w:val="16"/>
                <w:szCs w:val="16"/>
                <w:color w:val="auto"/>
              </w:rPr>
              <w:t>Maturities of lease liabilities are as follows:</w:t>
            </w:r>
          </w:p>
        </w:tc>
        <w:tc>
          <w:tcPr>
            <w:tcW w:w="2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96"/>
        </w:trPr>
        <w:tc>
          <w:tcPr>
            <w:tcW w:w="4560" w:type="dxa"/>
            <w:vAlign w:val="bottom"/>
          </w:tcPr>
          <w:p>
            <w:pPr>
              <w:ind w:left="20"/>
              <w:spacing w:after="0"/>
              <w:rPr>
                <w:sz w:val="20"/>
                <w:szCs w:val="20"/>
                <w:color w:val="auto"/>
              </w:rPr>
            </w:pPr>
            <w:r>
              <w:rPr>
                <w:rFonts w:ascii="Arial" w:cs="Arial" w:eastAsia="Arial" w:hAnsi="Arial"/>
                <w:sz w:val="16"/>
                <w:szCs w:val="16"/>
                <w:color w:val="auto"/>
              </w:rPr>
              <w:t>Twelve Months Ending June 30,</w:t>
            </w:r>
          </w:p>
        </w:tc>
        <w:tc>
          <w:tcPr>
            <w:tcW w:w="2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4"/>
        </w:trPr>
        <w:tc>
          <w:tcPr>
            <w:tcW w:w="45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4560" w:type="dxa"/>
            <w:vAlign w:val="bottom"/>
          </w:tcPr>
          <w:p>
            <w:pPr>
              <w:ind w:left="20"/>
              <w:spacing w:after="0"/>
              <w:rPr>
                <w:sz w:val="20"/>
                <w:szCs w:val="20"/>
                <w:color w:val="auto"/>
              </w:rPr>
            </w:pPr>
            <w:r>
              <w:rPr>
                <w:rFonts w:ascii="Arial" w:cs="Arial" w:eastAsia="Arial" w:hAnsi="Arial"/>
                <w:sz w:val="16"/>
                <w:szCs w:val="16"/>
                <w:color w:val="auto"/>
              </w:rPr>
              <w:t>2024</w:t>
            </w:r>
          </w:p>
        </w:tc>
        <w:tc>
          <w:tcPr>
            <w:tcW w:w="230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81</w:t>
            </w:r>
          </w:p>
        </w:tc>
      </w:tr>
      <w:tr>
        <w:trPr>
          <w:trHeight w:val="205"/>
        </w:trPr>
        <w:tc>
          <w:tcPr>
            <w:tcW w:w="4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2025</w:t>
            </w:r>
          </w:p>
        </w:tc>
        <w:tc>
          <w:tcPr>
            <w:tcW w:w="2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181</w:t>
            </w:r>
          </w:p>
        </w:tc>
      </w:tr>
      <w:tr>
        <w:trPr>
          <w:trHeight w:val="203"/>
        </w:trPr>
        <w:tc>
          <w:tcPr>
            <w:tcW w:w="4560" w:type="dxa"/>
            <w:vAlign w:val="bottom"/>
          </w:tcPr>
          <w:p>
            <w:pPr>
              <w:ind w:left="20"/>
              <w:spacing w:after="0"/>
              <w:rPr>
                <w:sz w:val="20"/>
                <w:szCs w:val="20"/>
                <w:color w:val="auto"/>
              </w:rPr>
            </w:pPr>
            <w:r>
              <w:rPr>
                <w:rFonts w:ascii="Arial" w:cs="Arial" w:eastAsia="Arial" w:hAnsi="Arial"/>
                <w:sz w:val="16"/>
                <w:szCs w:val="16"/>
                <w:color w:val="auto"/>
              </w:rPr>
              <w:t>2026</w:t>
            </w:r>
          </w:p>
        </w:tc>
        <w:tc>
          <w:tcPr>
            <w:tcW w:w="230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184</w:t>
            </w:r>
          </w:p>
        </w:tc>
      </w:tr>
      <w:tr>
        <w:trPr>
          <w:trHeight w:val="205"/>
        </w:trPr>
        <w:tc>
          <w:tcPr>
            <w:tcW w:w="4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2027</w:t>
            </w:r>
          </w:p>
        </w:tc>
        <w:tc>
          <w:tcPr>
            <w:tcW w:w="2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186</w:t>
            </w:r>
          </w:p>
        </w:tc>
      </w:tr>
      <w:tr>
        <w:trPr>
          <w:trHeight w:val="203"/>
        </w:trPr>
        <w:tc>
          <w:tcPr>
            <w:tcW w:w="4560" w:type="dxa"/>
            <w:vAlign w:val="bottom"/>
          </w:tcPr>
          <w:p>
            <w:pPr>
              <w:ind w:left="20"/>
              <w:spacing w:after="0"/>
              <w:rPr>
                <w:sz w:val="20"/>
                <w:szCs w:val="20"/>
                <w:color w:val="auto"/>
              </w:rPr>
            </w:pPr>
            <w:r>
              <w:rPr>
                <w:rFonts w:ascii="Arial" w:cs="Arial" w:eastAsia="Arial" w:hAnsi="Arial"/>
                <w:sz w:val="16"/>
                <w:szCs w:val="16"/>
                <w:color w:val="auto"/>
              </w:rPr>
              <w:t>2028</w:t>
            </w:r>
          </w:p>
        </w:tc>
        <w:tc>
          <w:tcPr>
            <w:tcW w:w="230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198</w:t>
            </w:r>
          </w:p>
        </w:tc>
      </w:tr>
      <w:tr>
        <w:trPr>
          <w:trHeight w:val="205"/>
        </w:trPr>
        <w:tc>
          <w:tcPr>
            <w:tcW w:w="4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Thereafter</w:t>
            </w:r>
          </w:p>
        </w:tc>
        <w:tc>
          <w:tcPr>
            <w:tcW w:w="23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5,957</w:t>
            </w:r>
          </w:p>
        </w:tc>
      </w:tr>
      <w:tr>
        <w:trPr>
          <w:trHeight w:val="203"/>
        </w:trPr>
        <w:tc>
          <w:tcPr>
            <w:tcW w:w="45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Total minimum lease payments</w:t>
            </w:r>
          </w:p>
        </w:tc>
        <w:tc>
          <w:tcPr>
            <w:tcW w:w="2300" w:type="dxa"/>
            <w:vAlign w:val="bottom"/>
            <w:tcBorders>
              <w:bottom w:val="single" w:sz="8" w:color="auto"/>
            </w:tcBorders>
          </w:tcPr>
          <w:p>
            <w:pPr>
              <w:jc w:val="right"/>
              <w:ind w:right="50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6,787</w:t>
            </w: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owns certain properties that it leases to unaffiliated third parties at market rates. Lease rental income was $48,000 and $47,000 for the three months ended June 30, 2023 and 2022, respectively. Lease rental income was $96,000 and $102,000 for the six months ended June 30, 2023 and 2022, respectively. The lease agreements in which the Company is the lessor are a mix of operating and finance leases.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 Party Transactions:</w:t>
      </w:r>
    </w:p>
    <w:p>
      <w:pPr>
        <w:spacing w:after="0" w:line="11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the ordinary course of business, the Company has granted loans to certain directors, executive officers and their affiliates (collectively referred to as “related parties”). None of the related party loans were classified as nonaccrual, past due, restructured, or potential problem loans at June 30, 2023 or December 31, 2022.</w:t>
      </w:r>
    </w:p>
    <w:p>
      <w:pPr>
        <w:spacing w:after="0" w:line="6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represents the activity associated with loans to related parties during the six months ended June 30, 2023 and the year ended December 31, 2022: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June 30,</w:t>
            </w:r>
          </w:p>
        </w:tc>
        <w:tc>
          <w:tcPr>
            <w:tcW w:w="38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December 31,</w:t>
            </w:r>
          </w:p>
        </w:tc>
      </w:tr>
      <w:tr>
        <w:trPr>
          <w:trHeight w:val="205"/>
        </w:trPr>
        <w:tc>
          <w:tcPr>
            <w:tcW w:w="53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460" w:type="dxa"/>
            <w:vAlign w:val="bottom"/>
          </w:tcPr>
          <w:p>
            <w:pPr>
              <w:spacing w:after="0"/>
              <w:rPr>
                <w:sz w:val="17"/>
                <w:szCs w:val="17"/>
                <w:color w:val="auto"/>
              </w:rPr>
            </w:pP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2023</w:t>
            </w:r>
          </w:p>
        </w:tc>
        <w:tc>
          <w:tcPr>
            <w:tcW w:w="38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2022</w:t>
            </w:r>
          </w:p>
        </w:tc>
      </w:tr>
      <w:tr>
        <w:trPr>
          <w:trHeight w:val="205"/>
        </w:trPr>
        <w:tc>
          <w:tcPr>
            <w:tcW w:w="5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the beginning of the year</w:t>
            </w:r>
          </w:p>
        </w:tc>
        <w:tc>
          <w:tcPr>
            <w:tcW w:w="2460" w:type="dxa"/>
            <w:vAlign w:val="bottom"/>
            <w:shd w:val="clear" w:color="auto" w:fill="CFF0FC"/>
          </w:tcPr>
          <w:p>
            <w:pPr>
              <w:jc w:val="right"/>
              <w:ind w:right="30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32,531</w:t>
            </w:r>
          </w:p>
        </w:tc>
        <w:tc>
          <w:tcPr>
            <w:tcW w:w="3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22,427</w:t>
            </w:r>
          </w:p>
        </w:tc>
      </w:tr>
      <w:tr>
        <w:trPr>
          <w:trHeight w:val="203"/>
        </w:trPr>
        <w:tc>
          <w:tcPr>
            <w:tcW w:w="5300" w:type="dxa"/>
            <w:vAlign w:val="bottom"/>
          </w:tcPr>
          <w:p>
            <w:pPr>
              <w:ind w:left="100"/>
              <w:spacing w:after="0"/>
              <w:rPr>
                <w:sz w:val="20"/>
                <w:szCs w:val="20"/>
                <w:color w:val="auto"/>
              </w:rPr>
            </w:pPr>
            <w:r>
              <w:rPr>
                <w:rFonts w:ascii="Arial" w:cs="Arial" w:eastAsia="Arial" w:hAnsi="Arial"/>
                <w:sz w:val="16"/>
                <w:szCs w:val="16"/>
                <w:color w:val="auto"/>
              </w:rPr>
              <w:t>Originations and related party additions</w:t>
            </w:r>
          </w:p>
        </w:tc>
        <w:tc>
          <w:tcPr>
            <w:tcW w:w="2460" w:type="dxa"/>
            <w:vAlign w:val="bottom"/>
          </w:tcPr>
          <w:p>
            <w:pPr>
              <w:spacing w:after="0"/>
              <w:rPr>
                <w:sz w:val="17"/>
                <w:szCs w:val="17"/>
                <w:color w:val="auto"/>
              </w:rPr>
            </w:pP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75</w:t>
            </w:r>
          </w:p>
        </w:tc>
        <w:tc>
          <w:tcPr>
            <w:tcW w:w="380" w:type="dxa"/>
            <w:vAlign w:val="bottom"/>
          </w:tcPr>
          <w:p>
            <w:pPr>
              <w:spacing w:after="0"/>
              <w:rPr>
                <w:sz w:val="17"/>
                <w:szCs w:val="17"/>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15,278</w:t>
            </w:r>
          </w:p>
        </w:tc>
      </w:tr>
      <w:tr>
        <w:trPr>
          <w:trHeight w:val="205"/>
        </w:trPr>
        <w:tc>
          <w:tcPr>
            <w:tcW w:w="53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Principal payments and related party removals</w:t>
            </w:r>
          </w:p>
        </w:tc>
        <w:tc>
          <w:tcPr>
            <w:tcW w:w="24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(1,355)</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(5,174)</w:t>
            </w:r>
          </w:p>
        </w:tc>
      </w:tr>
      <w:tr>
        <w:trPr>
          <w:trHeight w:val="203"/>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at the end of the period</w:t>
            </w:r>
          </w:p>
        </w:tc>
        <w:tc>
          <w:tcPr>
            <w:tcW w:w="246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31,251</w:t>
            </w:r>
          </w:p>
        </w:tc>
        <w:tc>
          <w:tcPr>
            <w:tcW w:w="3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32,531</w:t>
            </w: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1180"/>
        <w:spacing w:after="0" w:line="451" w:lineRule="auto"/>
        <w:rPr>
          <w:sz w:val="20"/>
          <w:szCs w:val="20"/>
          <w:color w:val="auto"/>
        </w:rPr>
      </w:pPr>
      <w:r>
        <w:rPr>
          <w:rFonts w:ascii="Arial" w:cs="Arial" w:eastAsia="Arial" w:hAnsi="Arial"/>
          <w:sz w:val="18"/>
          <w:szCs w:val="18"/>
          <w:b w:val="1"/>
          <w:bCs w:val="1"/>
          <w:color w:val="auto"/>
        </w:rPr>
        <w:t>Item 2 - Management's Discussion and Analysis of Financial Condition and Results of Operations (Unaudited) General</w:t>
      </w:r>
    </w:p>
    <w:p>
      <w:pPr>
        <w:ind w:right="60"/>
        <w:spacing w:after="0" w:line="253" w:lineRule="auto"/>
        <w:rPr>
          <w:sz w:val="20"/>
          <w:szCs w:val="20"/>
          <w:color w:val="auto"/>
        </w:rPr>
      </w:pPr>
      <w:r>
        <w:rPr>
          <w:rFonts w:ascii="Arial" w:cs="Arial" w:eastAsia="Arial" w:hAnsi="Arial"/>
          <w:sz w:val="18"/>
          <w:szCs w:val="18"/>
          <w:color w:val="auto"/>
        </w:rPr>
        <w:t>The Company is a Maryland corporation headquartered in Oswego, New York. The Company is 100% owned by public shareholders. The primary business of the Company is its investment in Pathfinder Bank (the "Bank"), a New York State chartered commercial bank, which is 100% owned by the Company. The Bank has two wholly owned operating subsidiaries, Pathfinder Risk Management Company, Inc. (“PRMC”) and Whispering Oaks Development Corp. All significant inter-company accounts and activity have been eliminated in consolidation. Although the Company owns, through its subsidiary PRMC, 51% of the membership interest in FitzGibbons Agency, LLC (“FitzGibbons” or “Agency”), the Company is required to consolidate 100% of FitzGibbons within the consolidated financial statements. The 49% of which the Company does not own, is accounted for separately as a noncontrolling interest within the consolidated financial statements. At June 30, 2023, the Company and subsidiaries had total consolidated assets of $1.39 billion, total consolidated liabilities of $1.28 billion and shareholders' equity of $113.8 million, plus noncontrolling interest of $654,000, which represents the 49% of FitzGibbons not owned by the Company.</w:t>
      </w:r>
    </w:p>
    <w:p>
      <w:pPr>
        <w:spacing w:after="0" w:line="1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following discussion reviews the Company's financial condition at June 30, 2023 and the results of operations for the three and six month periods ended June 30, 2023 and 2022. Operating results for the three and six months ended June 30, 2023 are not necessarily indicative of the results that may be expected for the year ending December 31, 2023 or any other period.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46</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86" w:right="680" w:bottom="1440" w:gutter="0" w:footer="0" w:header="0"/>
        </w:sectPr>
      </w:pPr>
    </w:p>
    <w:bookmarkStart w:id="46" w:name="page47"/>
    <w:bookmarkEnd w:id="46"/>
    <w:p>
      <w:pPr>
        <w:ind w:right="80"/>
        <w:spacing w:after="0" w:line="273" w:lineRule="auto"/>
        <w:rPr>
          <w:sz w:val="20"/>
          <w:szCs w:val="20"/>
          <w:color w:val="auto"/>
        </w:rPr>
      </w:pPr>
      <w:r>
        <w:rPr>
          <w:rFonts w:ascii="Arial" w:cs="Arial" w:eastAsia="Arial" w:hAnsi="Arial"/>
          <w:sz w:val="17"/>
          <w:szCs w:val="17"/>
          <w:color w:val="auto"/>
        </w:rPr>
        <w:t>The following material under the heading "Management's Discussion and Analysis of Financial Condition and Results of Operations" is written with the presumption that the users of the interim financial statements have read, or have access to, the Company's latest audited financial statements and notes thereto, together with Management's Discussion and Analysis of Financial Condition and Results of Operations included in the 2022 Annual Report on Form 10 -K filed with the Securities and Exchange Commission on March 31, 2023 (“the consolidated annual financial statements”) as of December 31, 2022 and 2021 and for the two years then ended. Therefore, only material changes in financial condition and results of operations are discussed in the remainder of Item 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Regarding Forward-Looking Statements</w:t>
      </w:r>
    </w:p>
    <w:p>
      <w:pPr>
        <w:spacing w:after="0" w:line="2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Certain statements contained herein are “forward looking statements” within the meaning of Section 27A of the Securities Act of 1933 and Section 21E of the Securities Exchange Act of 1934. These forward-looking statements are generally identified by use of the words "believe," "expect," "intend," "anticipate," "estimate," "project" or similar expressions, or future or conditional verbs, such as “will,” “would,” “should,” “could,” or “may.” These forward-looking statements are based on current beliefs and expectations of the Company’s and the Bank’s management and are inherently subject to significant business, economic and competitive uncertainties and contingencies, many of which are beyond the Company’s and the Bank’s control. In addition, these forward-looking statements are subject to assumptions with respect to future business strategies and decisions that are subject to change. Actual results may differ materially from those set forth in the forward-looking statements as a result of numerous factors. Factors that could cause such differences to exist include, but are not limited to: risks related to the real estate and economic environment, particularly in the market areas in which the Company and the Bank operate; fiscal and monetary policies of the U.S. Government; inflation; changes in government regulations affecting financial institutions, including regulatory compliance costs and capital requirements; fluctuations in the adequacy of the allowance for credit losses; decreases in deposit levels necessitating increased borrowing to fund loans and investments; the effects of the COVID-19 pandemic; operational risks including, but not limited to, cybersecurity, fraud and natural disasters; the risk that the Company may not be successful in the implementation of its business strategy; changes in prevailing interest rates; credit risk management; asset-liability management; recent events involving the failure of financial institutions and the impact on the Company's business and the market price of its common stock; any future increase in FDIC insurance assessments or special assessments; and other risks described in the Company’s filings with the Securities and Exchange Commission, which are available at the SEC’s website, www.sec.gov.</w:t>
      </w:r>
    </w:p>
    <w:p>
      <w:pPr>
        <w:spacing w:after="0" w:line="19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Company and the Bank caution prospective investors not to place undue reliance on any such forward-looking statements, which speak only as of the date made. The Company disclaims any obligation to revise or update any forward-looking statements contained in this quarterly report on Form 10-Q to reflect future events or developments.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Estimates</w:t>
      </w:r>
    </w:p>
    <w:p>
      <w:pPr>
        <w:spacing w:after="0" w:line="18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Company's consolidated quarterly financial statements are prepared in accordance with accounting principles generally accepted in the United States and follow practices within the banking industry. Application of these principles requires management to make estimates, assumptions, and judgments that affect the amounts reported in the consolidated quarterly financial statements and accompanying notes. These estimates, assumptions, and judgments are based on information available as of the date of the financial statements; accordingly, as this information changes, the financial statements could reflect different estimates, assumptions, and judgments. Certain accounting policies inherently have a greater reliance on the use of estimates, assumptions, and judgments and, as such, have a greater possibility of producing results that could be materially different than originally reported. Estimates, assumptions, and judgments are necessary when assets and liabilities are required to be recorded at fair value or when an asset or liability needs to be recorded contingent upon a future event. Carrying assets and liabilities at fair value inherently results in more financial statement volatility. The fair values and information used to record valuation adjustments for certain assets and liabilities are based on quoted market prices or are provided by unaffiliated third-party sources, when available. When third party information is not available, valuation adjustments are estimated in good faith by management.</w:t>
      </w:r>
    </w:p>
    <w:p>
      <w:pPr>
        <w:spacing w:after="0" w:line="153" w:lineRule="exact"/>
        <w:rPr>
          <w:sz w:val="20"/>
          <w:szCs w:val="20"/>
          <w:color w:val="auto"/>
        </w:rPr>
      </w:pPr>
    </w:p>
    <w:p>
      <w:pPr>
        <w:ind w:right="620"/>
        <w:spacing w:after="0" w:line="254" w:lineRule="auto"/>
        <w:rPr>
          <w:sz w:val="20"/>
          <w:szCs w:val="20"/>
          <w:color w:val="auto"/>
        </w:rPr>
      </w:pPr>
      <w:r>
        <w:rPr>
          <w:rFonts w:ascii="Arial" w:cs="Arial" w:eastAsia="Arial" w:hAnsi="Arial"/>
          <w:sz w:val="18"/>
          <w:szCs w:val="18"/>
          <w:color w:val="auto"/>
        </w:rPr>
        <w:t>The most significant accounting policies followed by the Company are presented in Note 1 to the annual audited consolidated financial statements. These policies, along with the disclosures presented in the other financial statement notes and in this discussion, provide information on how significant assets and liabilities are valued in the consolidated quarterly</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47</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959" w:right="660" w:bottom="1440" w:gutter="0" w:footer="0" w:header="0"/>
        </w:sectPr>
      </w:pPr>
    </w:p>
    <w:bookmarkStart w:id="47" w:name="page48"/>
    <w:bookmarkEnd w:id="47"/>
    <w:p>
      <w:pPr>
        <w:ind w:right="100"/>
        <w:spacing w:after="0" w:line="255" w:lineRule="auto"/>
        <w:rPr>
          <w:sz w:val="20"/>
          <w:szCs w:val="20"/>
          <w:color w:val="auto"/>
        </w:rPr>
      </w:pPr>
      <w:r>
        <w:rPr>
          <w:rFonts w:ascii="Arial" w:cs="Arial" w:eastAsia="Arial" w:hAnsi="Arial"/>
          <w:sz w:val="18"/>
          <w:szCs w:val="18"/>
          <w:color w:val="auto"/>
        </w:rPr>
        <w:t>financial statements and how those values are determined. Based on the valuation techniques used and the sensitivity of financial statement amounts to the methods, assumptions, and estimates underlying those amounts, management has identified the allowance for credit losses, deferred income taxes, pension obligations, the evaluation of investment securities for credit losses, the estimation of fair values for accounting and disclosure purposes, and the evaluation of goodwill for impairment to be the accounting areas that require the most subjective and complex judgments. These areas could be the most subject to revision as new information becomes available.</w:t>
      </w:r>
    </w:p>
    <w:p>
      <w:pPr>
        <w:spacing w:after="0" w:line="14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June 2016, the FASB issued Accounting Standards Update (ASU) 2016-13, Financial Instruments - Credit Losses (Topic 326): Measurement of Credit Losses on Financial Instruments. The standard’s stated main goal is to improve financial reporting by requiring earlier recognition of credit losses on financing receivables (such as loans) and other financial assets in scope. The ASU requires entities to measure credit losses on most financial assets carried at amortized costs and certain other instruments using an expected credit loss model. Banks in the United States above $5.0 billion in assets generally adopted this new way of measuring loan losses called the “Current Expected Credit Loss” (“CECL”) model in 2020, with smaller public and private banks, such as Pathfinder, required to convert to this method in fiscal years beginning after December 15, 2022. The Company computed its Allowance for Loan Losses at December 31, 2022 using a methodology called the "Incurred Loss Model" ("ILM"), which remained applicable GAAP at that date. ILM (previous GAAP) assumes that all loans will be repaid until evidence to the contrary (known as a loss or trigger event) is identified. Only at that point is the impaired loan (or portfolio of loans) written down to a lower value. CECL requires that an estimate of loss for the entire life cycle of each asset with credit loss exposure be recorded at the funding date of that asset as a component of the reported Allowance for Credit Losses ("ACL").</w:t>
      </w:r>
    </w:p>
    <w:p>
      <w:pPr>
        <w:spacing w:after="0" w:line="17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ACL represents management's estimate of probable credit losses inherent in the loan portfolio. Determining the amount of the allowance for credit losses is considered a critical accounting estimate because it requires significant judgment on the use of estimates related to the amount and timing of expected future cash flows on impaired loans, estimated losses on pools of homogeneous loans based on historical loss experience, and environmental factors, all of which may be susceptible to significant change. The Company establishes a specific allowance for all commercial loans in excess of the total related credit threshold of $100,000 and single borrower residential mortgage loans in excess of the total related credit threshold of $ 300,000 identified as being impaired which are on nonaccrual and have been risk rated under the Company’s risk rating system as substandard, doubtful, or loss. In addition, an accruing substandard loan could be identified as being impaired.</w:t>
      </w:r>
    </w:p>
    <w:p>
      <w:pPr>
        <w:spacing w:after="0" w:line="19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Loan impairment is measured by determining the present value of expected future cash flows or, for collateral-dependent loans, the fair value of the collateral adjusted for market conditions and selling expenses as compared to the loan carrying value. For all other loans and leases, the Company uses the general allocation methodology that establishes an allowance to estimate the probable incurred loss for each risk-rating category. The measurement of impaired loans is generally based upon the present value of future cash flows discounted at the historical effective interest rate, except that all collateral-dependent loans are measured for impairment based on the fair value of the collateral, less costs to sell. At June 30, 2023, the Bank’s position in impaired loans consisted of 76 loans totaling $21.9 million. Of these loans, 17 loans, totaling $1.7 million, were valued using the present value of future cash flows method; and 59 loans, totaling $20.2 million, were valued based on a collateral analysis. For all other loans, the Company uses the general allocation methodology that establishes an allowance to estimate the probable incurred loss for each risk-rating category.</w:t>
      </w:r>
    </w:p>
    <w:p>
      <w:pPr>
        <w:spacing w:after="0" w:line="18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estimating the ACL on loans, management considers the sensitivity of the model and significant judgments and assumptions that could result in an amount that is materially different from management’s estimate. At June 30, 2023, the Bank held $ 510.1 million in commercial real estate and commercial &amp; industrial loans (collectively, commercial loans) representing 57.3% of the Bank’s entire loan portfolio. The Bank allocated $ 11.4 million to the ACL for these loans, including $3.1 million derived from the use of qualitative factors in the calculation. Given the concentration of ACL allocation to the total commercial loan portfolio and the significant judgments made by management in deriving the qualitative loss factors, management considers the impact that changes in judgments could have on the ACL. The ACL could increase (or decrease) by approximately $959,000, assuming a 25% negative (or positive) change within the group of qualitative factors used to determine the ACL for commercial loans. The sensitivity and related range of impacts for various judgments on the ACL is a hypothetical analysis and is used to determine management’s judgments or assumptions of qualitative loss factors that were utilized at June 30, 2023 in the final recorded estimation of the ACL on loans recognized on the Statements of Financial Condition.</w:t>
      </w:r>
    </w:p>
    <w:p>
      <w:pPr>
        <w:spacing w:after="0" w:line="1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Deferred income tax assets and liabilities are determined using the liability method. Under this method, the net deferred tax asset or liability is recognized for the future tax consequences. This is attributable to the differences between the</w:t>
      </w:r>
    </w:p>
    <w:p>
      <w:pPr>
        <w:jc w:val="center"/>
        <w:ind w:right="-3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48</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959" w:right="700" w:bottom="1440" w:gutter="0" w:footer="0" w:header="0"/>
        </w:sectPr>
      </w:pPr>
    </w:p>
    <w:bookmarkStart w:id="48" w:name="page49"/>
    <w:bookmarkEnd w:id="48"/>
    <w:p>
      <w:pPr>
        <w:spacing w:after="0" w:line="254" w:lineRule="auto"/>
        <w:rPr>
          <w:sz w:val="20"/>
          <w:szCs w:val="20"/>
          <w:color w:val="auto"/>
        </w:rPr>
      </w:pPr>
      <w:r>
        <w:rPr>
          <w:rFonts w:ascii="Arial" w:cs="Arial" w:eastAsia="Arial" w:hAnsi="Arial"/>
          <w:sz w:val="18"/>
          <w:szCs w:val="18"/>
          <w:color w:val="auto"/>
        </w:rPr>
        <w:t>financial statement carrying amounts of existing assets and liabilities and their respective tax bases as well as net operating and capital loss carry-forwards. Deferred tax assets and liabilities are measured using enacted tax rates applied to taxable income in the years in which those temporary differences are expected to be recovered or settled. The effect on deferred tax assets and liabilities of a change in tax rates is recognized in income tax expense in the period that includes the enactment date. If current available evidence about the future raises doubt about the likelihood of a deferred tax asset being realized, a valuation allowance is established. The judgment about the level of future taxable income, including that which is considered capital, is inherently subjective and is reviewed on a continual basis as regulatory and business factors change.</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effective tax rate typically differs from the 21% federal statutory tax rate due primarily to New York State income taxes, partially offset by tax-exempt income from specific types of investment securities and loans, bank owned life insurance, and to a much lesser degree, the utilization of low income housing tax credits. In addition, the tax effects of certain incentive stock option activity may reduce the Company’s effective tax rate on a sporadic basis.</w:t>
      </w:r>
    </w:p>
    <w:p>
      <w:pPr>
        <w:spacing w:after="0" w:line="13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maintain a noncontributory defined benefit pension plan covering most employees. The plan provides defined benefits based on years of service and final average salary. On May 14, 2012, we informed our employees of our decision to freeze participation and benefit accruals under the plan, primarily to reduce some of the volatility in earnings that can accompany the maintenance of a defined benefit plan. Pension and post-retirement benefit plan liabilities and expenses are based upon actuarial assumptions of future events; including fair value of plan assets, interest rates, and the length of time the Company will have to provide those benefits. The assumptions used by management are discussed in Note 14 to the consolidated annual financial statements.</w:t>
      </w:r>
    </w:p>
    <w:p>
      <w:pPr>
        <w:spacing w:after="0" w:line="14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When the fair value of a security categorized as available -for-sale ("AFS") or held-to-maturity ("HTM") is less than its amortized cost basis, an assessment is made as to whether or not credit loss is present. Management makes a quantitative determination of potential credit loss for all HTM securities even if the risk of credit loss is considered remote and uses a best estimate threshold for securities categorized as AFS. The Company considers numerous factors when determining whether a potential credit loss exists. The principal factors considered are (1) the financial condition of the issue and (guarantor, if any) and adverse conditions specifically related to the security, industry or geographic area, (2) failure of the issuer of the security to make scheduled interest or principal payments, (3) any changes to the rating of the security by a nationally recognized statistical rating organization (“NRSRO”), and (4) the presence of contractual credit enhancements, if any, including the guarantee of the federal government or any of its agencies.</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carries all of its AFS investments at fair value with any unrealized gains or losses reported, net of tax, as an adjustment to shareholders' equity and included in accumulated other comprehensive income (loss), except for the credit-related portion of debt securities’ impairment losses securities which are charged to earnings. The Company's ability to fully realize the value of its investments in various securities, including corporate debt securities, is dependent on the underlying creditworthiness of the issuing organization. In evaluating the debt securities portfolio, for both AFS and HTM securities for credit losses, management considers (1) if we intend to sell the security; (2) if it is “more likely than not” we will be required to sell the security before recovery of its amortized cost basis; or (3) if the present value of expected cash flows is insufficient to recover the entire amortized cost basis.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estimation of fair value is significant to several of our assets; including AFS and marketable equity investment securities, intangible assets, foreclosed real estate, and the value of loan collateral when valuing loans. These are all recorded at either fair value, or the lower of cost or fair value. Fair values are determined based on third party sources, when available. Furthermore, accounting principles generally accepted in the United States require disclosure of the fair value of financial instruments as a part of the notes to the annual audited consolidated financial statements. Fair values on our AFS securities may be influenced by a number of factors including market interest rates, prepayment speeds, discount rates, and the shape of yield curves.</w:t>
      </w:r>
    </w:p>
    <w:p>
      <w:pPr>
        <w:spacing w:after="0" w:line="14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Fair values for securities AFS are obtained from unaffiliated third party pricing services. Where available, fair values are based on quoted prices on a nationally recognized securities exchange. If quoted prices are not available, fair values are measured using quoted market prices for similar benchmark securities. Management made no adjustments to the fair value quotes that were provided by the pricing sources. Fair values for marketable equity securities are based on quoted prices on a nationally recognized securities exchange for similar benchmark securities. The fair values of foreclosed real estate and the underlying collateral value of impaired loans are typically determined based on evaluations by third parties, less estimated costs to sell. When necessary, appraisals are updated to reflect changes in market conditions.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49</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887" w:right="720" w:bottom="1440" w:gutter="0" w:footer="0" w:header="0"/>
        </w:sectPr>
      </w:pPr>
    </w:p>
    <w:bookmarkStart w:id="49" w:name="page50"/>
    <w:bookmarkEnd w:id="49"/>
    <w:p>
      <w:pPr>
        <w:spacing w:after="0" w:line="255" w:lineRule="auto"/>
        <w:rPr>
          <w:sz w:val="20"/>
          <w:szCs w:val="20"/>
          <w:color w:val="auto"/>
        </w:rPr>
      </w:pPr>
      <w:r>
        <w:rPr>
          <w:rFonts w:ascii="Arial" w:cs="Arial" w:eastAsia="Arial" w:hAnsi="Arial"/>
          <w:sz w:val="18"/>
          <w:szCs w:val="18"/>
          <w:color w:val="auto"/>
        </w:rPr>
        <w:t>Management performs an annual evaluation of our goodwill for possible impairment at each of our reporting units. Based on the results of the December 31, 2022 evaluation, management has determined that the carrying value of goodwill was not impaired as of that date. Management will continuously evaluate all relevant economic and operational factors potentially affecting the Bank or the fair value of its assets, including goodwill. Should the pandemic or recent banking crisis, or the future economic consequences thereof, require a significant and sustained change in the operations of the Bank, re-evaluations of the Bank’s goodwill valuation will be conducted on a more frequent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June 30, 2023, the Company announced that its Board of Directors declared a cash dividend of $ 0.09 per share on the Company's voting common and non-voting common stock, and a cash dividend of $0.09 per notional share for the issued warrant relating to the fiscal quarter ended June 30, 2023. The dividends are payable to all shareholders of record on July 21, 2023 and will be paid on August 11, 2023.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Results of Operations</w:t>
      </w:r>
    </w:p>
    <w:p>
      <w:pPr>
        <w:spacing w:after="0" w:line="187"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The following represents the significant highlights of the Company’s operating results between the second quarter of 2023 and the second quarter of 2022.</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•Net income attributable to Pathfinder Bancorp, Inc. decreased $1.3 million or 39.4% to $2.0 million.</w:t>
      </w:r>
    </w:p>
    <w:p>
      <w:pPr>
        <w:spacing w:after="0" w:line="21" w:lineRule="exact"/>
        <w:rPr>
          <w:sz w:val="20"/>
          <w:szCs w:val="20"/>
          <w:color w:val="auto"/>
        </w:rPr>
      </w:pPr>
    </w:p>
    <w:p>
      <w:pPr>
        <w:ind w:left="480" w:right="220"/>
        <w:spacing w:after="0" w:line="250" w:lineRule="auto"/>
        <w:rPr>
          <w:sz w:val="20"/>
          <w:szCs w:val="20"/>
          <w:color w:val="auto"/>
        </w:rPr>
      </w:pPr>
      <w:r>
        <w:rPr>
          <w:rFonts w:ascii="Arial" w:cs="Arial" w:eastAsia="Arial" w:hAnsi="Arial"/>
          <w:sz w:val="18"/>
          <w:szCs w:val="18"/>
          <w:color w:val="auto"/>
        </w:rPr>
        <w:t>•Basic and diluted earnings per voting common share were both $0.32 per share and decreased $0.22 per share from $0.54 per share.</w:t>
      </w:r>
    </w:p>
    <w:p>
      <w:pPr>
        <w:spacing w:after="0" w:line="1" w:lineRule="exact"/>
        <w:rPr>
          <w:sz w:val="20"/>
          <w:szCs w:val="20"/>
          <w:color w:val="auto"/>
        </w:rPr>
      </w:pPr>
    </w:p>
    <w:p>
      <w:pPr>
        <w:ind w:left="480" w:right="300"/>
        <w:spacing w:after="0" w:line="250" w:lineRule="auto"/>
        <w:rPr>
          <w:sz w:val="20"/>
          <w:szCs w:val="20"/>
          <w:color w:val="auto"/>
        </w:rPr>
      </w:pPr>
      <w:r>
        <w:rPr>
          <w:rFonts w:ascii="Arial" w:cs="Arial" w:eastAsia="Arial" w:hAnsi="Arial"/>
          <w:sz w:val="18"/>
          <w:szCs w:val="18"/>
          <w:color w:val="auto"/>
        </w:rPr>
        <w:t>•Return on average assets decreased 42 basis points to 0.57% due to a decrease in income and increase in average asset balances.</w:t>
      </w:r>
    </w:p>
    <w:p>
      <w:pPr>
        <w:spacing w:after="0" w:line="1" w:lineRule="exact"/>
        <w:rPr>
          <w:sz w:val="20"/>
          <w:szCs w:val="20"/>
          <w:color w:val="auto"/>
        </w:rPr>
      </w:pPr>
    </w:p>
    <w:p>
      <w:pPr>
        <w:ind w:left="480" w:right="40"/>
        <w:spacing w:after="0" w:line="250" w:lineRule="auto"/>
        <w:rPr>
          <w:sz w:val="20"/>
          <w:szCs w:val="20"/>
          <w:color w:val="auto"/>
        </w:rPr>
      </w:pPr>
      <w:r>
        <w:rPr>
          <w:rFonts w:ascii="Arial" w:cs="Arial" w:eastAsia="Arial" w:hAnsi="Arial"/>
          <w:sz w:val="18"/>
          <w:szCs w:val="18"/>
          <w:color w:val="auto"/>
        </w:rPr>
        <w:t>•Net interest income, after provision for credit losses, decreased $1.3 million, or 13.4% to $8.6 million. Excluding the provision, net interest income decreased $245,000, or 2.46%, to $9.7 million. The decrease in net interest income, before provision for credit losses, was primarily due to an increase in the average balance of interest-bearing liabilities of $68.7 million, combined with a 187 basis points increase in the average rates paid on interest-bearing liabilities. These decreases were partially offset by the increase in the average balance of interest -earning assets of $45.9 million, coupled with an increase in the average yield earned on those assets of 136 basis points, from 3.69% for the three months ended June 30, 2022 to 5.05% for the three months ended June 30, 2023.</w:t>
      </w:r>
    </w:p>
    <w:p>
      <w:pPr>
        <w:spacing w:after="0" w:line="3" w:lineRule="exact"/>
        <w:rPr>
          <w:sz w:val="20"/>
          <w:szCs w:val="20"/>
          <w:color w:val="auto"/>
        </w:rPr>
      </w:pPr>
    </w:p>
    <w:p>
      <w:pPr>
        <w:ind w:left="480" w:right="520"/>
        <w:spacing w:after="0" w:line="250" w:lineRule="auto"/>
        <w:rPr>
          <w:sz w:val="20"/>
          <w:szCs w:val="20"/>
          <w:color w:val="auto"/>
        </w:rPr>
      </w:pPr>
      <w:r>
        <w:rPr>
          <w:rFonts w:ascii="Arial" w:cs="Arial" w:eastAsia="Arial" w:hAnsi="Arial"/>
          <w:sz w:val="18"/>
          <w:szCs w:val="18"/>
          <w:color w:val="auto"/>
        </w:rPr>
        <w:t>•The increase in the provision for credit losses of $1.1 million was primarily due to management's decision to downgrade certain commercial real estate and commercial loans with two large credit relationships.</w:t>
      </w:r>
    </w:p>
    <w:p>
      <w:pPr>
        <w:spacing w:after="0" w:line="1" w:lineRule="exact"/>
        <w:rPr>
          <w:sz w:val="20"/>
          <w:szCs w:val="20"/>
          <w:color w:val="auto"/>
        </w:rPr>
      </w:pPr>
    </w:p>
    <w:p>
      <w:pPr>
        <w:ind w:left="480" w:right="60"/>
        <w:spacing w:after="0" w:line="250" w:lineRule="auto"/>
        <w:rPr>
          <w:sz w:val="20"/>
          <w:szCs w:val="20"/>
          <w:color w:val="auto"/>
        </w:rPr>
      </w:pPr>
      <w:r>
        <w:rPr>
          <w:rFonts w:ascii="Arial" w:cs="Arial" w:eastAsia="Arial" w:hAnsi="Arial"/>
          <w:sz w:val="18"/>
          <w:szCs w:val="18"/>
          <w:color w:val="auto"/>
        </w:rPr>
        <w:t>•The net interest margin for the second quarter of 2023 was 2.99%, an 11 basis points decrease compared to 3.14% for the same quarter in 2022. This reflects a 157 basis points increase in the average cost paid on interest-bearing liabilities, offset by a 119 basis points increase in the average yield earned on interest-earning assets.</w:t>
      </w:r>
    </w:p>
    <w:p>
      <w:pPr>
        <w:spacing w:after="0" w:line="1" w:lineRule="exact"/>
        <w:rPr>
          <w:sz w:val="20"/>
          <w:szCs w:val="20"/>
          <w:color w:val="auto"/>
        </w:rPr>
      </w:pPr>
    </w:p>
    <w:p>
      <w:pPr>
        <w:ind w:left="480" w:right="60"/>
        <w:spacing w:after="0" w:line="249" w:lineRule="auto"/>
        <w:rPr>
          <w:sz w:val="20"/>
          <w:szCs w:val="20"/>
          <w:color w:val="auto"/>
        </w:rPr>
      </w:pPr>
      <w:r>
        <w:rPr>
          <w:rFonts w:ascii="Arial" w:cs="Arial" w:eastAsia="Arial" w:hAnsi="Arial"/>
          <w:sz w:val="18"/>
          <w:szCs w:val="18"/>
          <w:color w:val="auto"/>
        </w:rPr>
        <w:t>•The effective income tax rate increased 2.0% to 21.2% for the three months ended June 30, 2023 as compared to 19.2% for the same three month period in 2022. The increase in the tax rate in the second quarter of 2023, as compared to the same quarter in 2022, was primarily related to the reversal of a deferred tax asset valuation allowance in the quarter ended June 30, 2022, and a decrease in other permanent tax differences for the quarter ended June 30, 2023 as compared to the quarter ended June 30, 2022.</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50</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959" w:right="700" w:bottom="1440" w:gutter="0" w:footer="0" w:header="0"/>
        </w:sectPr>
      </w:pPr>
    </w:p>
    <w:bookmarkStart w:id="50" w:name="page51"/>
    <w:bookmarkEnd w:id="50"/>
    <w:p>
      <w:pPr>
        <w:ind w:right="240"/>
        <w:spacing w:after="0" w:line="275" w:lineRule="auto"/>
        <w:rPr>
          <w:sz w:val="20"/>
          <w:szCs w:val="20"/>
          <w:color w:val="auto"/>
        </w:rPr>
      </w:pPr>
      <w:r>
        <w:rPr>
          <w:rFonts w:ascii="Arial" w:cs="Arial" w:eastAsia="Arial" w:hAnsi="Arial"/>
          <w:sz w:val="18"/>
          <w:szCs w:val="18"/>
          <w:color w:val="auto"/>
        </w:rPr>
        <w:t>The following represents the significant highlights of the Company’s operating results between the first six months of 2023 and the first six months of 2022.</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•Net income decreased $1.6 million, or 26.4%, to $4.6 million.</w:t>
      </w:r>
    </w:p>
    <w:p>
      <w:pPr>
        <w:spacing w:after="0" w:line="21" w:lineRule="exact"/>
        <w:rPr>
          <w:sz w:val="20"/>
          <w:szCs w:val="20"/>
          <w:color w:val="auto"/>
        </w:rPr>
      </w:pPr>
    </w:p>
    <w:p>
      <w:pPr>
        <w:ind w:left="480" w:right="240"/>
        <w:spacing w:after="0" w:line="250" w:lineRule="auto"/>
        <w:rPr>
          <w:sz w:val="20"/>
          <w:szCs w:val="20"/>
          <w:color w:val="auto"/>
        </w:rPr>
      </w:pPr>
      <w:r>
        <w:rPr>
          <w:rFonts w:ascii="Arial" w:cs="Arial" w:eastAsia="Arial" w:hAnsi="Arial"/>
          <w:sz w:val="18"/>
          <w:szCs w:val="18"/>
          <w:color w:val="auto"/>
        </w:rPr>
        <w:t>•Basic and diluted earnings per voting common share were both $0.75 per share and decreased $0.28 per share from $1.03 per share</w:t>
      </w:r>
    </w:p>
    <w:p>
      <w:pPr>
        <w:spacing w:after="0" w:line="1" w:lineRule="exact"/>
        <w:rPr>
          <w:sz w:val="20"/>
          <w:szCs w:val="20"/>
          <w:color w:val="auto"/>
        </w:rPr>
      </w:pPr>
    </w:p>
    <w:p>
      <w:pPr>
        <w:ind w:left="480" w:right="320"/>
        <w:spacing w:after="0" w:line="250" w:lineRule="auto"/>
        <w:rPr>
          <w:sz w:val="20"/>
          <w:szCs w:val="20"/>
          <w:color w:val="auto"/>
        </w:rPr>
      </w:pPr>
      <w:r>
        <w:rPr>
          <w:rFonts w:ascii="Arial" w:cs="Arial" w:eastAsia="Arial" w:hAnsi="Arial"/>
          <w:sz w:val="18"/>
          <w:szCs w:val="18"/>
          <w:color w:val="auto"/>
        </w:rPr>
        <w:t>•Return on average assets decreased 28 basis points to 0.66% due to a decrease in income and increase in average asset balances.</w:t>
      </w:r>
    </w:p>
    <w:p>
      <w:pPr>
        <w:spacing w:after="0" w:line="1" w:lineRule="exact"/>
        <w:rPr>
          <w:sz w:val="20"/>
          <w:szCs w:val="20"/>
          <w:color w:val="auto"/>
        </w:rPr>
      </w:pPr>
    </w:p>
    <w:p>
      <w:pPr>
        <w:jc w:val="both"/>
        <w:ind w:left="480"/>
        <w:spacing w:after="0" w:line="250" w:lineRule="auto"/>
        <w:rPr>
          <w:sz w:val="20"/>
          <w:szCs w:val="20"/>
          <w:color w:val="auto"/>
        </w:rPr>
      </w:pPr>
      <w:r>
        <w:rPr>
          <w:rFonts w:ascii="Arial" w:cs="Arial" w:eastAsia="Arial" w:hAnsi="Arial"/>
          <w:sz w:val="18"/>
          <w:szCs w:val="18"/>
          <w:color w:val="auto"/>
        </w:rPr>
        <w:t>•Net interest income, after provision for credit losses, decreased by $1.4 million, or 7.3%, to $17.9 million. This decrease in net interest income after provision for credit losses was primarily due to the increase in total interest expense, partially offset by an increase in the average balances of interest-earning assets.</w:t>
      </w:r>
    </w:p>
    <w:p>
      <w:pPr>
        <w:spacing w:after="0" w:line="1" w:lineRule="exact"/>
        <w:rPr>
          <w:sz w:val="20"/>
          <w:szCs w:val="20"/>
          <w:color w:val="auto"/>
        </w:rPr>
      </w:pPr>
    </w:p>
    <w:p>
      <w:pPr>
        <w:ind w:left="480" w:right="60"/>
        <w:spacing w:after="0" w:line="252" w:lineRule="auto"/>
        <w:rPr>
          <w:sz w:val="20"/>
          <w:szCs w:val="20"/>
          <w:color w:val="auto"/>
        </w:rPr>
      </w:pPr>
      <w:r>
        <w:rPr>
          <w:rFonts w:ascii="Arial" w:cs="Arial" w:eastAsia="Arial" w:hAnsi="Arial"/>
          <w:sz w:val="18"/>
          <w:szCs w:val="18"/>
          <w:color w:val="auto"/>
        </w:rPr>
        <w:t>•Net interest margin decreased by 11 basis points to 2.99%, primarily as the result of a 34 basis points decrease in the average yield for interest- earning assets, offset by an 8 basis points decline in the average cost for interest-bearing liabilities. •The effective income tax rate increased 1.2% to 20.5% for the six months ended June 30, 2023 as compared to 19.3% for the same six month period in 2022. The increase in the tax rate in the second quarter of 2023, as compared to the same quarter in 2022, was primarily related to the reversal of a deferred tax asset valuation allowance in the quarter ended June 30, 2022, and a decrease in other permanent tax differences for the quarter ended June 30, 2023 as compared to the quarter ended June 30, 2022.</w:t>
      </w:r>
    </w:p>
    <w:p>
      <w:pPr>
        <w:spacing w:after="0" w:line="147"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The following reflects the significant changes in financial condition between June 30, 2023 and December 31, 2022. In addition, the following reflects significant changes in asset quality metrics between June 30, 2023 and June 30, 2022.</w:t>
      </w:r>
    </w:p>
    <w:p>
      <w:pPr>
        <w:spacing w:after="0" w:line="174" w:lineRule="exact"/>
        <w:rPr>
          <w:sz w:val="20"/>
          <w:szCs w:val="20"/>
          <w:color w:val="auto"/>
        </w:rPr>
      </w:pPr>
    </w:p>
    <w:p>
      <w:pPr>
        <w:ind w:left="480" w:right="100"/>
        <w:spacing w:after="0" w:line="257" w:lineRule="auto"/>
        <w:rPr>
          <w:sz w:val="20"/>
          <w:szCs w:val="20"/>
          <w:color w:val="auto"/>
        </w:rPr>
      </w:pPr>
      <w:r>
        <w:rPr>
          <w:rFonts w:ascii="Arial" w:cs="Arial" w:eastAsia="Arial" w:hAnsi="Arial"/>
          <w:sz w:val="18"/>
          <w:szCs w:val="18"/>
          <w:color w:val="auto"/>
        </w:rPr>
        <w:t>•Total assets decreased $7.6 million, or 0.54% to $1.39 billion at June 30, 2023 as compared to December 31, 2022, primarily driven by lower investment securities balances and loan balances.</w:t>
      </w:r>
    </w:p>
    <w:p>
      <w:pPr>
        <w:spacing w:after="0" w:line="1" w:lineRule="exact"/>
        <w:rPr>
          <w:sz w:val="20"/>
          <w:szCs w:val="20"/>
          <w:color w:val="auto"/>
        </w:rPr>
      </w:pPr>
    </w:p>
    <w:p>
      <w:pPr>
        <w:ind w:left="480" w:right="240"/>
        <w:spacing w:after="0" w:line="250" w:lineRule="auto"/>
        <w:rPr>
          <w:sz w:val="20"/>
          <w:szCs w:val="20"/>
          <w:color w:val="auto"/>
        </w:rPr>
      </w:pPr>
      <w:r>
        <w:rPr>
          <w:rFonts w:ascii="Arial" w:cs="Arial" w:eastAsia="Arial" w:hAnsi="Arial"/>
          <w:sz w:val="18"/>
          <w:szCs w:val="18"/>
          <w:color w:val="auto"/>
        </w:rPr>
        <w:t>•Asset quality metrics, as measured by net loan charge-offs, declined in comparison to linked reporting periods. The annualized net loan charge- offs to average loans ratio was 0.06% for the first quarter of 2023, compared to 0.0% for the first quarter of 2022, and 0.04% for the fourth quarter of 2022.</w:t>
      </w:r>
    </w:p>
    <w:p>
      <w:pPr>
        <w:spacing w:after="0" w:line="1" w:lineRule="exact"/>
        <w:rPr>
          <w:sz w:val="20"/>
          <w:szCs w:val="20"/>
          <w:color w:val="auto"/>
        </w:rPr>
      </w:pPr>
    </w:p>
    <w:p>
      <w:pPr>
        <w:ind w:left="480" w:right="140"/>
        <w:spacing w:after="0" w:line="256" w:lineRule="auto"/>
        <w:rPr>
          <w:sz w:val="20"/>
          <w:szCs w:val="20"/>
          <w:color w:val="auto"/>
        </w:rPr>
      </w:pPr>
      <w:r>
        <w:rPr>
          <w:rFonts w:ascii="Arial" w:cs="Arial" w:eastAsia="Arial" w:hAnsi="Arial"/>
          <w:sz w:val="18"/>
          <w:szCs w:val="18"/>
          <w:color w:val="auto"/>
        </w:rPr>
        <w:t>•Nonperforming loans to total loans were 2.28% at June 30, 2023, compared to 1.35% at June 30, 2022 and 1.00% at December 31, 2022. Correspondingly, the ratio of the allowance for credit losses to nonperforming loans was 92.37% at June 30, 2023, as compared to 111.9% at June 30, 2022, and 169.93% at December 31, 2022.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net income of $2.0 million for the three months ended June 30, 2023 compared to net income of $3.3 million for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three months ended June 30, 2022. The $1.3 million decrease in net income was due primarily to a $5.2 million increase in total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a $1.1 million increase in provision for credit losses, a $211,000 decrease in total noninterest income, and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$28,000 increase in total noninterest expense. These year-over-year changes were partially offset by a $4.9 million increase in total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and dividend income and a $250,000 decrease in provision for income taxes.</w:t>
      </w:r>
    </w:p>
    <w:p>
      <w:pPr>
        <w:spacing w:after="0" w:line="21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Net interest income before the provision for credit losses decreased $245,000, or 2.46%, to $9.7 million for the three months ended June 30, 2023, as compared to $10.0 million for the same three month period in 2022. The decrease in net interest income was due to a 187 basis points increase in the average cost of total interest- bearing liabilities in the second quarter of 2023, as compared to the same quarter in 2022, combined with a $68.7 million increase in the average balance of total interest-bearing liabilities. The increase in the average rates paid on interest- bearing liabilities in the second quarter of 2023, as compared to the same quarter in 2022, reflects the generally increased rates of interest for all financial instruments that has occurred in 2023 due to the rising interest rate environment and increased competition for deposits.</w:t>
      </w:r>
    </w:p>
    <w:p>
      <w:pPr>
        <w:spacing w:after="0" w:line="19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These decreases were partially offset by the result of increases in the average yields of loans and taxable and tax-exempt investment securities portfolios, combined with increases in the average balances of the loan portfolio of $44.2 million and $9.8 million in the investment portfolios. These increases resulted in a 136 basis points increase to 5.05% in total average interest- earning asset yield for the three months ended June 30, 2023 as compared to 3.69% for the same three month period of the previous year. The increase in the average yield received on interest-earning assets in the second quarter of 2023, as compared to the same quarter in 2022, reflects generally increased rates of interest for newly funded loans and investment securities, as compared to the average yields within these portfolios, as well as increases in coupon rates for certain adjustable-rate loans and securities in the rising interest rate environment that has occurred in 2022 and 2023. To some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51</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59" w:right="680" w:bottom="1440" w:gutter="0" w:footer="0" w:header="0"/>
        </w:sectPr>
      </w:pPr>
    </w:p>
    <w:bookmarkStart w:id="51" w:name="page52"/>
    <w:bookmarkEnd w:id="51"/>
    <w:p>
      <w:pPr>
        <w:ind w:right="60"/>
        <w:spacing w:after="0" w:line="263" w:lineRule="auto"/>
        <w:rPr>
          <w:sz w:val="20"/>
          <w:szCs w:val="20"/>
          <w:color w:val="auto"/>
        </w:rPr>
      </w:pPr>
      <w:r>
        <w:rPr>
          <w:rFonts w:ascii="Arial" w:cs="Arial" w:eastAsia="Arial" w:hAnsi="Arial"/>
          <w:sz w:val="18"/>
          <w:szCs w:val="18"/>
          <w:color w:val="auto"/>
        </w:rPr>
        <w:t>degree, these increases in the average yield on loans during 2023, were partially offset by reduced fee recognition related to PPP loans. PPP fee recognition revenues were nominal in the second quarter of 2023, as compared to $267,000 in the second quarter of the previous year.</w:t>
      </w:r>
    </w:p>
    <w:p>
      <w:pPr>
        <w:spacing w:after="0" w:line="18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Company's noninterest income for the second quarter of 2023 amounted to $ 1.1 million, reflecting a reduction of $211,000, compared to the $1.3 million reported in the same quarter of 2022. This variation can primarily be attributed to the factors influencing recurring noninterest income, which excludes volatile items such as unrealized gains or losses on equity securities, as well as nonrecurring gains on sales of loans, investment securities, foreclosed real estate, premises, and equipment.</w:t>
      </w:r>
    </w:p>
    <w:p>
      <w:pPr>
        <w:spacing w:after="0" w:line="18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Noninterest income before gains and losses was $1.1 million in the quarter ended June 30, 2023, a decrease of $140,000, or 11.0%, as compared with the same three month period in 2022. This decrease was largely attributable to a decline of $119,000 in debit card interchange fees received during the quarter ended June 30, 2023, as compared to the same quarterly period in 2022. This quarterly decline relates to timing factors between the first two quarters of 2023. Debit card interchange fees collected in the first half of 2023 remain consistent with the level of fees collected in the first six months of 2022.</w:t>
      </w:r>
    </w:p>
    <w:p>
      <w:pPr>
        <w:spacing w:after="0" w:line="19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Total noninterest expense for the second quarter of 2023 was $ 7.2 million, a modest increase of $28,000, or 0.4%, compared to the same three month period in 2022. The increase was primarily a result of an increase of $149,000 in building and occupancy expenses, and higher salaries and employee benefits of $121,000, or 3.2%. Both of these increases are largely due to the opening of the Bank's eleventh full-service branch in November 2022. Professional and other service expenses, and insurance agency expenses also increased $ 51,000 and $29,000, respectively. Mostly offsetting these increases was a $219,000 decrease in other expenses, primarily due to a reclassification of certain issuer fees related to brokered deposit funding from noninterest expense to interest expense during the second quarter of 2023. This reclassification had no effect on overall net income. Advertising and data processing expenses also decreased $69,000 and $34,000, respectively. All other noninterest expense categories netted to zero in the three months ended June 30, 2023, as compared to the same quarter in 2022.</w:t>
      </w:r>
    </w:p>
    <w:p>
      <w:pPr>
        <w:spacing w:after="0" w:line="19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Management extensively reviews recent trends in changes in the size and composition of the loan portfolio, historical loss experience, qualitative factors, and specific reserve needs on loans individually evaluated for impairment, in its determination of the adequacy of the allowance for credit losses. For the three months ended June 30, 2023, $1.1 million was recorded in provision for credit losses as compared to $ 59,000 in the same prior year three month period. The primary driver of the increased provision expense in the second quarter of 2023, was management's decision to downgrade certain commercial real estate loans and commercial loans within two borrower relationships. These relationships are under active resolution management by the Company. Additionally, the provision in the quarter ended June 30, 2023 was reflective of the qualitative factors used in determining the adequacy of the allowance for credit losses and changes in the levels of delinquent and nonaccrual loans. The second quarter provision for credit losses reflects an addition to reserves considering loan growth and asset quality metrics. The credit-sensitive portfolios continue to be carefully monitored, and the Bank will consistently apply its loan classification and reserve building methodologies to the analysis of these portfolios.</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June 2016, the Financial Accounting Standards Board (“FASB”) issued Accounting Standards Update (ASU) 2016 -13, Financial Instruments—Credit Losses (Topic 326): Measurement of Credit Losses on Financial Instruments, requiring financial institutions, such as the Bank, to adopt the Current Expected Credit Loss (“CECL”) methodology according to a specified implementation timeline. In order to meet this requirement, the Bank adopted the CECL methodology for calculating its Allowance for Credit Losses (“ACL”) on January 1, 2023. The amended guidance replaces the previously -required Allowance for Loan and Lease Losses (“ALLL”) calculated under what was known as the Incurred Loss Model. The ACL represents a valuation account that is deducted from the amortized cost basis of includable financial assets to present their net carrying value at the amount expected to be collected over the entire life of those assets. The income statement now reflects the measurement of credit losses for newly recognized financial assets as well as expected increases, or decreases, of expected credit losses that have taken place during the reporting period. When determining the ACL, expected credit losses over the expected term of the financial asset will be estimated considering relevant information about past events, current conditions, and reasonable and supportable forecasts that affect the future collectability of the reported amount. In addition, the amended guidance requires credit losses relating to assets such as held-to-maturity debt securities and open contractual funding commitments to be recorded through the ACL. Because the CECL methodology requires that reserves be established within the ACL for a broad range of financial assets, including all loans, through the entirety of their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52</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87" w:right="680" w:bottom="1440" w:gutter="0" w:footer="0" w:header="0"/>
        </w:sectPr>
      </w:pPr>
    </w:p>
    <w:bookmarkStart w:id="52" w:name="page53"/>
    <w:bookmarkEnd w:id="52"/>
    <w:p>
      <w:pPr>
        <w:ind w:right="480"/>
        <w:spacing w:after="0" w:line="275" w:lineRule="auto"/>
        <w:rPr>
          <w:sz w:val="20"/>
          <w:szCs w:val="20"/>
          <w:color w:val="auto"/>
        </w:rPr>
      </w:pPr>
      <w:r>
        <w:rPr>
          <w:rFonts w:ascii="Arial" w:cs="Arial" w:eastAsia="Arial" w:hAnsi="Arial"/>
          <w:sz w:val="18"/>
          <w:szCs w:val="18"/>
          <w:color w:val="auto"/>
        </w:rPr>
        <w:t>expected lives and also considers new items, such as open funding commitments, the initial ACL upon adoption would, in most cases, be expected to be greater than the ALLL that it replaced.</w:t>
      </w:r>
    </w:p>
    <w:p>
      <w:pPr>
        <w:spacing w:after="0" w:line="17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transition to CECL also required that new reserves be created in the amounts of $450,000 and $552,000, related to held -to-maturity investments and unfunded commitments, respectively. Including the $1.9 million CECL transition adjustment related to loans, described above, the total CECL transition adjustment was $2.9 million on January 1, 2023, which was charged to retained earnings on that date.</w:t>
      </w:r>
    </w:p>
    <w:p>
      <w:pPr>
        <w:spacing w:after="0" w:line="18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total PCL for the three and six months ended June 30, 2023 was $1.1 million and $1.8 million, respectively, of which $1.2 million and $1.9 million related to the Company's loan portfolio for the three and six months ended June 30, 2023, respectively. The ACL related to loans was therefore $18.8 million at June 30, 2023. In addition, during the second quarter of 2023, the Company recorded modestly negative PCL charges of $29,000 and $16,000 for reserves related to held-to-maturity securities and unfunded commitments,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 comparing the year-over-year second quarter periods, the Company’s return on average assets decreased 42 basis points to</w:t>
      </w:r>
    </w:p>
    <w:p>
      <w:pPr>
        <w:spacing w:after="0" w:line="2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0.57% due to the combined effects of the decrease in net income (the numerator in the ratio), and an increase in average assets (the denominator in the ratio). Average assets increased due to increases in the balances of average loans and average investment securities of $44.2 million and $9.8 million, respectively, in the second quarter of 2023 as compared to the same quarter of 2022. Average interest-bearing deposits increased $39.8 million in the second quarter of 2023, as compared with the same quarter in</w:t>
      </w:r>
    </w:p>
    <w:p>
      <w:pPr>
        <w:spacing w:after="0" w:line="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2022. The increase in deposits was primarily due to increased time deposits, including brokered deposits, of $83.5 million. All other deposit accounts in aggregate decreased $43.7 million when compared with the same quarter in 2022.</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had net income of $4.6 million for the six months ended June 30, 2023 compared to net income of $6.2 million for the six months ended June 30, 2022. The $1.6 million decrease in net income was due primarily to an $8.7 million increase in total interest expense, and a $1.7 million increase in the provision for credit losses, partially offset by a $9.0 million increase in interest and dividend income.</w:t>
      </w:r>
    </w:p>
    <w:p>
      <w:pPr>
        <w:spacing w:after="0" w:line="18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Net interest income before the provision for credit losses increased $256,000 to $19.7 million for the six months ended June 30, 2023, as compared to $19.4 million for the same six month period in 2022. Interest expense increased $ 8.7 million to $12.0 million for the six months ended June 30, 2023 as compared to the prior year period. The average interest rate paid on interest-bearing liabilities increased by 157 basis points for the six months ended June 30, 2022 as compared to the prior year period, and average interest -bearing liabilities increased by $76.8 million, or 7.7%. Average loans for the first six months of 2023 increased by $48.9 million, or 5.7%, over the prior year period, while the average interest yield earned on average loans increased by 83 basis points, resulting in an increase of $4.8 million in interest income on loans for the six months ended June 30, 2023 as compared to the prior year period. Income from investment securities increased $4.1 million to $9.1 million for the six months ended June 30, 2023, as compared to the same prior year period.</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Noninterest income decreased $ 222,000 for the six months ended June 30, 2023, when compared to the same six month period in 2022. This decrease was mostly due to a $208,000 increase in loss on marketable equity securities, a $ 133,000 loss on sales and redemptions of investment securities, a $47,000 decrease in loan servicing fees, a $26,000 decrease in debit card interchange fees, and a $19,000 decrease in other charges, commissions, and fees. Partially offsetting this decrease was a $100,000 increase in insurance agency revenue, a $67,000 gain on sales of loans and foreclosed real estate, a $28,000 increase in service charges on deposit accounts, and a $16,000 increase in earnings and gain on bank owned life insurance.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Total noninterest expense for the first six month period of 2023 was $14.7 million, an increase of $300,000, or 2.1%, compared with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$14.4 million for the prior year period. The increase was primarily a result of higher salaries and employee benefits expense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$255,000, or 3.3%. This increase in salaries was primarily due to increases in individual salaries, enacted early in 2023, as well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modest additions to staff headcount. The Company increased its salary structure where deemed appropriate in order to effectively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respond to inflationary and competitive pressures within our marketplace to recruit and retain talent. The increase in noninterest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expense was due to an increase in building and occupancy of $175,000 for the six months ended June 30, 2023, when compared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million for the same prior year period. This was primarily due to the addition of the Bank's eleventh full-service branch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2022. These increases, when comparing both three and six month periods, can be attributed to increasing costs of third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party software services, totaling $128,000 during June 2023.</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53</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87" w:right="680" w:bottom="1440" w:gutter="0" w:footer="0" w:header="0"/>
        </w:sectPr>
      </w:pPr>
    </w:p>
    <w:bookmarkStart w:id="53" w:name="page54"/>
    <w:bookmarkEnd w:id="53"/>
    <w:p>
      <w:pPr>
        <w:spacing w:after="0" w:line="275" w:lineRule="auto"/>
        <w:rPr>
          <w:sz w:val="20"/>
          <w:szCs w:val="20"/>
          <w:color w:val="auto"/>
        </w:rPr>
      </w:pPr>
      <w:r>
        <w:rPr>
          <w:rFonts w:ascii="Arial" w:cs="Arial" w:eastAsia="Arial" w:hAnsi="Arial"/>
          <w:sz w:val="18"/>
          <w:szCs w:val="18"/>
          <w:color w:val="auto"/>
        </w:rPr>
        <w:t>The additional increase when comparing the six month periods was mostly due to substantially nonrecurring legal fees in the amount of $107,000.</w:t>
      </w:r>
    </w:p>
    <w:p>
      <w:pPr>
        <w:spacing w:after="0" w:line="18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For the first six months of 2023, the Bank recorded $1.8 million in provision for credit losses as compared to $161,000 in the same prior year six month period. The provision was reflective of (1) the qualitative factors used in determining the adequacy of the allowance for credit losses, (2) the size of the loan portfolio, and (3) delinquent and nonaccrual loans. The increase in the provision for credit losses in the first half of 2023, as compared to the same period in 2022, was primarily related to the downgrade of two certain commercial real estate and commercial loan relationships, as compared to the same period in the previous year. The credit sensitive portfolios continue to be carefully monitored. Please refer to the asset quality section below for a further discussion of asset quality as it relates to the allowance for credit losses.</w:t>
      </w:r>
    </w:p>
    <w:p>
      <w:pPr>
        <w:spacing w:after="0" w:line="19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Return on average assets decreased 28 basis points to 0.66% between the year-over-year six month periods as there was a decrease in net income in the six month period ended June 30, 2023 (the numerator of the ratio) while the rate of average assets (the denominator of the ratio) grew during the period. Average assets increased due to increases in loans of $48.9 million and investment securities of $26.3 million in the six month period ended June 30, 2023 as compared to the same period of 2022. Average interest-bearing liabilities increased $76.8 million in the six months ended June 30 2023, as compared with the same period in 2022. The increase in deposits was primarily due to increased time deposits, including brokered deposits, of $80.3 million. All other deposit accounts in aggregate decreased $3.5 million as compared with the same period in 2022.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18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interest income is the Company's primary source of operating income for payment of operating expenses and providing for credit losses. It is the amount by which interest earned on loans, interest-earning deposits, and investment securities, exceeds the interest paid on deposits and other interest-bearing liabilities. Changes in net interest income and net interest margin result from the interaction between the volume and composition of interest-earning assets, interest-bearing liabilities, related yields, and associated funding costs.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54</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887" w:right="700" w:bottom="1440" w:gutter="0" w:footer="0" w:header="0"/>
        </w:sectPr>
      </w:pPr>
    </w:p>
    <w:bookmarkStart w:id="54" w:name="page55"/>
    <w:bookmarkEnd w:id="54"/>
    <w:p>
      <w:pPr>
        <w:ind w:right="140"/>
        <w:spacing w:after="0" w:line="273" w:lineRule="auto"/>
        <w:rPr>
          <w:sz w:val="20"/>
          <w:szCs w:val="20"/>
          <w:color w:val="auto"/>
        </w:rPr>
      </w:pPr>
      <w:r>
        <w:rPr>
          <w:rFonts w:ascii="Arial" w:cs="Arial" w:eastAsia="Arial" w:hAnsi="Arial"/>
          <w:sz w:val="17"/>
          <w:szCs w:val="17"/>
          <w:color w:val="auto"/>
        </w:rPr>
        <w:t>The following tables set forth information concerning average interest-earning assets and interest -bearing liabilities and the average yields and rates thereon for the periods indicated. Interest income and resultant yield information in the tables have not been adjusted for tax equivalency. Averages are computed on the daily average balance for each month in the period divided by the number of days in the period. Yields and amounts earned include loan fees of $2,000 and $545,000 for the periods ended June 30, 2023 and June 30, 2022, respectively. The decrease in loan fees for the year over year periods was primarily due to the decrease in PPP loan fee income. Nonaccrual loans have been included in interest-earning assets for purposes of these calculations.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gridSpan w:val="2"/>
          </w:tcPr>
          <w:p>
            <w:pPr>
              <w:jc w:val="right"/>
              <w:ind w:right="22"/>
              <w:spacing w:after="0"/>
              <w:rPr>
                <w:sz w:val="20"/>
                <w:szCs w:val="20"/>
                <w:color w:val="auto"/>
              </w:rPr>
            </w:pPr>
            <w:r>
              <w:rPr>
                <w:rFonts w:ascii="Arial" w:cs="Arial" w:eastAsia="Arial" w:hAnsi="Arial"/>
                <w:sz w:val="16"/>
                <w:szCs w:val="16"/>
                <w:i w:val="1"/>
                <w:iCs w:val="1"/>
                <w:color w:val="auto"/>
              </w:rPr>
              <w:t>(Unaudited)</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900" w:type="dxa"/>
            <w:vAlign w:val="bottom"/>
            <w:gridSpan w:val="4"/>
          </w:tcPr>
          <w:p>
            <w:pPr>
              <w:jc w:val="right"/>
              <w:ind w:right="102"/>
              <w:spacing w:after="0"/>
              <w:rPr>
                <w:sz w:val="20"/>
                <w:szCs w:val="20"/>
                <w:color w:val="auto"/>
              </w:rPr>
            </w:pPr>
            <w:r>
              <w:rPr>
                <w:rFonts w:ascii="Arial" w:cs="Arial" w:eastAsia="Arial" w:hAnsi="Arial"/>
                <w:sz w:val="16"/>
                <w:szCs w:val="16"/>
                <w:color w:val="auto"/>
              </w:rPr>
              <w:t>For the three months ended June 30,</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2023</w:t>
            </w: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442"/>
              <w:spacing w:after="0"/>
              <w:rPr>
                <w:sz w:val="20"/>
                <w:szCs w:val="20"/>
                <w:color w:val="auto"/>
              </w:rPr>
            </w:pPr>
            <w:r>
              <w:rPr>
                <w:rFonts w:ascii="Arial" w:cs="Arial" w:eastAsia="Arial" w:hAnsi="Arial"/>
                <w:sz w:val="16"/>
                <w:szCs w:val="16"/>
                <w:color w:val="auto"/>
                <w:w w:val="95"/>
              </w:rPr>
              <w:t>2022</w:t>
            </w: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Unaudited</w:t>
            </w: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jc w:val="right"/>
              <w:ind w:right="142"/>
              <w:spacing w:after="0"/>
              <w:rPr>
                <w:sz w:val="20"/>
                <w:szCs w:val="20"/>
                <w:color w:val="auto"/>
              </w:rPr>
            </w:pPr>
            <w:r>
              <w:rPr>
                <w:rFonts w:ascii="Arial" w:cs="Arial" w:eastAsia="Arial" w:hAnsi="Arial"/>
                <w:sz w:val="16"/>
                <w:szCs w:val="16"/>
                <w:color w:val="auto"/>
              </w:rPr>
              <w:t>Average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Average</w:t>
            </w:r>
          </w:p>
        </w:tc>
        <w:tc>
          <w:tcPr>
            <w:tcW w:w="0" w:type="dxa"/>
            <w:vAlign w:val="bottom"/>
          </w:tcPr>
          <w:p>
            <w:pPr>
              <w:spacing w:after="0"/>
              <w:rPr>
                <w:sz w:val="1"/>
                <w:szCs w:val="1"/>
                <w:color w:val="auto"/>
              </w:rPr>
            </w:pPr>
          </w:p>
        </w:tc>
      </w:tr>
      <w:tr>
        <w:trPr>
          <w:trHeight w:val="205"/>
        </w:trPr>
        <w:tc>
          <w:tcPr>
            <w:tcW w:w="34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Average</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jc w:val="right"/>
              <w:ind w:right="142"/>
              <w:spacing w:after="0"/>
              <w:rPr>
                <w:sz w:val="20"/>
                <w:szCs w:val="20"/>
                <w:color w:val="auto"/>
              </w:rPr>
            </w:pPr>
            <w:r>
              <w:rPr>
                <w:rFonts w:ascii="Arial" w:cs="Arial" w:eastAsia="Arial" w:hAnsi="Arial"/>
                <w:sz w:val="16"/>
                <w:szCs w:val="16"/>
                <w:color w:val="auto"/>
              </w:rPr>
              <w:t>Yield /</w:t>
            </w:r>
          </w:p>
        </w:tc>
        <w:tc>
          <w:tcPr>
            <w:tcW w:w="200" w:type="dxa"/>
            <w:vAlign w:val="bottom"/>
          </w:tcPr>
          <w:p>
            <w:pPr>
              <w:spacing w:after="0"/>
              <w:rPr>
                <w:sz w:val="17"/>
                <w:szCs w:val="17"/>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Average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Yield /</w:t>
            </w:r>
          </w:p>
        </w:tc>
        <w:tc>
          <w:tcPr>
            <w:tcW w:w="0" w:type="dxa"/>
            <w:vAlign w:val="bottom"/>
          </w:tcPr>
          <w:p>
            <w:pPr>
              <w:spacing w:after="0"/>
              <w:rPr>
                <w:sz w:val="1"/>
                <w:szCs w:val="1"/>
                <w:color w:val="auto"/>
              </w:rPr>
            </w:pPr>
          </w:p>
        </w:tc>
      </w:tr>
      <w:tr>
        <w:trPr>
          <w:trHeight w:val="204"/>
        </w:trPr>
        <w:tc>
          <w:tcPr>
            <w:tcW w:w="34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Pr>
          <w:p>
            <w:pPr>
              <w:spacing w:after="0"/>
              <w:rPr>
                <w:sz w:val="17"/>
                <w:szCs w:val="17"/>
                <w:color w:val="auto"/>
              </w:rPr>
            </w:pP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Balance</w:t>
            </w:r>
          </w:p>
        </w:tc>
        <w:tc>
          <w:tcPr>
            <w:tcW w:w="660" w:type="dxa"/>
            <w:vAlign w:val="bottom"/>
          </w:tcPr>
          <w:p>
            <w:pPr>
              <w:spacing w:after="0"/>
              <w:rPr>
                <w:sz w:val="17"/>
                <w:szCs w:val="17"/>
                <w:color w:val="auto"/>
              </w:rPr>
            </w:pPr>
          </w:p>
        </w:tc>
        <w:tc>
          <w:tcPr>
            <w:tcW w:w="740" w:type="dxa"/>
            <w:vAlign w:val="bottom"/>
          </w:tcPr>
          <w:p>
            <w:pPr>
              <w:jc w:val="right"/>
              <w:ind w:right="142"/>
              <w:spacing w:after="0"/>
              <w:rPr>
                <w:sz w:val="20"/>
                <w:szCs w:val="20"/>
                <w:color w:val="auto"/>
              </w:rPr>
            </w:pPr>
            <w:r>
              <w:rPr>
                <w:rFonts w:ascii="Arial" w:cs="Arial" w:eastAsia="Arial" w:hAnsi="Arial"/>
                <w:sz w:val="16"/>
                <w:szCs w:val="16"/>
                <w:color w:val="auto"/>
                <w:w w:val="93"/>
              </w:rPr>
              <w:t>Interest</w:t>
            </w:r>
          </w:p>
        </w:tc>
        <w:tc>
          <w:tcPr>
            <w:tcW w:w="1020" w:type="dxa"/>
            <w:vAlign w:val="bottom"/>
          </w:tcPr>
          <w:p>
            <w:pPr>
              <w:jc w:val="right"/>
              <w:ind w:right="162"/>
              <w:spacing w:after="0"/>
              <w:rPr>
                <w:sz w:val="20"/>
                <w:szCs w:val="20"/>
                <w:color w:val="auto"/>
              </w:rPr>
            </w:pPr>
            <w:r>
              <w:rPr>
                <w:rFonts w:ascii="Arial" w:cs="Arial" w:eastAsia="Arial" w:hAnsi="Arial"/>
                <w:sz w:val="16"/>
                <w:szCs w:val="16"/>
                <w:color w:val="auto"/>
              </w:rPr>
              <w:t>Cost</w:t>
            </w:r>
          </w:p>
        </w:tc>
        <w:tc>
          <w:tcPr>
            <w:tcW w:w="200" w:type="dxa"/>
            <w:vAlign w:val="bottom"/>
          </w:tcPr>
          <w:p>
            <w:pPr>
              <w:spacing w:after="0"/>
              <w:rPr>
                <w:sz w:val="17"/>
                <w:szCs w:val="17"/>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Balance</w:t>
            </w:r>
          </w:p>
        </w:tc>
        <w:tc>
          <w:tcPr>
            <w:tcW w:w="220" w:type="dxa"/>
            <w:vAlign w:val="bottom"/>
          </w:tcPr>
          <w:p>
            <w:pPr>
              <w:spacing w:after="0"/>
              <w:rPr>
                <w:sz w:val="17"/>
                <w:szCs w:val="17"/>
                <w:color w:val="auto"/>
              </w:rPr>
            </w:pPr>
          </w:p>
        </w:tc>
        <w:tc>
          <w:tcPr>
            <w:tcW w:w="880" w:type="dxa"/>
            <w:vAlign w:val="bottom"/>
          </w:tcPr>
          <w:p>
            <w:pPr>
              <w:jc w:val="right"/>
              <w:ind w:right="162"/>
              <w:spacing w:after="0"/>
              <w:rPr>
                <w:sz w:val="20"/>
                <w:szCs w:val="20"/>
                <w:color w:val="auto"/>
              </w:rPr>
            </w:pPr>
            <w:r>
              <w:rPr>
                <w:rFonts w:ascii="Arial" w:cs="Arial" w:eastAsia="Arial" w:hAnsi="Arial"/>
                <w:sz w:val="16"/>
                <w:szCs w:val="16"/>
                <w:color w:val="auto"/>
              </w:rPr>
              <w:t>Interest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Cost</w:t>
            </w:r>
          </w:p>
        </w:tc>
        <w:tc>
          <w:tcPr>
            <w:tcW w:w="0" w:type="dxa"/>
            <w:vAlign w:val="bottom"/>
          </w:tcPr>
          <w:p>
            <w:pPr>
              <w:spacing w:after="0"/>
              <w:rPr>
                <w:sz w:val="1"/>
                <w:szCs w:val="1"/>
                <w:color w:val="auto"/>
              </w:rPr>
            </w:pPr>
          </w:p>
        </w:tc>
      </w:tr>
      <w:tr>
        <w:trPr>
          <w:trHeight w:val="205"/>
        </w:trPr>
        <w:tc>
          <w:tcPr>
            <w:tcW w:w="34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Interest-earning assets:</w:t>
            </w:r>
          </w:p>
        </w:tc>
        <w:tc>
          <w:tcPr>
            <w:tcW w:w="5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40" w:type="dxa"/>
            <w:vAlign w:val="bottom"/>
          </w:tcPr>
          <w:p>
            <w:pPr>
              <w:ind w:left="100"/>
              <w:spacing w:after="0"/>
              <w:rPr>
                <w:sz w:val="20"/>
                <w:szCs w:val="20"/>
                <w:color w:val="auto"/>
              </w:rPr>
            </w:pPr>
            <w:r>
              <w:rPr>
                <w:rFonts w:ascii="Arial" w:cs="Arial" w:eastAsia="Arial" w:hAnsi="Arial"/>
                <w:sz w:val="16"/>
                <w:szCs w:val="16"/>
                <w:color w:val="auto"/>
              </w:rPr>
              <w:t>Loans</w:t>
            </w:r>
          </w:p>
        </w:tc>
        <w:tc>
          <w:tcPr>
            <w:tcW w:w="5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907,556</w:t>
            </w:r>
          </w:p>
        </w:tc>
        <w:tc>
          <w:tcPr>
            <w:tcW w:w="66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42"/>
              <w:spacing w:after="0"/>
              <w:rPr>
                <w:sz w:val="20"/>
                <w:szCs w:val="20"/>
                <w:color w:val="auto"/>
              </w:rPr>
            </w:pPr>
            <w:r>
              <w:rPr>
                <w:rFonts w:ascii="Arial" w:cs="Arial" w:eastAsia="Arial" w:hAnsi="Arial"/>
                <w:sz w:val="16"/>
                <w:szCs w:val="16"/>
                <w:color w:val="auto"/>
              </w:rPr>
              <w:t>11,791</w:t>
            </w:r>
          </w:p>
        </w:tc>
        <w:tc>
          <w:tcPr>
            <w:tcW w:w="1020" w:type="dxa"/>
            <w:vAlign w:val="bottom"/>
          </w:tcPr>
          <w:p>
            <w:pPr>
              <w:jc w:val="right"/>
              <w:spacing w:after="0"/>
              <w:rPr>
                <w:sz w:val="20"/>
                <w:szCs w:val="20"/>
                <w:color w:val="auto"/>
              </w:rPr>
            </w:pPr>
            <w:r>
              <w:rPr>
                <w:rFonts w:ascii="Arial" w:cs="Arial" w:eastAsia="Arial" w:hAnsi="Arial"/>
                <w:sz w:val="16"/>
                <w:szCs w:val="16"/>
                <w:color w:val="auto"/>
              </w:rPr>
              <w:t>5.20 %</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863,369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62"/>
              <w:spacing w:after="0"/>
              <w:rPr>
                <w:sz w:val="20"/>
                <w:szCs w:val="20"/>
                <w:color w:val="auto"/>
              </w:rPr>
            </w:pPr>
            <w:r>
              <w:rPr>
                <w:rFonts w:ascii="Arial" w:cs="Arial" w:eastAsia="Arial" w:hAnsi="Arial"/>
                <w:sz w:val="16"/>
                <w:szCs w:val="16"/>
                <w:color w:val="auto"/>
              </w:rPr>
              <w:t>8,974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4.16 %</w:t>
            </w:r>
          </w:p>
        </w:tc>
        <w:tc>
          <w:tcPr>
            <w:tcW w:w="0" w:type="dxa"/>
            <w:vAlign w:val="bottom"/>
          </w:tcPr>
          <w:p>
            <w:pPr>
              <w:spacing w:after="0"/>
              <w:rPr>
                <w:sz w:val="1"/>
                <w:szCs w:val="1"/>
                <w:color w:val="auto"/>
              </w:rPr>
            </w:pPr>
          </w:p>
        </w:tc>
      </w:tr>
      <w:tr>
        <w:trPr>
          <w:trHeight w:val="204"/>
        </w:trPr>
        <w:tc>
          <w:tcPr>
            <w:tcW w:w="3440" w:type="dxa"/>
            <w:vAlign w:val="bottom"/>
          </w:tcPr>
          <w:p>
            <w:pPr>
              <w:ind w:left="100"/>
              <w:spacing w:after="0"/>
              <w:rPr>
                <w:sz w:val="20"/>
                <w:szCs w:val="20"/>
                <w:color w:val="auto"/>
              </w:rPr>
            </w:pPr>
            <w:r>
              <w:rPr>
                <w:rFonts w:ascii="Arial" w:cs="Arial" w:eastAsia="Arial" w:hAnsi="Arial"/>
                <w:sz w:val="16"/>
                <w:szCs w:val="16"/>
                <w:color w:val="auto"/>
              </w:rPr>
              <w:t>Taxable investment securities</w:t>
            </w:r>
          </w:p>
        </w:tc>
        <w:tc>
          <w:tcPr>
            <w:tcW w:w="520" w:type="dxa"/>
            <w:vAlign w:val="bottom"/>
          </w:tcPr>
          <w:p>
            <w:pPr>
              <w:spacing w:after="0"/>
              <w:rPr>
                <w:sz w:val="17"/>
                <w:szCs w:val="17"/>
                <w:color w:val="auto"/>
              </w:rPr>
            </w:pP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369,870</w:t>
            </w:r>
          </w:p>
        </w:tc>
        <w:tc>
          <w:tcPr>
            <w:tcW w:w="660" w:type="dxa"/>
            <w:vAlign w:val="bottom"/>
          </w:tcPr>
          <w:p>
            <w:pPr>
              <w:spacing w:after="0"/>
              <w:rPr>
                <w:sz w:val="17"/>
                <w:szCs w:val="17"/>
                <w:color w:val="auto"/>
              </w:rPr>
            </w:pPr>
          </w:p>
        </w:tc>
        <w:tc>
          <w:tcPr>
            <w:tcW w:w="740" w:type="dxa"/>
            <w:vAlign w:val="bottom"/>
          </w:tcPr>
          <w:p>
            <w:pPr>
              <w:jc w:val="right"/>
              <w:ind w:right="142"/>
              <w:spacing w:after="0"/>
              <w:rPr>
                <w:sz w:val="20"/>
                <w:szCs w:val="20"/>
                <w:color w:val="auto"/>
              </w:rPr>
            </w:pPr>
            <w:r>
              <w:rPr>
                <w:rFonts w:ascii="Arial" w:cs="Arial" w:eastAsia="Arial" w:hAnsi="Arial"/>
                <w:sz w:val="16"/>
                <w:szCs w:val="16"/>
                <w:color w:val="auto"/>
              </w:rPr>
              <w:t>4,296</w:t>
            </w:r>
          </w:p>
        </w:tc>
        <w:tc>
          <w:tcPr>
            <w:tcW w:w="1020" w:type="dxa"/>
            <w:vAlign w:val="bottom"/>
          </w:tcPr>
          <w:p>
            <w:pPr>
              <w:jc w:val="right"/>
              <w:spacing w:after="0"/>
              <w:rPr>
                <w:sz w:val="20"/>
                <w:szCs w:val="20"/>
                <w:color w:val="auto"/>
              </w:rPr>
            </w:pPr>
            <w:r>
              <w:rPr>
                <w:rFonts w:ascii="Arial" w:cs="Arial" w:eastAsia="Arial" w:hAnsi="Arial"/>
                <w:sz w:val="16"/>
                <w:szCs w:val="16"/>
                <w:color w:val="auto"/>
              </w:rPr>
              <w:t>4.65 %</w:t>
            </w:r>
          </w:p>
        </w:tc>
        <w:tc>
          <w:tcPr>
            <w:tcW w:w="200" w:type="dxa"/>
            <w:vAlign w:val="bottom"/>
          </w:tcPr>
          <w:p>
            <w:pPr>
              <w:spacing w:after="0"/>
              <w:rPr>
                <w:sz w:val="17"/>
                <w:szCs w:val="17"/>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351,952</w:t>
            </w:r>
          </w:p>
        </w:tc>
        <w:tc>
          <w:tcPr>
            <w:tcW w:w="220" w:type="dxa"/>
            <w:vAlign w:val="bottom"/>
          </w:tcPr>
          <w:p>
            <w:pPr>
              <w:spacing w:after="0"/>
              <w:rPr>
                <w:sz w:val="17"/>
                <w:szCs w:val="17"/>
                <w:color w:val="auto"/>
              </w:rPr>
            </w:pPr>
          </w:p>
        </w:tc>
        <w:tc>
          <w:tcPr>
            <w:tcW w:w="880" w:type="dxa"/>
            <w:vAlign w:val="bottom"/>
          </w:tcPr>
          <w:p>
            <w:pPr>
              <w:jc w:val="right"/>
              <w:ind w:right="162"/>
              <w:spacing w:after="0"/>
              <w:rPr>
                <w:sz w:val="20"/>
                <w:szCs w:val="20"/>
                <w:color w:val="auto"/>
              </w:rPr>
            </w:pPr>
            <w:r>
              <w:rPr>
                <w:rFonts w:ascii="Arial" w:cs="Arial" w:eastAsia="Arial" w:hAnsi="Arial"/>
                <w:sz w:val="16"/>
                <w:szCs w:val="16"/>
                <w:color w:val="auto"/>
              </w:rPr>
              <w:t>2,574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2.93 %</w:t>
            </w:r>
          </w:p>
        </w:tc>
        <w:tc>
          <w:tcPr>
            <w:tcW w:w="0" w:type="dxa"/>
            <w:vAlign w:val="bottom"/>
          </w:tcPr>
          <w:p>
            <w:pPr>
              <w:spacing w:after="0"/>
              <w:rPr>
                <w:sz w:val="1"/>
                <w:szCs w:val="1"/>
                <w:color w:val="auto"/>
              </w:rPr>
            </w:pPr>
          </w:p>
        </w:tc>
      </w:tr>
      <w:tr>
        <w:trPr>
          <w:trHeight w:val="204"/>
        </w:trPr>
        <w:tc>
          <w:tcPr>
            <w:tcW w:w="3440" w:type="dxa"/>
            <w:vAlign w:val="bottom"/>
          </w:tcPr>
          <w:p>
            <w:pPr>
              <w:ind w:left="100"/>
              <w:spacing w:after="0"/>
              <w:rPr>
                <w:sz w:val="20"/>
                <w:szCs w:val="20"/>
                <w:color w:val="auto"/>
              </w:rPr>
            </w:pPr>
            <w:r>
              <w:rPr>
                <w:rFonts w:ascii="Arial" w:cs="Arial" w:eastAsia="Arial" w:hAnsi="Arial"/>
                <w:sz w:val="16"/>
                <w:szCs w:val="16"/>
                <w:color w:val="auto"/>
              </w:rPr>
              <w:t>Tax-exempt investment securities</w:t>
            </w:r>
          </w:p>
        </w:tc>
        <w:tc>
          <w:tcPr>
            <w:tcW w:w="520" w:type="dxa"/>
            <w:vAlign w:val="bottom"/>
          </w:tcPr>
          <w:p>
            <w:pPr>
              <w:spacing w:after="0"/>
              <w:rPr>
                <w:sz w:val="17"/>
                <w:szCs w:val="17"/>
                <w:color w:val="auto"/>
              </w:rPr>
            </w:pP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29,013</w:t>
            </w:r>
          </w:p>
        </w:tc>
        <w:tc>
          <w:tcPr>
            <w:tcW w:w="660" w:type="dxa"/>
            <w:vAlign w:val="bottom"/>
          </w:tcPr>
          <w:p>
            <w:pPr>
              <w:spacing w:after="0"/>
              <w:rPr>
                <w:sz w:val="17"/>
                <w:szCs w:val="17"/>
                <w:color w:val="auto"/>
              </w:rPr>
            </w:pPr>
          </w:p>
        </w:tc>
        <w:tc>
          <w:tcPr>
            <w:tcW w:w="740" w:type="dxa"/>
            <w:vAlign w:val="bottom"/>
          </w:tcPr>
          <w:p>
            <w:pPr>
              <w:jc w:val="right"/>
              <w:ind w:right="142"/>
              <w:spacing w:after="0"/>
              <w:rPr>
                <w:sz w:val="20"/>
                <w:szCs w:val="20"/>
                <w:color w:val="auto"/>
              </w:rPr>
            </w:pPr>
            <w:r>
              <w:rPr>
                <w:rFonts w:ascii="Arial" w:cs="Arial" w:eastAsia="Arial" w:hAnsi="Arial"/>
                <w:sz w:val="16"/>
                <w:szCs w:val="16"/>
                <w:color w:val="auto"/>
              </w:rPr>
              <w:t>479</w:t>
            </w:r>
          </w:p>
        </w:tc>
        <w:tc>
          <w:tcPr>
            <w:tcW w:w="1020" w:type="dxa"/>
            <w:vAlign w:val="bottom"/>
          </w:tcPr>
          <w:p>
            <w:pPr>
              <w:jc w:val="right"/>
              <w:spacing w:after="0"/>
              <w:rPr>
                <w:sz w:val="20"/>
                <w:szCs w:val="20"/>
                <w:color w:val="auto"/>
              </w:rPr>
            </w:pPr>
            <w:r>
              <w:rPr>
                <w:rFonts w:ascii="Arial" w:cs="Arial" w:eastAsia="Arial" w:hAnsi="Arial"/>
                <w:sz w:val="16"/>
                <w:szCs w:val="16"/>
                <w:color w:val="auto"/>
              </w:rPr>
              <w:t>6.60 %</w:t>
            </w:r>
          </w:p>
        </w:tc>
        <w:tc>
          <w:tcPr>
            <w:tcW w:w="200" w:type="dxa"/>
            <w:vAlign w:val="bottom"/>
          </w:tcPr>
          <w:p>
            <w:pPr>
              <w:spacing w:after="0"/>
              <w:rPr>
                <w:sz w:val="17"/>
                <w:szCs w:val="17"/>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37,088</w:t>
            </w:r>
          </w:p>
        </w:tc>
        <w:tc>
          <w:tcPr>
            <w:tcW w:w="220" w:type="dxa"/>
            <w:vAlign w:val="bottom"/>
          </w:tcPr>
          <w:p>
            <w:pPr>
              <w:spacing w:after="0"/>
              <w:rPr>
                <w:sz w:val="17"/>
                <w:szCs w:val="17"/>
                <w:color w:val="auto"/>
              </w:rPr>
            </w:pPr>
          </w:p>
        </w:tc>
        <w:tc>
          <w:tcPr>
            <w:tcW w:w="880" w:type="dxa"/>
            <w:vAlign w:val="bottom"/>
          </w:tcPr>
          <w:p>
            <w:pPr>
              <w:jc w:val="right"/>
              <w:ind w:right="182"/>
              <w:spacing w:after="0"/>
              <w:rPr>
                <w:sz w:val="20"/>
                <w:szCs w:val="20"/>
                <w:color w:val="auto"/>
              </w:rPr>
            </w:pPr>
            <w:r>
              <w:rPr>
                <w:rFonts w:ascii="Arial" w:cs="Arial" w:eastAsia="Arial" w:hAnsi="Arial"/>
                <w:sz w:val="16"/>
                <w:szCs w:val="16"/>
                <w:color w:val="auto"/>
              </w:rPr>
              <w:t>143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1.54 %</w:t>
            </w:r>
          </w:p>
        </w:tc>
        <w:tc>
          <w:tcPr>
            <w:tcW w:w="0" w:type="dxa"/>
            <w:vAlign w:val="bottom"/>
          </w:tcPr>
          <w:p>
            <w:pPr>
              <w:spacing w:after="0"/>
              <w:rPr>
                <w:sz w:val="1"/>
                <w:szCs w:val="1"/>
                <w:color w:val="auto"/>
              </w:rPr>
            </w:pPr>
          </w:p>
        </w:tc>
      </w:tr>
      <w:tr>
        <w:trPr>
          <w:trHeight w:val="204"/>
        </w:trPr>
        <w:tc>
          <w:tcPr>
            <w:tcW w:w="3440" w:type="dxa"/>
            <w:vAlign w:val="bottom"/>
          </w:tcPr>
          <w:p>
            <w:pPr>
              <w:ind w:left="100"/>
              <w:spacing w:after="0"/>
              <w:rPr>
                <w:sz w:val="20"/>
                <w:szCs w:val="20"/>
                <w:color w:val="auto"/>
              </w:rPr>
            </w:pPr>
            <w:r>
              <w:rPr>
                <w:rFonts w:ascii="Arial" w:cs="Arial" w:eastAsia="Arial" w:hAnsi="Arial"/>
                <w:sz w:val="16"/>
                <w:szCs w:val="16"/>
                <w:color w:val="auto"/>
              </w:rPr>
              <w:t>Fed funds sold and interest-earning deposits</w:t>
            </w:r>
          </w:p>
        </w:tc>
        <w:tc>
          <w:tcPr>
            <w:tcW w:w="520" w:type="dxa"/>
            <w:vAlign w:val="bottom"/>
          </w:tcPr>
          <w:p>
            <w:pPr>
              <w:spacing w:after="0"/>
              <w:rPr>
                <w:sz w:val="17"/>
                <w:szCs w:val="17"/>
                <w:color w:val="auto"/>
              </w:rPr>
            </w:pP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9,723</w:t>
            </w:r>
          </w:p>
        </w:tc>
        <w:tc>
          <w:tcPr>
            <w:tcW w:w="660" w:type="dxa"/>
            <w:vAlign w:val="bottom"/>
          </w:tcPr>
          <w:p>
            <w:pPr>
              <w:spacing w:after="0"/>
              <w:rPr>
                <w:sz w:val="17"/>
                <w:szCs w:val="17"/>
                <w:color w:val="auto"/>
              </w:rPr>
            </w:pPr>
          </w:p>
        </w:tc>
        <w:tc>
          <w:tcPr>
            <w:tcW w:w="740" w:type="dxa"/>
            <w:vAlign w:val="bottom"/>
          </w:tcPr>
          <w:p>
            <w:pPr>
              <w:jc w:val="right"/>
              <w:ind w:right="142"/>
              <w:spacing w:after="0"/>
              <w:rPr>
                <w:sz w:val="20"/>
                <w:szCs w:val="20"/>
                <w:color w:val="auto"/>
              </w:rPr>
            </w:pPr>
            <w:r>
              <w:rPr>
                <w:rFonts w:ascii="Arial" w:cs="Arial" w:eastAsia="Arial" w:hAnsi="Arial"/>
                <w:sz w:val="16"/>
                <w:szCs w:val="16"/>
                <w:color w:val="auto"/>
              </w:rPr>
              <w:t>55</w:t>
            </w:r>
          </w:p>
        </w:tc>
        <w:tc>
          <w:tcPr>
            <w:tcW w:w="1020" w:type="dxa"/>
            <w:vAlign w:val="bottom"/>
          </w:tcPr>
          <w:p>
            <w:pPr>
              <w:jc w:val="right"/>
              <w:spacing w:after="0"/>
              <w:rPr>
                <w:sz w:val="20"/>
                <w:szCs w:val="20"/>
                <w:color w:val="auto"/>
              </w:rPr>
            </w:pPr>
            <w:r>
              <w:rPr>
                <w:rFonts w:ascii="Arial" w:cs="Arial" w:eastAsia="Arial" w:hAnsi="Arial"/>
                <w:sz w:val="16"/>
                <w:szCs w:val="16"/>
                <w:color w:val="auto"/>
              </w:rPr>
              <w:t>2.26 %</w:t>
            </w:r>
          </w:p>
        </w:tc>
        <w:tc>
          <w:tcPr>
            <w:tcW w:w="200" w:type="dxa"/>
            <w:vAlign w:val="bottom"/>
          </w:tcPr>
          <w:p>
            <w:pPr>
              <w:spacing w:after="0"/>
              <w:rPr>
                <w:sz w:val="17"/>
                <w:szCs w:val="17"/>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17,871</w:t>
            </w:r>
          </w:p>
        </w:tc>
        <w:tc>
          <w:tcPr>
            <w:tcW w:w="220" w:type="dxa"/>
            <w:vAlign w:val="bottom"/>
          </w:tcPr>
          <w:p>
            <w:pPr>
              <w:spacing w:after="0"/>
              <w:rPr>
                <w:sz w:val="17"/>
                <w:szCs w:val="17"/>
                <w:color w:val="auto"/>
              </w:rPr>
            </w:pPr>
          </w:p>
        </w:tc>
        <w:tc>
          <w:tcPr>
            <w:tcW w:w="880" w:type="dxa"/>
            <w:vAlign w:val="bottom"/>
          </w:tcPr>
          <w:p>
            <w:pPr>
              <w:jc w:val="right"/>
              <w:ind w:right="162"/>
              <w:spacing w:after="0"/>
              <w:rPr>
                <w:sz w:val="20"/>
                <w:szCs w:val="20"/>
                <w:color w:val="auto"/>
              </w:rPr>
            </w:pPr>
            <w:r>
              <w:rPr>
                <w:rFonts w:ascii="Arial" w:cs="Arial" w:eastAsia="Arial" w:hAnsi="Arial"/>
                <w:sz w:val="16"/>
                <w:szCs w:val="16"/>
                <w:color w:val="auto"/>
              </w:rPr>
              <w:t>15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0.34 %</w:t>
            </w:r>
          </w:p>
        </w:tc>
        <w:tc>
          <w:tcPr>
            <w:tcW w:w="0" w:type="dxa"/>
            <w:vAlign w:val="bottom"/>
          </w:tcPr>
          <w:p>
            <w:pPr>
              <w:spacing w:after="0"/>
              <w:rPr>
                <w:sz w:val="1"/>
                <w:szCs w:val="1"/>
                <w:color w:val="auto"/>
              </w:rPr>
            </w:pPr>
          </w:p>
        </w:tc>
      </w:tr>
      <w:tr>
        <w:trPr>
          <w:trHeight w:val="205"/>
        </w:trPr>
        <w:tc>
          <w:tcPr>
            <w:tcW w:w="3440" w:type="dxa"/>
            <w:vAlign w:val="bottom"/>
          </w:tcPr>
          <w:p>
            <w:pPr>
              <w:ind w:left="180"/>
              <w:spacing w:after="0"/>
              <w:rPr>
                <w:sz w:val="20"/>
                <w:szCs w:val="20"/>
                <w:color w:val="auto"/>
              </w:rPr>
            </w:pPr>
            <w:r>
              <w:rPr>
                <w:rFonts w:ascii="Arial" w:cs="Arial" w:eastAsia="Arial" w:hAnsi="Arial"/>
                <w:sz w:val="16"/>
                <w:szCs w:val="16"/>
                <w:color w:val="auto"/>
              </w:rPr>
              <w:t>Total interest-earning assets</w:t>
            </w:r>
          </w:p>
        </w:tc>
        <w:tc>
          <w:tcPr>
            <w:tcW w:w="520" w:type="dxa"/>
            <w:vAlign w:val="bottom"/>
          </w:tcPr>
          <w:p>
            <w:pPr>
              <w:spacing w:after="0"/>
              <w:rPr>
                <w:sz w:val="17"/>
                <w:szCs w:val="17"/>
                <w:color w:val="auto"/>
              </w:rPr>
            </w:pP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1,316,162</w:t>
            </w:r>
          </w:p>
        </w:tc>
        <w:tc>
          <w:tcPr>
            <w:tcW w:w="660" w:type="dxa"/>
            <w:vAlign w:val="bottom"/>
          </w:tcPr>
          <w:p>
            <w:pPr>
              <w:spacing w:after="0"/>
              <w:rPr>
                <w:sz w:val="17"/>
                <w:szCs w:val="17"/>
                <w:color w:val="auto"/>
              </w:rPr>
            </w:pPr>
          </w:p>
        </w:tc>
        <w:tc>
          <w:tcPr>
            <w:tcW w:w="740" w:type="dxa"/>
            <w:vAlign w:val="bottom"/>
          </w:tcPr>
          <w:p>
            <w:pPr>
              <w:jc w:val="right"/>
              <w:ind w:right="142"/>
              <w:spacing w:after="0"/>
              <w:rPr>
                <w:sz w:val="20"/>
                <w:szCs w:val="20"/>
                <w:color w:val="auto"/>
              </w:rPr>
            </w:pPr>
            <w:r>
              <w:rPr>
                <w:rFonts w:ascii="Arial" w:cs="Arial" w:eastAsia="Arial" w:hAnsi="Arial"/>
                <w:sz w:val="16"/>
                <w:szCs w:val="16"/>
                <w:color w:val="auto"/>
              </w:rPr>
              <w:t>16,621</w:t>
            </w:r>
          </w:p>
        </w:tc>
        <w:tc>
          <w:tcPr>
            <w:tcW w:w="1020" w:type="dxa"/>
            <w:vAlign w:val="bottom"/>
          </w:tcPr>
          <w:p>
            <w:pPr>
              <w:jc w:val="right"/>
              <w:spacing w:after="0"/>
              <w:rPr>
                <w:sz w:val="20"/>
                <w:szCs w:val="20"/>
                <w:color w:val="auto"/>
              </w:rPr>
            </w:pPr>
            <w:r>
              <w:rPr>
                <w:rFonts w:ascii="Arial" w:cs="Arial" w:eastAsia="Arial" w:hAnsi="Arial"/>
                <w:sz w:val="16"/>
                <w:szCs w:val="16"/>
                <w:color w:val="auto"/>
              </w:rPr>
              <w:t>5.05 %</w:t>
            </w:r>
          </w:p>
        </w:tc>
        <w:tc>
          <w:tcPr>
            <w:tcW w:w="200" w:type="dxa"/>
            <w:vAlign w:val="bottom"/>
          </w:tcPr>
          <w:p>
            <w:pPr>
              <w:spacing w:after="0"/>
              <w:rPr>
                <w:sz w:val="17"/>
                <w:szCs w:val="17"/>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1,270,280</w:t>
            </w:r>
          </w:p>
        </w:tc>
        <w:tc>
          <w:tcPr>
            <w:tcW w:w="220" w:type="dxa"/>
            <w:vAlign w:val="bottom"/>
          </w:tcPr>
          <w:p>
            <w:pPr>
              <w:spacing w:after="0"/>
              <w:rPr>
                <w:sz w:val="17"/>
                <w:szCs w:val="17"/>
                <w:color w:val="auto"/>
              </w:rPr>
            </w:pPr>
          </w:p>
        </w:tc>
        <w:tc>
          <w:tcPr>
            <w:tcW w:w="880" w:type="dxa"/>
            <w:vAlign w:val="bottom"/>
          </w:tcPr>
          <w:p>
            <w:pPr>
              <w:jc w:val="right"/>
              <w:ind w:right="182"/>
              <w:spacing w:after="0"/>
              <w:rPr>
                <w:sz w:val="20"/>
                <w:szCs w:val="20"/>
                <w:color w:val="auto"/>
              </w:rPr>
            </w:pPr>
            <w:r>
              <w:rPr>
                <w:rFonts w:ascii="Arial" w:cs="Arial" w:eastAsia="Arial" w:hAnsi="Arial"/>
                <w:sz w:val="16"/>
                <w:szCs w:val="16"/>
                <w:color w:val="auto"/>
              </w:rPr>
              <w:t>11,706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3.69 %</w:t>
            </w:r>
          </w:p>
        </w:tc>
        <w:tc>
          <w:tcPr>
            <w:tcW w:w="0" w:type="dxa"/>
            <w:vAlign w:val="bottom"/>
          </w:tcPr>
          <w:p>
            <w:pPr>
              <w:spacing w:after="0"/>
              <w:rPr>
                <w:sz w:val="1"/>
                <w:szCs w:val="1"/>
                <w:color w:val="auto"/>
              </w:rPr>
            </w:pPr>
          </w:p>
        </w:tc>
      </w:tr>
      <w:tr>
        <w:trPr>
          <w:trHeight w:val="205"/>
        </w:trPr>
        <w:tc>
          <w:tcPr>
            <w:tcW w:w="34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Noninterest-earning assets:</w:t>
            </w:r>
          </w:p>
        </w:tc>
        <w:tc>
          <w:tcPr>
            <w:tcW w:w="5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100"/>
              <w:spacing w:after="0"/>
              <w:rPr>
                <w:sz w:val="20"/>
                <w:szCs w:val="20"/>
                <w:color w:val="auto"/>
              </w:rPr>
            </w:pPr>
            <w:r>
              <w:rPr>
                <w:rFonts w:ascii="Arial" w:cs="Arial" w:eastAsia="Arial" w:hAnsi="Arial"/>
                <w:sz w:val="16"/>
                <w:szCs w:val="16"/>
                <w:color w:val="auto"/>
              </w:rPr>
              <w:t>Other assets</w:t>
            </w:r>
          </w:p>
        </w:tc>
        <w:tc>
          <w:tcPr>
            <w:tcW w:w="520" w:type="dxa"/>
            <w:vAlign w:val="bottom"/>
          </w:tcPr>
          <w:p>
            <w:pPr>
              <w:spacing w:after="0"/>
              <w:rPr>
                <w:sz w:val="17"/>
                <w:szCs w:val="17"/>
                <w:color w:val="auto"/>
              </w:rPr>
            </w:pP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94,350</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74,842</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Allowance for credit losses</w:t>
            </w:r>
          </w:p>
        </w:tc>
        <w:tc>
          <w:tcPr>
            <w:tcW w:w="5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(18,030 )</w:t>
            </w:r>
          </w:p>
        </w:tc>
        <w:tc>
          <w:tcPr>
            <w:tcW w:w="6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(13,039 )</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440" w:type="dxa"/>
            <w:vAlign w:val="bottom"/>
          </w:tcPr>
          <w:p>
            <w:pPr>
              <w:ind w:left="100"/>
              <w:spacing w:after="0"/>
              <w:rPr>
                <w:sz w:val="20"/>
                <w:szCs w:val="20"/>
                <w:color w:val="auto"/>
              </w:rPr>
            </w:pPr>
            <w:r>
              <w:rPr>
                <w:rFonts w:ascii="Arial" w:cs="Arial" w:eastAsia="Arial" w:hAnsi="Arial"/>
                <w:sz w:val="16"/>
                <w:szCs w:val="16"/>
                <w:color w:val="auto"/>
              </w:rPr>
              <w:t>Net unrealized losses</w:t>
            </w: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440" w:type="dxa"/>
            <w:vAlign w:val="bottom"/>
          </w:tcPr>
          <w:p>
            <w:pPr>
              <w:ind w:left="220"/>
              <w:spacing w:after="0"/>
              <w:rPr>
                <w:sz w:val="20"/>
                <w:szCs w:val="20"/>
                <w:color w:val="auto"/>
              </w:rPr>
            </w:pPr>
            <w:r>
              <w:rPr>
                <w:rFonts w:ascii="Arial" w:cs="Arial" w:eastAsia="Arial" w:hAnsi="Arial"/>
                <w:sz w:val="16"/>
                <w:szCs w:val="16"/>
                <w:color w:val="auto"/>
              </w:rPr>
              <w:t>on available-for-sale securities</w:t>
            </w:r>
          </w:p>
        </w:tc>
        <w:tc>
          <w:tcPr>
            <w:tcW w:w="520" w:type="dxa"/>
            <w:vAlign w:val="bottom"/>
          </w:tcPr>
          <w:p>
            <w:pPr>
              <w:spacing w:after="0"/>
              <w:rPr>
                <w:sz w:val="17"/>
                <w:szCs w:val="17"/>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(12,944 )</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(9,268 )</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6"/>
                <w:szCs w:val="16"/>
                <w:color w:val="auto"/>
              </w:rPr>
              <w:t>Total assets</w:t>
            </w:r>
          </w:p>
        </w:tc>
        <w:tc>
          <w:tcPr>
            <w:tcW w:w="52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6"/>
                <w:szCs w:val="16"/>
                <w:color w:val="auto"/>
              </w:rPr>
              <w:t>1,379,538</w:t>
            </w:r>
          </w:p>
        </w:tc>
        <w:tc>
          <w:tcPr>
            <w:tcW w:w="6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6"/>
                <w:szCs w:val="16"/>
                <w:color w:val="auto"/>
              </w:rPr>
              <w:t>1,322,815</w:t>
            </w: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3440" w:type="dxa"/>
            <w:vAlign w:val="bottom"/>
          </w:tcPr>
          <w:p>
            <w:pPr>
              <w:ind w:left="20"/>
              <w:spacing w:after="0" w:line="181" w:lineRule="exact"/>
              <w:rPr>
                <w:sz w:val="20"/>
                <w:szCs w:val="20"/>
                <w:color w:val="auto"/>
              </w:rPr>
            </w:pPr>
            <w:r>
              <w:rPr>
                <w:rFonts w:ascii="Arial" w:cs="Arial" w:eastAsia="Arial" w:hAnsi="Arial"/>
                <w:sz w:val="16"/>
                <w:szCs w:val="16"/>
                <w:b w:val="1"/>
                <w:bCs w:val="1"/>
                <w:color w:val="auto"/>
              </w:rPr>
              <w:t>Interest-bearing liabilities:</w:t>
            </w: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440" w:type="dxa"/>
            <w:vAlign w:val="bottom"/>
          </w:tcPr>
          <w:p>
            <w:pPr>
              <w:ind w:left="100"/>
              <w:spacing w:after="0"/>
              <w:rPr>
                <w:sz w:val="20"/>
                <w:szCs w:val="20"/>
                <w:color w:val="auto"/>
              </w:rPr>
            </w:pPr>
            <w:r>
              <w:rPr>
                <w:rFonts w:ascii="Arial" w:cs="Arial" w:eastAsia="Arial" w:hAnsi="Arial"/>
                <w:sz w:val="16"/>
                <w:szCs w:val="16"/>
                <w:color w:val="auto"/>
              </w:rPr>
              <w:t>NOW accounts</w:t>
            </w:r>
          </w:p>
        </w:tc>
        <w:tc>
          <w:tcPr>
            <w:tcW w:w="5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93,560</w:t>
            </w:r>
          </w:p>
        </w:tc>
        <w:tc>
          <w:tcPr>
            <w:tcW w:w="66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42"/>
              <w:spacing w:after="0"/>
              <w:rPr>
                <w:sz w:val="20"/>
                <w:szCs w:val="20"/>
                <w:color w:val="auto"/>
              </w:rPr>
            </w:pPr>
            <w:r>
              <w:rPr>
                <w:rFonts w:ascii="Arial" w:cs="Arial" w:eastAsia="Arial" w:hAnsi="Arial"/>
                <w:sz w:val="16"/>
                <w:szCs w:val="16"/>
                <w:color w:val="auto"/>
              </w:rPr>
              <w:t>100</w:t>
            </w:r>
          </w:p>
        </w:tc>
        <w:tc>
          <w:tcPr>
            <w:tcW w:w="1020" w:type="dxa"/>
            <w:vAlign w:val="bottom"/>
          </w:tcPr>
          <w:p>
            <w:pPr>
              <w:jc w:val="right"/>
              <w:spacing w:after="0"/>
              <w:rPr>
                <w:sz w:val="20"/>
                <w:szCs w:val="20"/>
                <w:color w:val="auto"/>
              </w:rPr>
            </w:pPr>
            <w:r>
              <w:rPr>
                <w:rFonts w:ascii="Arial" w:cs="Arial" w:eastAsia="Arial" w:hAnsi="Arial"/>
                <w:sz w:val="16"/>
                <w:szCs w:val="16"/>
                <w:color w:val="auto"/>
              </w:rPr>
              <w:t>0.43 %</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105,612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62"/>
              <w:spacing w:after="0"/>
              <w:rPr>
                <w:sz w:val="20"/>
                <w:szCs w:val="20"/>
                <w:color w:val="auto"/>
              </w:rPr>
            </w:pPr>
            <w:r>
              <w:rPr>
                <w:rFonts w:ascii="Arial" w:cs="Arial" w:eastAsia="Arial" w:hAnsi="Arial"/>
                <w:sz w:val="16"/>
                <w:szCs w:val="16"/>
                <w:color w:val="auto"/>
              </w:rPr>
              <w:t>78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0.30 %</w:t>
            </w:r>
          </w:p>
        </w:tc>
        <w:tc>
          <w:tcPr>
            <w:tcW w:w="0" w:type="dxa"/>
            <w:vAlign w:val="bottom"/>
          </w:tcPr>
          <w:p>
            <w:pPr>
              <w:spacing w:after="0"/>
              <w:rPr>
                <w:sz w:val="1"/>
                <w:szCs w:val="1"/>
                <w:color w:val="auto"/>
              </w:rPr>
            </w:pPr>
          </w:p>
        </w:tc>
      </w:tr>
      <w:tr>
        <w:trPr>
          <w:trHeight w:val="204"/>
        </w:trPr>
        <w:tc>
          <w:tcPr>
            <w:tcW w:w="3440" w:type="dxa"/>
            <w:vAlign w:val="bottom"/>
          </w:tcPr>
          <w:p>
            <w:pPr>
              <w:ind w:left="100"/>
              <w:spacing w:after="0"/>
              <w:rPr>
                <w:sz w:val="20"/>
                <w:szCs w:val="20"/>
                <w:color w:val="auto"/>
              </w:rPr>
            </w:pPr>
            <w:r>
              <w:rPr>
                <w:rFonts w:ascii="Arial" w:cs="Arial" w:eastAsia="Arial" w:hAnsi="Arial"/>
                <w:sz w:val="16"/>
                <w:szCs w:val="16"/>
                <w:color w:val="auto"/>
              </w:rPr>
              <w:t>Money management accounts</w:t>
            </w:r>
          </w:p>
        </w:tc>
        <w:tc>
          <w:tcPr>
            <w:tcW w:w="520" w:type="dxa"/>
            <w:vAlign w:val="bottom"/>
          </w:tcPr>
          <w:p>
            <w:pPr>
              <w:spacing w:after="0"/>
              <w:rPr>
                <w:sz w:val="17"/>
                <w:szCs w:val="17"/>
                <w:color w:val="auto"/>
              </w:rPr>
            </w:pP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14,159</w:t>
            </w:r>
          </w:p>
        </w:tc>
        <w:tc>
          <w:tcPr>
            <w:tcW w:w="660" w:type="dxa"/>
            <w:vAlign w:val="bottom"/>
          </w:tcPr>
          <w:p>
            <w:pPr>
              <w:spacing w:after="0"/>
              <w:rPr>
                <w:sz w:val="17"/>
                <w:szCs w:val="17"/>
                <w:color w:val="auto"/>
              </w:rPr>
            </w:pPr>
          </w:p>
        </w:tc>
        <w:tc>
          <w:tcPr>
            <w:tcW w:w="740" w:type="dxa"/>
            <w:vAlign w:val="bottom"/>
          </w:tcPr>
          <w:p>
            <w:pPr>
              <w:jc w:val="right"/>
              <w:ind w:right="142"/>
              <w:spacing w:after="0"/>
              <w:rPr>
                <w:sz w:val="20"/>
                <w:szCs w:val="20"/>
                <w:color w:val="auto"/>
              </w:rPr>
            </w:pPr>
            <w:r>
              <w:rPr>
                <w:rFonts w:ascii="Arial" w:cs="Arial" w:eastAsia="Arial" w:hAnsi="Arial"/>
                <w:sz w:val="16"/>
                <w:szCs w:val="16"/>
                <w:color w:val="auto"/>
              </w:rPr>
              <w:t>4</w:t>
            </w:r>
          </w:p>
        </w:tc>
        <w:tc>
          <w:tcPr>
            <w:tcW w:w="1020" w:type="dxa"/>
            <w:vAlign w:val="bottom"/>
          </w:tcPr>
          <w:p>
            <w:pPr>
              <w:jc w:val="right"/>
              <w:spacing w:after="0"/>
              <w:rPr>
                <w:sz w:val="20"/>
                <w:szCs w:val="20"/>
                <w:color w:val="auto"/>
              </w:rPr>
            </w:pPr>
            <w:r>
              <w:rPr>
                <w:rFonts w:ascii="Arial" w:cs="Arial" w:eastAsia="Arial" w:hAnsi="Arial"/>
                <w:sz w:val="16"/>
                <w:szCs w:val="16"/>
                <w:color w:val="auto"/>
              </w:rPr>
              <w:t>0.11 %</w:t>
            </w:r>
          </w:p>
        </w:tc>
        <w:tc>
          <w:tcPr>
            <w:tcW w:w="200" w:type="dxa"/>
            <w:vAlign w:val="bottom"/>
          </w:tcPr>
          <w:p>
            <w:pPr>
              <w:spacing w:after="0"/>
              <w:rPr>
                <w:sz w:val="17"/>
                <w:szCs w:val="17"/>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16,467</w:t>
            </w:r>
          </w:p>
        </w:tc>
        <w:tc>
          <w:tcPr>
            <w:tcW w:w="220" w:type="dxa"/>
            <w:vAlign w:val="bottom"/>
          </w:tcPr>
          <w:p>
            <w:pPr>
              <w:spacing w:after="0"/>
              <w:rPr>
                <w:sz w:val="17"/>
                <w:szCs w:val="17"/>
                <w:color w:val="auto"/>
              </w:rPr>
            </w:pPr>
          </w:p>
        </w:tc>
        <w:tc>
          <w:tcPr>
            <w:tcW w:w="880" w:type="dxa"/>
            <w:vAlign w:val="bottom"/>
          </w:tcPr>
          <w:p>
            <w:pPr>
              <w:jc w:val="right"/>
              <w:ind w:right="162"/>
              <w:spacing w:after="0"/>
              <w:rPr>
                <w:sz w:val="20"/>
                <w:szCs w:val="20"/>
                <w:color w:val="auto"/>
              </w:rPr>
            </w:pPr>
            <w:r>
              <w:rPr>
                <w:rFonts w:ascii="Arial" w:cs="Arial" w:eastAsia="Arial" w:hAnsi="Arial"/>
                <w:sz w:val="16"/>
                <w:szCs w:val="16"/>
                <w:color w:val="auto"/>
              </w:rPr>
              <w:t>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0.10 %</w:t>
            </w:r>
          </w:p>
        </w:tc>
        <w:tc>
          <w:tcPr>
            <w:tcW w:w="0" w:type="dxa"/>
            <w:vAlign w:val="bottom"/>
          </w:tcPr>
          <w:p>
            <w:pPr>
              <w:spacing w:after="0"/>
              <w:rPr>
                <w:sz w:val="1"/>
                <w:szCs w:val="1"/>
                <w:color w:val="auto"/>
              </w:rPr>
            </w:pPr>
          </w:p>
        </w:tc>
      </w:tr>
      <w:tr>
        <w:trPr>
          <w:trHeight w:val="204"/>
        </w:trPr>
        <w:tc>
          <w:tcPr>
            <w:tcW w:w="3440" w:type="dxa"/>
            <w:vAlign w:val="bottom"/>
            <w:vMerge w:val="restart"/>
          </w:tcPr>
          <w:p>
            <w:pPr>
              <w:ind w:left="100"/>
              <w:spacing w:after="0"/>
              <w:rPr>
                <w:sz w:val="20"/>
                <w:szCs w:val="20"/>
                <w:color w:val="auto"/>
              </w:rPr>
            </w:pPr>
            <w:r>
              <w:rPr>
                <w:rFonts w:ascii="Arial" w:cs="Arial" w:eastAsia="Arial" w:hAnsi="Arial"/>
                <w:sz w:val="16"/>
                <w:szCs w:val="16"/>
                <w:color w:val="auto"/>
              </w:rPr>
              <w:t>MMDA accounts</w:t>
            </w:r>
          </w:p>
        </w:tc>
        <w:tc>
          <w:tcPr>
            <w:tcW w:w="520" w:type="dxa"/>
            <w:vAlign w:val="bottom"/>
          </w:tcPr>
          <w:p>
            <w:pPr>
              <w:spacing w:after="0"/>
              <w:rPr>
                <w:sz w:val="17"/>
                <w:szCs w:val="17"/>
                <w:color w:val="auto"/>
              </w:rPr>
            </w:pPr>
          </w:p>
        </w:tc>
        <w:tc>
          <w:tcPr>
            <w:tcW w:w="1020" w:type="dxa"/>
            <w:vAlign w:val="bottom"/>
            <w:vMerge w:val="restart"/>
          </w:tcPr>
          <w:p>
            <w:pPr>
              <w:jc w:val="right"/>
              <w:ind w:right="102"/>
              <w:spacing w:after="0"/>
              <w:rPr>
                <w:sz w:val="20"/>
                <w:szCs w:val="20"/>
                <w:color w:val="auto"/>
              </w:rPr>
            </w:pPr>
            <w:r>
              <w:rPr>
                <w:rFonts w:ascii="Arial" w:cs="Arial" w:eastAsia="Arial" w:hAnsi="Arial"/>
                <w:sz w:val="16"/>
                <w:szCs w:val="16"/>
                <w:color w:val="auto"/>
              </w:rPr>
              <w:t>244,927</w:t>
            </w:r>
          </w:p>
        </w:tc>
        <w:tc>
          <w:tcPr>
            <w:tcW w:w="660" w:type="dxa"/>
            <w:vAlign w:val="bottom"/>
          </w:tcPr>
          <w:p>
            <w:pPr>
              <w:spacing w:after="0"/>
              <w:rPr>
                <w:sz w:val="17"/>
                <w:szCs w:val="17"/>
                <w:color w:val="auto"/>
              </w:rPr>
            </w:pPr>
          </w:p>
        </w:tc>
        <w:tc>
          <w:tcPr>
            <w:tcW w:w="740" w:type="dxa"/>
            <w:vAlign w:val="bottom"/>
            <w:vMerge w:val="restart"/>
          </w:tcPr>
          <w:p>
            <w:pPr>
              <w:jc w:val="right"/>
              <w:ind w:right="142"/>
              <w:spacing w:after="0"/>
              <w:rPr>
                <w:sz w:val="20"/>
                <w:szCs w:val="20"/>
                <w:color w:val="auto"/>
              </w:rPr>
            </w:pPr>
            <w:r>
              <w:rPr>
                <w:rFonts w:ascii="Arial" w:cs="Arial" w:eastAsia="Arial" w:hAnsi="Arial"/>
                <w:sz w:val="16"/>
                <w:szCs w:val="16"/>
                <w:color w:val="auto"/>
              </w:rPr>
              <w:t>1,622</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2.65 %</w:t>
            </w:r>
          </w:p>
        </w:tc>
        <w:tc>
          <w:tcPr>
            <w:tcW w:w="200" w:type="dxa"/>
            <w:vAlign w:val="bottom"/>
          </w:tcPr>
          <w:p>
            <w:pPr>
              <w:spacing w:after="0"/>
              <w:rPr>
                <w:sz w:val="17"/>
                <w:szCs w:val="17"/>
                <w:color w:val="auto"/>
              </w:rPr>
            </w:pPr>
          </w:p>
        </w:tc>
        <w:tc>
          <w:tcPr>
            <w:tcW w:w="940" w:type="dxa"/>
            <w:vAlign w:val="bottom"/>
            <w:vMerge w:val="restart"/>
          </w:tcPr>
          <w:p>
            <w:pPr>
              <w:jc w:val="right"/>
              <w:ind w:right="82"/>
              <w:spacing w:after="0"/>
              <w:rPr>
                <w:sz w:val="20"/>
                <w:szCs w:val="20"/>
                <w:color w:val="auto"/>
              </w:rPr>
            </w:pPr>
            <w:r>
              <w:rPr>
                <w:rFonts w:ascii="Arial" w:cs="Arial" w:eastAsia="Arial" w:hAnsi="Arial"/>
                <w:sz w:val="16"/>
                <w:szCs w:val="16"/>
                <w:color w:val="auto"/>
              </w:rPr>
              <w:t>261,203</w:t>
            </w:r>
          </w:p>
        </w:tc>
        <w:tc>
          <w:tcPr>
            <w:tcW w:w="220" w:type="dxa"/>
            <w:vAlign w:val="bottom"/>
          </w:tcPr>
          <w:p>
            <w:pPr>
              <w:spacing w:after="0"/>
              <w:rPr>
                <w:sz w:val="17"/>
                <w:szCs w:val="17"/>
                <w:color w:val="auto"/>
              </w:rPr>
            </w:pPr>
          </w:p>
        </w:tc>
        <w:tc>
          <w:tcPr>
            <w:tcW w:w="880" w:type="dxa"/>
            <w:vAlign w:val="bottom"/>
          </w:tcPr>
          <w:p>
            <w:pPr>
              <w:jc w:val="right"/>
              <w:ind w:right="182"/>
              <w:spacing w:after="0"/>
              <w:rPr>
                <w:sz w:val="20"/>
                <w:szCs w:val="20"/>
                <w:color w:val="auto"/>
              </w:rPr>
            </w:pPr>
            <w:r>
              <w:rPr>
                <w:rFonts w:ascii="Arial" w:cs="Arial" w:eastAsia="Arial" w:hAnsi="Arial"/>
                <w:sz w:val="16"/>
                <w:szCs w:val="16"/>
                <w:color w:val="auto"/>
              </w:rPr>
              <w:t>312</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0.48 %</w:t>
            </w:r>
          </w:p>
        </w:tc>
        <w:tc>
          <w:tcPr>
            <w:tcW w:w="0" w:type="dxa"/>
            <w:vAlign w:val="bottom"/>
          </w:tcPr>
          <w:p>
            <w:pPr>
              <w:spacing w:after="0"/>
              <w:rPr>
                <w:sz w:val="1"/>
                <w:szCs w:val="1"/>
                <w:color w:val="auto"/>
              </w:rPr>
            </w:pPr>
          </w:p>
        </w:tc>
      </w:tr>
      <w:tr>
        <w:trPr>
          <w:trHeight w:val="60"/>
        </w:trPr>
        <w:tc>
          <w:tcPr>
            <w:tcW w:w="3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440" w:type="dxa"/>
            <w:vAlign w:val="bottom"/>
          </w:tcPr>
          <w:p>
            <w:pPr>
              <w:ind w:left="100"/>
              <w:spacing w:after="0"/>
              <w:rPr>
                <w:sz w:val="20"/>
                <w:szCs w:val="20"/>
                <w:color w:val="auto"/>
              </w:rPr>
            </w:pPr>
            <w:r>
              <w:rPr>
                <w:rFonts w:ascii="Arial" w:cs="Arial" w:eastAsia="Arial" w:hAnsi="Arial"/>
                <w:sz w:val="16"/>
                <w:szCs w:val="16"/>
                <w:color w:val="auto"/>
              </w:rPr>
              <w:t>Savings and club accounts</w:t>
            </w:r>
          </w:p>
        </w:tc>
        <w:tc>
          <w:tcPr>
            <w:tcW w:w="520" w:type="dxa"/>
            <w:vAlign w:val="bottom"/>
          </w:tcPr>
          <w:p>
            <w:pPr>
              <w:spacing w:after="0"/>
              <w:rPr>
                <w:sz w:val="17"/>
                <w:szCs w:val="17"/>
                <w:color w:val="auto"/>
              </w:rPr>
            </w:pP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127,356</w:t>
            </w:r>
          </w:p>
        </w:tc>
        <w:tc>
          <w:tcPr>
            <w:tcW w:w="660" w:type="dxa"/>
            <w:vAlign w:val="bottom"/>
          </w:tcPr>
          <w:p>
            <w:pPr>
              <w:spacing w:after="0"/>
              <w:rPr>
                <w:sz w:val="17"/>
                <w:szCs w:val="17"/>
                <w:color w:val="auto"/>
              </w:rPr>
            </w:pPr>
          </w:p>
        </w:tc>
        <w:tc>
          <w:tcPr>
            <w:tcW w:w="740" w:type="dxa"/>
            <w:vAlign w:val="bottom"/>
          </w:tcPr>
          <w:p>
            <w:pPr>
              <w:jc w:val="right"/>
              <w:ind w:right="142"/>
              <w:spacing w:after="0"/>
              <w:rPr>
                <w:sz w:val="20"/>
                <w:szCs w:val="20"/>
                <w:color w:val="auto"/>
              </w:rPr>
            </w:pPr>
            <w:r>
              <w:rPr>
                <w:rFonts w:ascii="Arial" w:cs="Arial" w:eastAsia="Arial" w:hAnsi="Arial"/>
                <w:sz w:val="16"/>
                <w:szCs w:val="16"/>
                <w:color w:val="auto"/>
              </w:rPr>
              <w:t>67</w:t>
            </w:r>
          </w:p>
        </w:tc>
        <w:tc>
          <w:tcPr>
            <w:tcW w:w="1020" w:type="dxa"/>
            <w:vAlign w:val="bottom"/>
          </w:tcPr>
          <w:p>
            <w:pPr>
              <w:jc w:val="right"/>
              <w:spacing w:after="0"/>
              <w:rPr>
                <w:sz w:val="20"/>
                <w:szCs w:val="20"/>
                <w:color w:val="auto"/>
              </w:rPr>
            </w:pPr>
            <w:r>
              <w:rPr>
                <w:rFonts w:ascii="Arial" w:cs="Arial" w:eastAsia="Arial" w:hAnsi="Arial"/>
                <w:sz w:val="16"/>
                <w:szCs w:val="16"/>
                <w:color w:val="auto"/>
              </w:rPr>
              <w:t>0.21 %</w:t>
            </w:r>
          </w:p>
        </w:tc>
        <w:tc>
          <w:tcPr>
            <w:tcW w:w="200" w:type="dxa"/>
            <w:vAlign w:val="bottom"/>
          </w:tcPr>
          <w:p>
            <w:pPr>
              <w:spacing w:after="0"/>
              <w:rPr>
                <w:sz w:val="17"/>
                <w:szCs w:val="17"/>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140,365</w:t>
            </w:r>
          </w:p>
        </w:tc>
        <w:tc>
          <w:tcPr>
            <w:tcW w:w="220" w:type="dxa"/>
            <w:vAlign w:val="bottom"/>
          </w:tcPr>
          <w:p>
            <w:pPr>
              <w:spacing w:after="0"/>
              <w:rPr>
                <w:sz w:val="17"/>
                <w:szCs w:val="17"/>
                <w:color w:val="auto"/>
              </w:rPr>
            </w:pPr>
          </w:p>
        </w:tc>
        <w:tc>
          <w:tcPr>
            <w:tcW w:w="880" w:type="dxa"/>
            <w:vAlign w:val="bottom"/>
          </w:tcPr>
          <w:p>
            <w:pPr>
              <w:jc w:val="right"/>
              <w:ind w:right="162"/>
              <w:spacing w:after="0"/>
              <w:rPr>
                <w:sz w:val="20"/>
                <w:szCs w:val="20"/>
                <w:color w:val="auto"/>
              </w:rPr>
            </w:pPr>
            <w:r>
              <w:rPr>
                <w:rFonts w:ascii="Arial" w:cs="Arial" w:eastAsia="Arial" w:hAnsi="Arial"/>
                <w:sz w:val="16"/>
                <w:szCs w:val="16"/>
                <w:color w:val="auto"/>
              </w:rPr>
              <w:t>50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0.14 %</w:t>
            </w:r>
          </w:p>
        </w:tc>
        <w:tc>
          <w:tcPr>
            <w:tcW w:w="0" w:type="dxa"/>
            <w:vAlign w:val="bottom"/>
          </w:tcPr>
          <w:p>
            <w:pPr>
              <w:spacing w:after="0"/>
              <w:rPr>
                <w:sz w:val="1"/>
                <w:szCs w:val="1"/>
                <w:color w:val="auto"/>
              </w:rPr>
            </w:pPr>
          </w:p>
        </w:tc>
      </w:tr>
      <w:tr>
        <w:trPr>
          <w:trHeight w:val="204"/>
        </w:trPr>
        <w:tc>
          <w:tcPr>
            <w:tcW w:w="3440" w:type="dxa"/>
            <w:vAlign w:val="bottom"/>
          </w:tcPr>
          <w:p>
            <w:pPr>
              <w:ind w:left="100"/>
              <w:spacing w:after="0"/>
              <w:rPr>
                <w:sz w:val="20"/>
                <w:szCs w:val="20"/>
                <w:color w:val="auto"/>
              </w:rPr>
            </w:pPr>
            <w:r>
              <w:rPr>
                <w:rFonts w:ascii="Arial" w:cs="Arial" w:eastAsia="Arial" w:hAnsi="Arial"/>
                <w:sz w:val="16"/>
                <w:szCs w:val="16"/>
                <w:color w:val="auto"/>
              </w:rPr>
              <w:t>Time deposits</w:t>
            </w:r>
          </w:p>
        </w:tc>
        <w:tc>
          <w:tcPr>
            <w:tcW w:w="520" w:type="dxa"/>
            <w:vAlign w:val="bottom"/>
          </w:tcPr>
          <w:p>
            <w:pPr>
              <w:spacing w:after="0"/>
              <w:rPr>
                <w:sz w:val="17"/>
                <w:szCs w:val="17"/>
                <w:color w:val="auto"/>
              </w:rPr>
            </w:pP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468,534</w:t>
            </w:r>
          </w:p>
        </w:tc>
        <w:tc>
          <w:tcPr>
            <w:tcW w:w="660" w:type="dxa"/>
            <w:vAlign w:val="bottom"/>
          </w:tcPr>
          <w:p>
            <w:pPr>
              <w:spacing w:after="0"/>
              <w:rPr>
                <w:sz w:val="17"/>
                <w:szCs w:val="17"/>
                <w:color w:val="auto"/>
              </w:rPr>
            </w:pPr>
          </w:p>
        </w:tc>
        <w:tc>
          <w:tcPr>
            <w:tcW w:w="740" w:type="dxa"/>
            <w:vAlign w:val="bottom"/>
          </w:tcPr>
          <w:p>
            <w:pPr>
              <w:jc w:val="right"/>
              <w:ind w:right="142"/>
              <w:spacing w:after="0"/>
              <w:rPr>
                <w:sz w:val="20"/>
                <w:szCs w:val="20"/>
                <w:color w:val="auto"/>
              </w:rPr>
            </w:pPr>
            <w:r>
              <w:rPr>
                <w:rFonts w:ascii="Arial" w:cs="Arial" w:eastAsia="Arial" w:hAnsi="Arial"/>
                <w:sz w:val="16"/>
                <w:szCs w:val="16"/>
                <w:color w:val="auto"/>
              </w:rPr>
              <w:t>3,832</w:t>
            </w:r>
          </w:p>
        </w:tc>
        <w:tc>
          <w:tcPr>
            <w:tcW w:w="1020" w:type="dxa"/>
            <w:vAlign w:val="bottom"/>
          </w:tcPr>
          <w:p>
            <w:pPr>
              <w:jc w:val="right"/>
              <w:spacing w:after="0"/>
              <w:rPr>
                <w:sz w:val="20"/>
                <w:szCs w:val="20"/>
                <w:color w:val="auto"/>
              </w:rPr>
            </w:pPr>
            <w:r>
              <w:rPr>
                <w:rFonts w:ascii="Arial" w:cs="Arial" w:eastAsia="Arial" w:hAnsi="Arial"/>
                <w:sz w:val="16"/>
                <w:szCs w:val="16"/>
                <w:color w:val="auto"/>
              </w:rPr>
              <w:t>3.27 %</w:t>
            </w:r>
          </w:p>
        </w:tc>
        <w:tc>
          <w:tcPr>
            <w:tcW w:w="200" w:type="dxa"/>
            <w:vAlign w:val="bottom"/>
          </w:tcPr>
          <w:p>
            <w:pPr>
              <w:spacing w:after="0"/>
              <w:rPr>
                <w:sz w:val="17"/>
                <w:szCs w:val="17"/>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385,049</w:t>
            </w:r>
          </w:p>
        </w:tc>
        <w:tc>
          <w:tcPr>
            <w:tcW w:w="220" w:type="dxa"/>
            <w:vAlign w:val="bottom"/>
          </w:tcPr>
          <w:p>
            <w:pPr>
              <w:spacing w:after="0"/>
              <w:rPr>
                <w:sz w:val="17"/>
                <w:szCs w:val="17"/>
                <w:color w:val="auto"/>
              </w:rPr>
            </w:pPr>
          </w:p>
        </w:tc>
        <w:tc>
          <w:tcPr>
            <w:tcW w:w="880" w:type="dxa"/>
            <w:vAlign w:val="bottom"/>
          </w:tcPr>
          <w:p>
            <w:pPr>
              <w:jc w:val="right"/>
              <w:ind w:right="182"/>
              <w:spacing w:after="0"/>
              <w:rPr>
                <w:sz w:val="20"/>
                <w:szCs w:val="20"/>
                <w:color w:val="auto"/>
              </w:rPr>
            </w:pPr>
            <w:r>
              <w:rPr>
                <w:rFonts w:ascii="Arial" w:cs="Arial" w:eastAsia="Arial" w:hAnsi="Arial"/>
                <w:sz w:val="16"/>
                <w:szCs w:val="16"/>
                <w:color w:val="auto"/>
              </w:rPr>
              <w:t>690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0.72 %</w:t>
            </w:r>
          </w:p>
        </w:tc>
        <w:tc>
          <w:tcPr>
            <w:tcW w:w="0" w:type="dxa"/>
            <w:vAlign w:val="bottom"/>
          </w:tcPr>
          <w:p>
            <w:pPr>
              <w:spacing w:after="0"/>
              <w:rPr>
                <w:sz w:val="1"/>
                <w:szCs w:val="1"/>
                <w:color w:val="auto"/>
              </w:rPr>
            </w:pPr>
          </w:p>
        </w:tc>
      </w:tr>
      <w:tr>
        <w:trPr>
          <w:trHeight w:val="204"/>
        </w:trPr>
        <w:tc>
          <w:tcPr>
            <w:tcW w:w="3440" w:type="dxa"/>
            <w:vAlign w:val="bottom"/>
          </w:tcPr>
          <w:p>
            <w:pPr>
              <w:ind w:left="100"/>
              <w:spacing w:after="0"/>
              <w:rPr>
                <w:sz w:val="20"/>
                <w:szCs w:val="20"/>
                <w:color w:val="auto"/>
              </w:rPr>
            </w:pPr>
            <w:r>
              <w:rPr>
                <w:rFonts w:ascii="Arial" w:cs="Arial" w:eastAsia="Arial" w:hAnsi="Arial"/>
                <w:sz w:val="16"/>
                <w:szCs w:val="16"/>
                <w:color w:val="auto"/>
              </w:rPr>
              <w:t>Subordinated debt</w:t>
            </w:r>
          </w:p>
        </w:tc>
        <w:tc>
          <w:tcPr>
            <w:tcW w:w="520" w:type="dxa"/>
            <w:vAlign w:val="bottom"/>
          </w:tcPr>
          <w:p>
            <w:pPr>
              <w:spacing w:after="0"/>
              <w:rPr>
                <w:sz w:val="17"/>
                <w:szCs w:val="17"/>
                <w:color w:val="auto"/>
              </w:rPr>
            </w:pP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29,792</w:t>
            </w:r>
          </w:p>
        </w:tc>
        <w:tc>
          <w:tcPr>
            <w:tcW w:w="660" w:type="dxa"/>
            <w:vAlign w:val="bottom"/>
          </w:tcPr>
          <w:p>
            <w:pPr>
              <w:spacing w:after="0"/>
              <w:rPr>
                <w:sz w:val="17"/>
                <w:szCs w:val="17"/>
                <w:color w:val="auto"/>
              </w:rPr>
            </w:pPr>
          </w:p>
        </w:tc>
        <w:tc>
          <w:tcPr>
            <w:tcW w:w="740" w:type="dxa"/>
            <w:vAlign w:val="bottom"/>
          </w:tcPr>
          <w:p>
            <w:pPr>
              <w:jc w:val="right"/>
              <w:ind w:right="142"/>
              <w:spacing w:after="0"/>
              <w:rPr>
                <w:sz w:val="20"/>
                <w:szCs w:val="20"/>
                <w:color w:val="auto"/>
              </w:rPr>
            </w:pPr>
            <w:r>
              <w:rPr>
                <w:rFonts w:ascii="Arial" w:cs="Arial" w:eastAsia="Arial" w:hAnsi="Arial"/>
                <w:sz w:val="16"/>
                <w:szCs w:val="16"/>
                <w:color w:val="auto"/>
              </w:rPr>
              <w:t>483</w:t>
            </w:r>
          </w:p>
        </w:tc>
        <w:tc>
          <w:tcPr>
            <w:tcW w:w="1020" w:type="dxa"/>
            <w:vAlign w:val="bottom"/>
          </w:tcPr>
          <w:p>
            <w:pPr>
              <w:jc w:val="right"/>
              <w:spacing w:after="0"/>
              <w:rPr>
                <w:sz w:val="20"/>
                <w:szCs w:val="20"/>
                <w:color w:val="auto"/>
              </w:rPr>
            </w:pPr>
            <w:r>
              <w:rPr>
                <w:rFonts w:ascii="Arial" w:cs="Arial" w:eastAsia="Arial" w:hAnsi="Arial"/>
                <w:sz w:val="16"/>
                <w:szCs w:val="16"/>
                <w:color w:val="auto"/>
              </w:rPr>
              <w:t>6.48 %</w:t>
            </w:r>
          </w:p>
        </w:tc>
        <w:tc>
          <w:tcPr>
            <w:tcW w:w="200" w:type="dxa"/>
            <w:vAlign w:val="bottom"/>
          </w:tcPr>
          <w:p>
            <w:pPr>
              <w:spacing w:after="0"/>
              <w:rPr>
                <w:sz w:val="17"/>
                <w:szCs w:val="17"/>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29,619</w:t>
            </w:r>
          </w:p>
        </w:tc>
        <w:tc>
          <w:tcPr>
            <w:tcW w:w="220" w:type="dxa"/>
            <w:vAlign w:val="bottom"/>
          </w:tcPr>
          <w:p>
            <w:pPr>
              <w:spacing w:after="0"/>
              <w:rPr>
                <w:sz w:val="17"/>
                <w:szCs w:val="17"/>
                <w:color w:val="auto"/>
              </w:rPr>
            </w:pPr>
          </w:p>
        </w:tc>
        <w:tc>
          <w:tcPr>
            <w:tcW w:w="880" w:type="dxa"/>
            <w:vAlign w:val="bottom"/>
          </w:tcPr>
          <w:p>
            <w:pPr>
              <w:jc w:val="right"/>
              <w:ind w:right="182"/>
              <w:spacing w:after="0"/>
              <w:rPr>
                <w:sz w:val="20"/>
                <w:szCs w:val="20"/>
                <w:color w:val="auto"/>
              </w:rPr>
            </w:pPr>
            <w:r>
              <w:rPr>
                <w:rFonts w:ascii="Arial" w:cs="Arial" w:eastAsia="Arial" w:hAnsi="Arial"/>
                <w:sz w:val="16"/>
                <w:szCs w:val="16"/>
                <w:color w:val="auto"/>
              </w:rPr>
              <w:t>430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5.81 %</w:t>
            </w:r>
          </w:p>
        </w:tc>
        <w:tc>
          <w:tcPr>
            <w:tcW w:w="0" w:type="dxa"/>
            <w:vAlign w:val="bottom"/>
          </w:tcPr>
          <w:p>
            <w:pPr>
              <w:spacing w:after="0"/>
              <w:rPr>
                <w:sz w:val="1"/>
                <w:szCs w:val="1"/>
                <w:color w:val="auto"/>
              </w:rPr>
            </w:pPr>
          </w:p>
        </w:tc>
      </w:tr>
      <w:tr>
        <w:trPr>
          <w:trHeight w:val="204"/>
        </w:trPr>
        <w:tc>
          <w:tcPr>
            <w:tcW w:w="3440" w:type="dxa"/>
            <w:vAlign w:val="bottom"/>
          </w:tcPr>
          <w:p>
            <w:pPr>
              <w:ind w:left="100"/>
              <w:spacing w:after="0"/>
              <w:rPr>
                <w:sz w:val="20"/>
                <w:szCs w:val="20"/>
                <w:color w:val="auto"/>
              </w:rPr>
            </w:pPr>
            <w:r>
              <w:rPr>
                <w:rFonts w:ascii="Arial" w:cs="Arial" w:eastAsia="Arial" w:hAnsi="Arial"/>
                <w:sz w:val="16"/>
                <w:szCs w:val="16"/>
                <w:color w:val="auto"/>
              </w:rPr>
              <w:t>Borrowings</w:t>
            </w:r>
          </w:p>
        </w:tc>
        <w:tc>
          <w:tcPr>
            <w:tcW w:w="520" w:type="dxa"/>
            <w:vAlign w:val="bottom"/>
          </w:tcPr>
          <w:p>
            <w:pPr>
              <w:spacing w:after="0"/>
              <w:rPr>
                <w:sz w:val="17"/>
                <w:szCs w:val="17"/>
                <w:color w:val="auto"/>
              </w:rPr>
            </w:pP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99,284</w:t>
            </w:r>
          </w:p>
        </w:tc>
        <w:tc>
          <w:tcPr>
            <w:tcW w:w="660" w:type="dxa"/>
            <w:vAlign w:val="bottom"/>
          </w:tcPr>
          <w:p>
            <w:pPr>
              <w:spacing w:after="0"/>
              <w:rPr>
                <w:sz w:val="17"/>
                <w:szCs w:val="17"/>
                <w:color w:val="auto"/>
              </w:rPr>
            </w:pPr>
          </w:p>
        </w:tc>
        <w:tc>
          <w:tcPr>
            <w:tcW w:w="740" w:type="dxa"/>
            <w:vAlign w:val="bottom"/>
          </w:tcPr>
          <w:p>
            <w:pPr>
              <w:jc w:val="right"/>
              <w:ind w:right="142"/>
              <w:spacing w:after="0"/>
              <w:rPr>
                <w:sz w:val="20"/>
                <w:szCs w:val="20"/>
                <w:color w:val="auto"/>
              </w:rPr>
            </w:pPr>
            <w:r>
              <w:rPr>
                <w:rFonts w:ascii="Arial" w:cs="Arial" w:eastAsia="Arial" w:hAnsi="Arial"/>
                <w:sz w:val="16"/>
                <w:szCs w:val="16"/>
                <w:color w:val="auto"/>
              </w:rPr>
              <w:t>781</w:t>
            </w:r>
          </w:p>
        </w:tc>
        <w:tc>
          <w:tcPr>
            <w:tcW w:w="1020" w:type="dxa"/>
            <w:vAlign w:val="bottom"/>
          </w:tcPr>
          <w:p>
            <w:pPr>
              <w:jc w:val="right"/>
              <w:spacing w:after="0"/>
              <w:rPr>
                <w:sz w:val="20"/>
                <w:szCs w:val="20"/>
                <w:color w:val="auto"/>
              </w:rPr>
            </w:pPr>
            <w:r>
              <w:rPr>
                <w:rFonts w:ascii="Arial" w:cs="Arial" w:eastAsia="Arial" w:hAnsi="Arial"/>
                <w:sz w:val="16"/>
                <w:szCs w:val="16"/>
                <w:color w:val="auto"/>
              </w:rPr>
              <w:t>3.15 %</w:t>
            </w:r>
          </w:p>
        </w:tc>
        <w:tc>
          <w:tcPr>
            <w:tcW w:w="200" w:type="dxa"/>
            <w:vAlign w:val="bottom"/>
          </w:tcPr>
          <w:p>
            <w:pPr>
              <w:spacing w:after="0"/>
              <w:rPr>
                <w:sz w:val="17"/>
                <w:szCs w:val="17"/>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70,574</w:t>
            </w:r>
          </w:p>
        </w:tc>
        <w:tc>
          <w:tcPr>
            <w:tcW w:w="220" w:type="dxa"/>
            <w:vAlign w:val="bottom"/>
          </w:tcPr>
          <w:p>
            <w:pPr>
              <w:spacing w:after="0"/>
              <w:rPr>
                <w:sz w:val="17"/>
                <w:szCs w:val="17"/>
                <w:color w:val="auto"/>
              </w:rPr>
            </w:pPr>
          </w:p>
        </w:tc>
        <w:tc>
          <w:tcPr>
            <w:tcW w:w="880" w:type="dxa"/>
            <w:vAlign w:val="bottom"/>
          </w:tcPr>
          <w:p>
            <w:pPr>
              <w:jc w:val="right"/>
              <w:ind w:right="182"/>
              <w:spacing w:after="0"/>
              <w:rPr>
                <w:sz w:val="20"/>
                <w:szCs w:val="20"/>
                <w:color w:val="auto"/>
              </w:rPr>
            </w:pPr>
            <w:r>
              <w:rPr>
                <w:rFonts w:ascii="Arial" w:cs="Arial" w:eastAsia="Arial" w:hAnsi="Arial"/>
                <w:sz w:val="16"/>
                <w:szCs w:val="16"/>
                <w:color w:val="auto"/>
              </w:rPr>
              <w:t>165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0.94 %</w:t>
            </w:r>
          </w:p>
        </w:tc>
        <w:tc>
          <w:tcPr>
            <w:tcW w:w="0" w:type="dxa"/>
            <w:vAlign w:val="bottom"/>
          </w:tcPr>
          <w:p>
            <w:pPr>
              <w:spacing w:after="0"/>
              <w:rPr>
                <w:sz w:val="1"/>
                <w:szCs w:val="1"/>
                <w:color w:val="auto"/>
              </w:rPr>
            </w:pPr>
          </w:p>
        </w:tc>
      </w:tr>
      <w:tr>
        <w:trPr>
          <w:trHeight w:val="204"/>
        </w:trPr>
        <w:tc>
          <w:tcPr>
            <w:tcW w:w="3440" w:type="dxa"/>
            <w:vAlign w:val="bottom"/>
            <w:vMerge w:val="restart"/>
          </w:tcPr>
          <w:p>
            <w:pPr>
              <w:ind w:left="180"/>
              <w:spacing w:after="0"/>
              <w:rPr>
                <w:sz w:val="20"/>
                <w:szCs w:val="20"/>
                <w:color w:val="auto"/>
              </w:rPr>
            </w:pPr>
            <w:r>
              <w:rPr>
                <w:rFonts w:ascii="Arial" w:cs="Arial" w:eastAsia="Arial" w:hAnsi="Arial"/>
                <w:sz w:val="16"/>
                <w:szCs w:val="16"/>
                <w:color w:val="auto"/>
              </w:rPr>
              <w:t>Total interest-bearing liabilities</w:t>
            </w:r>
          </w:p>
        </w:tc>
        <w:tc>
          <w:tcPr>
            <w:tcW w:w="520" w:type="dxa"/>
            <w:vAlign w:val="bottom"/>
          </w:tcPr>
          <w:p>
            <w:pPr>
              <w:spacing w:after="0"/>
              <w:rPr>
                <w:sz w:val="17"/>
                <w:szCs w:val="17"/>
                <w:color w:val="auto"/>
              </w:rPr>
            </w:pP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1,077,612</w:t>
            </w:r>
          </w:p>
        </w:tc>
        <w:tc>
          <w:tcPr>
            <w:tcW w:w="660" w:type="dxa"/>
            <w:vAlign w:val="bottom"/>
          </w:tcPr>
          <w:p>
            <w:pPr>
              <w:spacing w:after="0"/>
              <w:rPr>
                <w:sz w:val="17"/>
                <w:szCs w:val="17"/>
                <w:color w:val="auto"/>
              </w:rPr>
            </w:pPr>
          </w:p>
        </w:tc>
        <w:tc>
          <w:tcPr>
            <w:tcW w:w="740" w:type="dxa"/>
            <w:vAlign w:val="bottom"/>
            <w:vMerge w:val="restart"/>
          </w:tcPr>
          <w:p>
            <w:pPr>
              <w:jc w:val="right"/>
              <w:ind w:right="142"/>
              <w:spacing w:after="0"/>
              <w:rPr>
                <w:sz w:val="20"/>
                <w:szCs w:val="20"/>
                <w:color w:val="auto"/>
              </w:rPr>
            </w:pPr>
            <w:r>
              <w:rPr>
                <w:rFonts w:ascii="Arial" w:cs="Arial" w:eastAsia="Arial" w:hAnsi="Arial"/>
                <w:sz w:val="16"/>
                <w:szCs w:val="16"/>
                <w:color w:val="auto"/>
              </w:rPr>
              <w:t>6,889</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2.56 %</w:t>
            </w:r>
          </w:p>
        </w:tc>
        <w:tc>
          <w:tcPr>
            <w:tcW w:w="200" w:type="dxa"/>
            <w:vAlign w:val="bottom"/>
          </w:tcPr>
          <w:p>
            <w:pPr>
              <w:spacing w:after="0"/>
              <w:rPr>
                <w:sz w:val="17"/>
                <w:szCs w:val="17"/>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1,008,889</w:t>
            </w:r>
          </w:p>
        </w:tc>
        <w:tc>
          <w:tcPr>
            <w:tcW w:w="220" w:type="dxa"/>
            <w:vAlign w:val="bottom"/>
          </w:tcPr>
          <w:p>
            <w:pPr>
              <w:spacing w:after="0"/>
              <w:rPr>
                <w:sz w:val="17"/>
                <w:szCs w:val="17"/>
                <w:color w:val="auto"/>
              </w:rPr>
            </w:pPr>
          </w:p>
        </w:tc>
        <w:tc>
          <w:tcPr>
            <w:tcW w:w="880" w:type="dxa"/>
            <w:vAlign w:val="bottom"/>
            <w:vMerge w:val="restart"/>
          </w:tcPr>
          <w:p>
            <w:pPr>
              <w:jc w:val="right"/>
              <w:ind w:right="162"/>
              <w:spacing w:after="0"/>
              <w:rPr>
                <w:sz w:val="20"/>
                <w:szCs w:val="20"/>
                <w:color w:val="auto"/>
              </w:rPr>
            </w:pPr>
            <w:r>
              <w:rPr>
                <w:rFonts w:ascii="Arial" w:cs="Arial" w:eastAsia="Arial" w:hAnsi="Arial"/>
                <w:sz w:val="16"/>
                <w:szCs w:val="16"/>
                <w:color w:val="auto"/>
              </w:rPr>
              <w:t>1,729</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0.69 %</w:t>
            </w:r>
          </w:p>
        </w:tc>
        <w:tc>
          <w:tcPr>
            <w:tcW w:w="0" w:type="dxa"/>
            <w:vAlign w:val="bottom"/>
          </w:tcPr>
          <w:p>
            <w:pPr>
              <w:spacing w:after="0"/>
              <w:rPr>
                <w:sz w:val="1"/>
                <w:szCs w:val="1"/>
                <w:color w:val="auto"/>
              </w:rPr>
            </w:pPr>
          </w:p>
        </w:tc>
      </w:tr>
      <w:tr>
        <w:trPr>
          <w:trHeight w:val="157"/>
        </w:trPr>
        <w:tc>
          <w:tcPr>
            <w:tcW w:w="344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4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Noninterest-bearing liabilities:</w:t>
            </w:r>
          </w:p>
        </w:tc>
        <w:tc>
          <w:tcPr>
            <w:tcW w:w="5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100"/>
              <w:spacing w:after="0"/>
              <w:rPr>
                <w:sz w:val="20"/>
                <w:szCs w:val="20"/>
                <w:color w:val="auto"/>
              </w:rPr>
            </w:pPr>
            <w:r>
              <w:rPr>
                <w:rFonts w:ascii="Arial" w:cs="Arial" w:eastAsia="Arial" w:hAnsi="Arial"/>
                <w:sz w:val="16"/>
                <w:szCs w:val="16"/>
                <w:color w:val="auto"/>
              </w:rPr>
              <w:t>Demand deposits</w:t>
            </w:r>
          </w:p>
        </w:tc>
        <w:tc>
          <w:tcPr>
            <w:tcW w:w="520" w:type="dxa"/>
            <w:vAlign w:val="bottom"/>
          </w:tcPr>
          <w:p>
            <w:pPr>
              <w:spacing w:after="0"/>
              <w:rPr>
                <w:sz w:val="17"/>
                <w:szCs w:val="17"/>
                <w:color w:val="auto"/>
              </w:rPr>
            </w:pP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171,882</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194,287</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Other liabilities</w:t>
            </w:r>
          </w:p>
        </w:tc>
        <w:tc>
          <w:tcPr>
            <w:tcW w:w="5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16,129</w:t>
            </w:r>
          </w:p>
        </w:tc>
        <w:tc>
          <w:tcPr>
            <w:tcW w:w="6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11,263</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180"/>
              <w:spacing w:after="0"/>
              <w:rPr>
                <w:sz w:val="20"/>
                <w:szCs w:val="20"/>
                <w:color w:val="auto"/>
              </w:rPr>
            </w:pPr>
            <w:r>
              <w:rPr>
                <w:rFonts w:ascii="Arial" w:cs="Arial" w:eastAsia="Arial" w:hAnsi="Arial"/>
                <w:sz w:val="16"/>
                <w:szCs w:val="16"/>
                <w:color w:val="auto"/>
              </w:rPr>
              <w:t>Total liabilities</w:t>
            </w:r>
          </w:p>
        </w:tc>
        <w:tc>
          <w:tcPr>
            <w:tcW w:w="520" w:type="dxa"/>
            <w:vAlign w:val="bottom"/>
          </w:tcPr>
          <w:p>
            <w:pPr>
              <w:spacing w:after="0"/>
              <w:rPr>
                <w:sz w:val="17"/>
                <w:szCs w:val="17"/>
                <w:color w:val="auto"/>
              </w:rPr>
            </w:pP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1,265,623</w:t>
            </w: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1,214,439</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Shareholders' equity</w:t>
            </w:r>
          </w:p>
        </w:tc>
        <w:tc>
          <w:tcPr>
            <w:tcW w:w="5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113,915</w:t>
            </w:r>
          </w:p>
        </w:tc>
        <w:tc>
          <w:tcPr>
            <w:tcW w:w="6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108,376</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 liabilities &amp; shareholders' equity</w:t>
            </w:r>
          </w:p>
        </w:tc>
        <w:tc>
          <w:tcPr>
            <w:tcW w:w="5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1,379,538</w:t>
            </w:r>
          </w:p>
        </w:tc>
        <w:tc>
          <w:tcPr>
            <w:tcW w:w="6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1,322,815</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440" w:type="dxa"/>
            <w:vAlign w:val="bottom"/>
            <w:shd w:val="clear" w:color="auto" w:fill="CFF0FC"/>
          </w:tcPr>
          <w:p>
            <w:pPr>
              <w:ind w:left="20"/>
              <w:spacing w:after="0" w:line="181" w:lineRule="exact"/>
              <w:rPr>
                <w:sz w:val="20"/>
                <w:szCs w:val="20"/>
                <w:color w:val="auto"/>
              </w:rPr>
            </w:pPr>
            <w:r>
              <w:rPr>
                <w:rFonts w:ascii="Arial" w:cs="Arial" w:eastAsia="Arial" w:hAnsi="Arial"/>
                <w:sz w:val="16"/>
                <w:szCs w:val="16"/>
                <w:color w:val="auto"/>
              </w:rPr>
              <w:t>Net interest income</w:t>
            </w:r>
          </w:p>
        </w:tc>
        <w:tc>
          <w:tcPr>
            <w:tcW w:w="5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02"/>
              <w:spacing w:after="0" w:line="181" w:lineRule="exact"/>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142"/>
              <w:spacing w:after="0" w:line="181" w:lineRule="exact"/>
              <w:rPr>
                <w:sz w:val="20"/>
                <w:szCs w:val="20"/>
                <w:color w:val="auto"/>
              </w:rPr>
            </w:pPr>
            <w:r>
              <w:rPr>
                <w:rFonts w:ascii="Arial" w:cs="Arial" w:eastAsia="Arial" w:hAnsi="Arial"/>
                <w:sz w:val="16"/>
                <w:szCs w:val="16"/>
                <w:color w:val="auto"/>
              </w:rPr>
              <w:t>9,732</w:t>
            </w:r>
          </w:p>
        </w:tc>
        <w:tc>
          <w:tcPr>
            <w:tcW w:w="10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line="181"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162"/>
              <w:spacing w:after="0" w:line="181" w:lineRule="exact"/>
              <w:rPr>
                <w:sz w:val="20"/>
                <w:szCs w:val="20"/>
                <w:color w:val="auto"/>
              </w:rPr>
            </w:pPr>
            <w:r>
              <w:rPr>
                <w:rFonts w:ascii="Arial" w:cs="Arial" w:eastAsia="Arial" w:hAnsi="Arial"/>
                <w:sz w:val="16"/>
                <w:szCs w:val="16"/>
                <w:color w:val="auto"/>
              </w:rPr>
              <w:t>9,977</w:t>
            </w:r>
          </w:p>
        </w:tc>
        <w:tc>
          <w:tcPr>
            <w:tcW w:w="92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440" w:type="dxa"/>
            <w:vAlign w:val="bottom"/>
          </w:tcPr>
          <w:p>
            <w:pPr>
              <w:ind w:left="20"/>
              <w:spacing w:after="0"/>
              <w:rPr>
                <w:sz w:val="20"/>
                <w:szCs w:val="20"/>
                <w:color w:val="auto"/>
              </w:rPr>
            </w:pPr>
            <w:r>
              <w:rPr>
                <w:rFonts w:ascii="Arial" w:cs="Arial" w:eastAsia="Arial" w:hAnsi="Arial"/>
                <w:sz w:val="16"/>
                <w:szCs w:val="16"/>
                <w:color w:val="auto"/>
              </w:rPr>
              <w:t>Net interest rate spread</w:t>
            </w: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2.49 %</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3.00 %</w:t>
            </w:r>
          </w:p>
        </w:tc>
        <w:tc>
          <w:tcPr>
            <w:tcW w:w="0" w:type="dxa"/>
            <w:vAlign w:val="bottom"/>
          </w:tcPr>
          <w:p>
            <w:pPr>
              <w:spacing w:after="0"/>
              <w:rPr>
                <w:sz w:val="1"/>
                <w:szCs w:val="1"/>
                <w:color w:val="auto"/>
              </w:rPr>
            </w:pPr>
          </w:p>
        </w:tc>
      </w:tr>
      <w:tr>
        <w:trPr>
          <w:trHeight w:val="204"/>
        </w:trPr>
        <w:tc>
          <w:tcPr>
            <w:tcW w:w="3440" w:type="dxa"/>
            <w:vAlign w:val="bottom"/>
          </w:tcPr>
          <w:p>
            <w:pPr>
              <w:ind w:left="20"/>
              <w:spacing w:after="0"/>
              <w:rPr>
                <w:sz w:val="20"/>
                <w:szCs w:val="20"/>
                <w:color w:val="auto"/>
              </w:rPr>
            </w:pPr>
            <w:r>
              <w:rPr>
                <w:rFonts w:ascii="Arial" w:cs="Arial" w:eastAsia="Arial" w:hAnsi="Arial"/>
                <w:sz w:val="16"/>
                <w:szCs w:val="16"/>
                <w:color w:val="auto"/>
              </w:rPr>
              <w:t>Net interest margin</w:t>
            </w: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2.96 %</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3.14 %</w:t>
            </w:r>
          </w:p>
        </w:tc>
        <w:tc>
          <w:tcPr>
            <w:tcW w:w="0" w:type="dxa"/>
            <w:vAlign w:val="bottom"/>
          </w:tcPr>
          <w:p>
            <w:pPr>
              <w:spacing w:after="0"/>
              <w:rPr>
                <w:sz w:val="1"/>
                <w:szCs w:val="1"/>
                <w:color w:val="auto"/>
              </w:rPr>
            </w:pPr>
          </w:p>
        </w:tc>
      </w:tr>
      <w:tr>
        <w:trPr>
          <w:trHeight w:val="187"/>
        </w:trPr>
        <w:tc>
          <w:tcPr>
            <w:tcW w:w="3440" w:type="dxa"/>
            <w:vAlign w:val="bottom"/>
          </w:tcPr>
          <w:p>
            <w:pPr>
              <w:ind w:left="20"/>
              <w:spacing w:after="0"/>
              <w:rPr>
                <w:sz w:val="20"/>
                <w:szCs w:val="20"/>
                <w:color w:val="auto"/>
              </w:rPr>
            </w:pPr>
            <w:r>
              <w:rPr>
                <w:rFonts w:ascii="Arial" w:cs="Arial" w:eastAsia="Arial" w:hAnsi="Arial"/>
                <w:sz w:val="16"/>
                <w:szCs w:val="16"/>
                <w:color w:val="auto"/>
              </w:rPr>
              <w:t>Ratio of average interest-earning assets</w:t>
            </w: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440" w:type="dxa"/>
            <w:vAlign w:val="bottom"/>
          </w:tcPr>
          <w:p>
            <w:pPr>
              <w:ind w:left="140"/>
              <w:spacing w:after="0"/>
              <w:rPr>
                <w:sz w:val="20"/>
                <w:szCs w:val="20"/>
                <w:color w:val="auto"/>
              </w:rPr>
            </w:pPr>
            <w:r>
              <w:rPr>
                <w:rFonts w:ascii="Arial" w:cs="Arial" w:eastAsia="Arial" w:hAnsi="Arial"/>
                <w:sz w:val="16"/>
                <w:szCs w:val="16"/>
                <w:color w:val="auto"/>
              </w:rPr>
              <w:t>to average interest-bearing liabilities</w:t>
            </w: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122.14 %</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125.91 %</w:t>
            </w:r>
          </w:p>
        </w:tc>
        <w:tc>
          <w:tcPr>
            <w:tcW w:w="0" w:type="dxa"/>
            <w:vAlign w:val="bottom"/>
          </w:tcPr>
          <w:p>
            <w:pPr>
              <w:spacing w:after="0"/>
              <w:rPr>
                <w:sz w:val="1"/>
                <w:szCs w:val="1"/>
                <w:color w:val="auto"/>
              </w:rPr>
            </w:pPr>
          </w:p>
        </w:tc>
      </w:tr>
      <w:tr>
        <w:trPr>
          <w:trHeight w:val="384"/>
        </w:trPr>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jc w:val="right"/>
              <w:ind w:right="102"/>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55</w:t>
            </w:r>
            <w:r>
              <w:rPr>
                <w:rFonts w:ascii="Arial" w:cs="Arial" w:eastAsia="Arial" w:hAnsi="Arial"/>
                <w:sz w:val="16"/>
                <w:szCs w:val="16"/>
                <w:color w:val="auto"/>
              </w:rPr>
              <w:t xml:space="preserve"> -</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440" w:type="dxa"/>
            <w:vAlign w:val="bottom"/>
            <w:tcBorders>
              <w:bottom w:val="single" w:sz="8" w:color="EEEEEE"/>
            </w:tcBorders>
          </w:tcPr>
          <w:p>
            <w:pPr>
              <w:spacing w:after="0"/>
              <w:rPr>
                <w:sz w:val="7"/>
                <w:szCs w:val="7"/>
                <w:color w:val="auto"/>
              </w:rPr>
            </w:pPr>
          </w:p>
        </w:tc>
        <w:tc>
          <w:tcPr>
            <w:tcW w:w="520" w:type="dxa"/>
            <w:vAlign w:val="bottom"/>
            <w:tcBorders>
              <w:bottom w:val="single" w:sz="8" w:color="EEEEEE"/>
            </w:tcBorders>
          </w:tcPr>
          <w:p>
            <w:pPr>
              <w:spacing w:after="0"/>
              <w:rPr>
                <w:sz w:val="7"/>
                <w:szCs w:val="7"/>
                <w:color w:val="auto"/>
              </w:rPr>
            </w:pPr>
          </w:p>
        </w:tc>
        <w:tc>
          <w:tcPr>
            <w:tcW w:w="1020" w:type="dxa"/>
            <w:vAlign w:val="bottom"/>
            <w:tcBorders>
              <w:bottom w:val="single" w:sz="8" w:color="EEEEEE"/>
            </w:tcBorders>
          </w:tcPr>
          <w:p>
            <w:pPr>
              <w:spacing w:after="0"/>
              <w:rPr>
                <w:sz w:val="7"/>
                <w:szCs w:val="7"/>
                <w:color w:val="auto"/>
              </w:rPr>
            </w:pPr>
          </w:p>
        </w:tc>
        <w:tc>
          <w:tcPr>
            <w:tcW w:w="660" w:type="dxa"/>
            <w:vAlign w:val="bottom"/>
            <w:tcBorders>
              <w:bottom w:val="single" w:sz="8" w:color="EEEEEE"/>
            </w:tcBorders>
          </w:tcPr>
          <w:p>
            <w:pPr>
              <w:spacing w:after="0"/>
              <w:rPr>
                <w:sz w:val="7"/>
                <w:szCs w:val="7"/>
                <w:color w:val="auto"/>
              </w:rPr>
            </w:pPr>
          </w:p>
        </w:tc>
        <w:tc>
          <w:tcPr>
            <w:tcW w:w="740" w:type="dxa"/>
            <w:vAlign w:val="bottom"/>
            <w:tcBorders>
              <w:bottom w:val="single" w:sz="8" w:color="EEEEEE"/>
            </w:tcBorders>
          </w:tcPr>
          <w:p>
            <w:pPr>
              <w:spacing w:after="0"/>
              <w:rPr>
                <w:sz w:val="7"/>
                <w:szCs w:val="7"/>
                <w:color w:val="auto"/>
              </w:rPr>
            </w:pPr>
          </w:p>
        </w:tc>
        <w:tc>
          <w:tcPr>
            <w:tcW w:w="102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940" w:type="dxa"/>
            <w:vAlign w:val="bottom"/>
            <w:tcBorders>
              <w:bottom w:val="single" w:sz="8" w:color="EEEEEE"/>
            </w:tcBorders>
          </w:tcPr>
          <w:p>
            <w:pPr>
              <w:spacing w:after="0"/>
              <w:rPr>
                <w:sz w:val="7"/>
                <w:szCs w:val="7"/>
                <w:color w:val="auto"/>
              </w:rPr>
            </w:pPr>
          </w:p>
        </w:tc>
        <w:tc>
          <w:tcPr>
            <w:tcW w:w="220" w:type="dxa"/>
            <w:vAlign w:val="bottom"/>
            <w:tcBorders>
              <w:bottom w:val="single" w:sz="8" w:color="EEEEEE"/>
            </w:tcBorders>
          </w:tcPr>
          <w:p>
            <w:pPr>
              <w:spacing w:after="0"/>
              <w:rPr>
                <w:sz w:val="7"/>
                <w:szCs w:val="7"/>
                <w:color w:val="auto"/>
              </w:rPr>
            </w:pPr>
          </w:p>
        </w:tc>
        <w:tc>
          <w:tcPr>
            <w:tcW w:w="880" w:type="dxa"/>
            <w:vAlign w:val="bottom"/>
            <w:tcBorders>
              <w:bottom w:val="single" w:sz="8" w:color="EEEEEE"/>
            </w:tcBorders>
          </w:tcPr>
          <w:p>
            <w:pPr>
              <w:spacing w:after="0"/>
              <w:rPr>
                <w:sz w:val="7"/>
                <w:szCs w:val="7"/>
                <w:color w:val="auto"/>
              </w:rPr>
            </w:pPr>
          </w:p>
        </w:tc>
        <w:tc>
          <w:tcPr>
            <w:tcW w:w="920" w:type="dxa"/>
            <w:vAlign w:val="bottom"/>
            <w:tcBorders>
              <w:bottom w:val="single" w:sz="8" w:color="EEEEEE"/>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-4344035</wp:posOffset>
            </wp:positionV>
            <wp:extent cx="6707505" cy="1295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-4084955</wp:posOffset>
            </wp:positionV>
            <wp:extent cx="6707505" cy="1295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-2910840</wp:posOffset>
            </wp:positionV>
            <wp:extent cx="6707505" cy="1295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-2651760</wp:posOffset>
            </wp:positionV>
            <wp:extent cx="6707505" cy="167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07505" cy="167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-2354580</wp:posOffset>
            </wp:positionV>
            <wp:extent cx="6707505" cy="1295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-2095500</wp:posOffset>
            </wp:positionV>
            <wp:extent cx="6707505" cy="1295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-677545</wp:posOffset>
            </wp:positionV>
            <wp:extent cx="6707505" cy="1295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959" w:right="62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97"/>
        </w:trPr>
        <w:tc>
          <w:tcPr>
            <w:tcW w:w="3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80" w:type="dxa"/>
            <w:vAlign w:val="bottom"/>
            <w:gridSpan w:val="3"/>
          </w:tcPr>
          <w:p>
            <w:pPr>
              <w:jc w:val="right"/>
              <w:spacing w:after="0"/>
              <w:rPr>
                <w:sz w:val="20"/>
                <w:szCs w:val="20"/>
                <w:color w:val="auto"/>
              </w:rPr>
            </w:pPr>
            <w:r>
              <w:rPr>
                <w:rFonts w:ascii="Arial" w:cs="Arial" w:eastAsia="Arial" w:hAnsi="Arial"/>
                <w:sz w:val="16"/>
                <w:szCs w:val="16"/>
                <w:color w:val="auto"/>
                <w:w w:val="97"/>
              </w:rPr>
              <w:t>For the six months ended June 30,</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gridSpan w:val="2"/>
          </w:tcPr>
          <w:p>
            <w:pPr>
              <w:jc w:val="right"/>
              <w:ind w:right="302"/>
              <w:spacing w:after="0"/>
              <w:rPr>
                <w:sz w:val="20"/>
                <w:szCs w:val="20"/>
                <w:color w:val="auto"/>
              </w:rPr>
            </w:pPr>
            <w:r>
              <w:rPr>
                <w:rFonts w:ascii="Arial" w:cs="Arial" w:eastAsia="Arial" w:hAnsi="Arial"/>
                <w:sz w:val="16"/>
                <w:szCs w:val="16"/>
                <w:color w:val="auto"/>
              </w:rPr>
              <w:t>2023</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42"/>
              <w:spacing w:after="0"/>
              <w:rPr>
                <w:sz w:val="20"/>
                <w:szCs w:val="20"/>
                <w:color w:val="auto"/>
              </w:rPr>
            </w:pPr>
            <w:r>
              <w:rPr>
                <w:rFonts w:ascii="Arial" w:cs="Arial" w:eastAsia="Arial" w:hAnsi="Arial"/>
                <w:sz w:val="16"/>
                <w:szCs w:val="16"/>
                <w:color w:val="auto"/>
              </w:rPr>
              <w:t>2022</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6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Unaudited</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7"/>
              </w:rPr>
              <w:t>Average</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Average</w:t>
            </w:r>
          </w:p>
        </w:tc>
        <w:tc>
          <w:tcPr>
            <w:tcW w:w="0" w:type="dxa"/>
            <w:vAlign w:val="bottom"/>
          </w:tcPr>
          <w:p>
            <w:pPr>
              <w:spacing w:after="0"/>
              <w:rPr>
                <w:sz w:val="1"/>
                <w:szCs w:val="1"/>
                <w:color w:val="auto"/>
              </w:rPr>
            </w:pPr>
          </w:p>
        </w:tc>
      </w:tr>
      <w:tr>
        <w:trPr>
          <w:trHeight w:val="205"/>
        </w:trPr>
        <w:tc>
          <w:tcPr>
            <w:tcW w:w="34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ind w:left="80"/>
              <w:spacing w:after="0"/>
              <w:rPr>
                <w:sz w:val="20"/>
                <w:szCs w:val="20"/>
                <w:color w:val="auto"/>
              </w:rPr>
            </w:pPr>
            <w:r>
              <w:rPr>
                <w:rFonts w:ascii="Arial" w:cs="Arial" w:eastAsia="Arial" w:hAnsi="Arial"/>
                <w:sz w:val="16"/>
                <w:szCs w:val="16"/>
                <w:color w:val="auto"/>
              </w:rPr>
              <w:t>Average</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4"/>
              </w:rPr>
              <w:t>Yield /</w:t>
            </w:r>
          </w:p>
        </w:tc>
        <w:tc>
          <w:tcPr>
            <w:tcW w:w="200" w:type="dxa"/>
            <w:vAlign w:val="bottom"/>
          </w:tcPr>
          <w:p>
            <w:pPr>
              <w:spacing w:after="0"/>
              <w:rPr>
                <w:sz w:val="17"/>
                <w:szCs w:val="17"/>
                <w:color w:val="auto"/>
              </w:rPr>
            </w:pPr>
          </w:p>
        </w:tc>
        <w:tc>
          <w:tcPr>
            <w:tcW w:w="1040" w:type="dxa"/>
            <w:vAlign w:val="bottom"/>
          </w:tcPr>
          <w:p>
            <w:pPr>
              <w:ind w:left="60"/>
              <w:spacing w:after="0"/>
              <w:rPr>
                <w:sz w:val="20"/>
                <w:szCs w:val="20"/>
                <w:color w:val="auto"/>
              </w:rPr>
            </w:pPr>
            <w:r>
              <w:rPr>
                <w:rFonts w:ascii="Arial" w:cs="Arial" w:eastAsia="Arial" w:hAnsi="Arial"/>
                <w:sz w:val="16"/>
                <w:szCs w:val="16"/>
                <w:color w:val="auto"/>
              </w:rPr>
              <w:t>Average</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color w:val="auto"/>
                <w:w w:val="98"/>
              </w:rPr>
              <w:t>Yield /</w:t>
            </w:r>
          </w:p>
        </w:tc>
        <w:tc>
          <w:tcPr>
            <w:tcW w:w="0" w:type="dxa"/>
            <w:vAlign w:val="bottom"/>
          </w:tcPr>
          <w:p>
            <w:pPr>
              <w:spacing w:after="0"/>
              <w:rPr>
                <w:sz w:val="1"/>
                <w:szCs w:val="1"/>
                <w:color w:val="auto"/>
              </w:rPr>
            </w:pPr>
          </w:p>
        </w:tc>
      </w:tr>
      <w:tr>
        <w:trPr>
          <w:trHeight w:val="202"/>
        </w:trPr>
        <w:tc>
          <w:tcPr>
            <w:tcW w:w="34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60" w:type="dxa"/>
            <w:vAlign w:val="bottom"/>
          </w:tcPr>
          <w:p>
            <w:pPr>
              <w:spacing w:after="0"/>
              <w:rPr>
                <w:sz w:val="17"/>
                <w:szCs w:val="17"/>
                <w:color w:val="auto"/>
              </w:rPr>
            </w:pPr>
          </w:p>
        </w:tc>
        <w:tc>
          <w:tcPr>
            <w:tcW w:w="1080" w:type="dxa"/>
            <w:vAlign w:val="bottom"/>
          </w:tcPr>
          <w:p>
            <w:pPr>
              <w:ind w:left="100"/>
              <w:spacing w:after="0"/>
              <w:rPr>
                <w:sz w:val="20"/>
                <w:szCs w:val="20"/>
                <w:color w:val="auto"/>
              </w:rPr>
            </w:pPr>
            <w:r>
              <w:rPr>
                <w:rFonts w:ascii="Arial" w:cs="Arial" w:eastAsia="Arial" w:hAnsi="Arial"/>
                <w:sz w:val="16"/>
                <w:szCs w:val="16"/>
                <w:color w:val="auto"/>
              </w:rPr>
              <w:t>Balance</w:t>
            </w:r>
          </w:p>
        </w:tc>
        <w:tc>
          <w:tcPr>
            <w:tcW w:w="220" w:type="dxa"/>
            <w:vAlign w:val="bottom"/>
          </w:tcPr>
          <w:p>
            <w:pPr>
              <w:spacing w:after="0"/>
              <w:rPr>
                <w:sz w:val="17"/>
                <w:szCs w:val="17"/>
                <w:color w:val="auto"/>
              </w:rPr>
            </w:pPr>
          </w:p>
        </w:tc>
        <w:tc>
          <w:tcPr>
            <w:tcW w:w="680" w:type="dxa"/>
            <w:vAlign w:val="bottom"/>
          </w:tcPr>
          <w:p>
            <w:pPr>
              <w:jc w:val="right"/>
              <w:ind w:right="62"/>
              <w:spacing w:after="0"/>
              <w:rPr>
                <w:sz w:val="20"/>
                <w:szCs w:val="20"/>
                <w:color w:val="auto"/>
              </w:rPr>
            </w:pPr>
            <w:r>
              <w:rPr>
                <w:rFonts w:ascii="Arial" w:cs="Arial" w:eastAsia="Arial" w:hAnsi="Arial"/>
                <w:sz w:val="16"/>
                <w:szCs w:val="16"/>
                <w:color w:val="auto"/>
                <w:w w:val="97"/>
              </w:rPr>
              <w:t>Interest</w:t>
            </w:r>
          </w:p>
        </w:tc>
        <w:tc>
          <w:tcPr>
            <w:tcW w:w="1240" w:type="dxa"/>
            <w:vAlign w:val="bottom"/>
          </w:tcPr>
          <w:p>
            <w:pPr>
              <w:jc w:val="center"/>
              <w:spacing w:after="0"/>
              <w:rPr>
                <w:sz w:val="20"/>
                <w:szCs w:val="20"/>
                <w:color w:val="auto"/>
              </w:rPr>
            </w:pPr>
            <w:r>
              <w:rPr>
                <w:rFonts w:ascii="Arial" w:cs="Arial" w:eastAsia="Arial" w:hAnsi="Arial"/>
                <w:sz w:val="16"/>
                <w:szCs w:val="16"/>
                <w:color w:val="auto"/>
                <w:w w:val="97"/>
              </w:rPr>
              <w:t>Cost</w:t>
            </w:r>
          </w:p>
        </w:tc>
        <w:tc>
          <w:tcPr>
            <w:tcW w:w="200" w:type="dxa"/>
            <w:vAlign w:val="bottom"/>
          </w:tcPr>
          <w:p>
            <w:pPr>
              <w:spacing w:after="0"/>
              <w:rPr>
                <w:sz w:val="17"/>
                <w:szCs w:val="17"/>
                <w:color w:val="auto"/>
              </w:rPr>
            </w:pPr>
          </w:p>
        </w:tc>
        <w:tc>
          <w:tcPr>
            <w:tcW w:w="1040" w:type="dxa"/>
            <w:vAlign w:val="bottom"/>
          </w:tcPr>
          <w:p>
            <w:pPr>
              <w:ind w:left="60"/>
              <w:spacing w:after="0"/>
              <w:rPr>
                <w:sz w:val="20"/>
                <w:szCs w:val="20"/>
                <w:color w:val="auto"/>
              </w:rPr>
            </w:pPr>
            <w:r>
              <w:rPr>
                <w:rFonts w:ascii="Arial" w:cs="Arial" w:eastAsia="Arial" w:hAnsi="Arial"/>
                <w:sz w:val="16"/>
                <w:szCs w:val="16"/>
                <w:color w:val="auto"/>
              </w:rPr>
              <w:t>Balance</w:t>
            </w:r>
          </w:p>
        </w:tc>
        <w:tc>
          <w:tcPr>
            <w:tcW w:w="160" w:type="dxa"/>
            <w:vAlign w:val="bottom"/>
          </w:tcPr>
          <w:p>
            <w:pPr>
              <w:spacing w:after="0"/>
              <w:rPr>
                <w:sz w:val="17"/>
                <w:szCs w:val="17"/>
                <w:color w:val="auto"/>
              </w:rPr>
            </w:pPr>
          </w:p>
        </w:tc>
        <w:tc>
          <w:tcPr>
            <w:tcW w:w="880" w:type="dxa"/>
            <w:vAlign w:val="bottom"/>
          </w:tcPr>
          <w:p>
            <w:pPr>
              <w:jc w:val="right"/>
              <w:ind w:right="262"/>
              <w:spacing w:after="0"/>
              <w:rPr>
                <w:sz w:val="20"/>
                <w:szCs w:val="20"/>
                <w:color w:val="auto"/>
              </w:rPr>
            </w:pPr>
            <w:r>
              <w:rPr>
                <w:rFonts w:ascii="Arial" w:cs="Arial" w:eastAsia="Arial" w:hAnsi="Arial"/>
                <w:sz w:val="16"/>
                <w:szCs w:val="16"/>
                <w:color w:val="auto"/>
                <w:w w:val="97"/>
              </w:rPr>
              <w:t>Interest</w:t>
            </w: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color w:val="auto"/>
                <w:w w:val="97"/>
              </w:rPr>
              <w:t>Cost</w:t>
            </w:r>
          </w:p>
        </w:tc>
        <w:tc>
          <w:tcPr>
            <w:tcW w:w="0" w:type="dxa"/>
            <w:vAlign w:val="bottom"/>
          </w:tcPr>
          <w:p>
            <w:pPr>
              <w:spacing w:after="0"/>
              <w:rPr>
                <w:sz w:val="1"/>
                <w:szCs w:val="1"/>
                <w:color w:val="auto"/>
              </w:rPr>
            </w:pPr>
          </w:p>
        </w:tc>
      </w:tr>
      <w:tr>
        <w:trPr>
          <w:trHeight w:val="207"/>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Interest-earning assets:</w:t>
            </w:r>
          </w:p>
        </w:tc>
        <w:tc>
          <w:tcPr>
            <w:tcW w:w="460" w:type="dxa"/>
            <w:vAlign w:val="bottom"/>
          </w:tcPr>
          <w:p>
            <w:pPr>
              <w:spacing w:after="0"/>
              <w:rPr>
                <w:sz w:val="18"/>
                <w:szCs w:val="18"/>
                <w:color w:val="auto"/>
              </w:rPr>
            </w:pPr>
          </w:p>
        </w:tc>
        <w:tc>
          <w:tcPr>
            <w:tcW w:w="1080" w:type="dxa"/>
            <w:vAlign w:val="bottom"/>
            <w:vMerge w:val="restart"/>
          </w:tcPr>
          <w:p>
            <w:pPr>
              <w:jc w:val="right"/>
              <w:ind w:right="82"/>
              <w:spacing w:after="0"/>
              <w:rPr>
                <w:sz w:val="20"/>
                <w:szCs w:val="20"/>
                <w:color w:val="auto"/>
              </w:rPr>
            </w:pPr>
            <w:r>
              <w:rPr>
                <w:rFonts w:ascii="Arial" w:cs="Arial" w:eastAsia="Arial" w:hAnsi="Arial"/>
                <w:sz w:val="16"/>
                <w:szCs w:val="16"/>
                <w:color w:val="auto"/>
              </w:rPr>
              <w:t>903,255</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restart"/>
          </w:tcPr>
          <w:p>
            <w:pPr>
              <w:jc w:val="right"/>
              <w:ind w:right="142"/>
              <w:spacing w:after="0"/>
              <w:rPr>
                <w:sz w:val="20"/>
                <w:szCs w:val="20"/>
                <w:color w:val="auto"/>
              </w:rPr>
            </w:pPr>
            <w:r>
              <w:rPr>
                <w:rFonts w:ascii="Arial" w:cs="Arial" w:eastAsia="Arial" w:hAnsi="Arial"/>
                <w:sz w:val="16"/>
                <w:szCs w:val="16"/>
                <w:color w:val="auto"/>
              </w:rPr>
              <w:t>854,374</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60" w:type="dxa"/>
            <w:vAlign w:val="bottom"/>
            <w:vMerge w:val="restart"/>
          </w:tcPr>
          <w:p>
            <w:pPr>
              <w:ind w:left="100"/>
              <w:spacing w:after="0"/>
              <w:rPr>
                <w:sz w:val="20"/>
                <w:szCs w:val="20"/>
                <w:color w:val="auto"/>
              </w:rPr>
            </w:pPr>
            <w:r>
              <w:rPr>
                <w:rFonts w:ascii="Arial" w:cs="Arial" w:eastAsia="Arial" w:hAnsi="Arial"/>
                <w:sz w:val="16"/>
                <w:szCs w:val="16"/>
                <w:color w:val="auto"/>
              </w:rPr>
              <w:t>Loans</w:t>
            </w:r>
          </w:p>
        </w:tc>
        <w:tc>
          <w:tcPr>
            <w:tcW w:w="46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080" w:type="dxa"/>
            <w:vAlign w:val="bottom"/>
            <w:vMerge w:val="continue"/>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22,449</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4.97 %</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continue"/>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42"/>
              <w:spacing w:after="0"/>
              <w:rPr>
                <w:sz w:val="20"/>
                <w:szCs w:val="20"/>
                <w:color w:val="auto"/>
              </w:rPr>
            </w:pPr>
            <w:r>
              <w:rPr>
                <w:rFonts w:ascii="Arial" w:cs="Arial" w:eastAsia="Arial" w:hAnsi="Arial"/>
                <w:sz w:val="16"/>
                <w:szCs w:val="16"/>
                <w:color w:val="auto"/>
              </w:rPr>
              <w:t>17,666</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4.14 %</w:t>
            </w:r>
          </w:p>
        </w:tc>
        <w:tc>
          <w:tcPr>
            <w:tcW w:w="0" w:type="dxa"/>
            <w:vAlign w:val="bottom"/>
          </w:tcPr>
          <w:p>
            <w:pPr>
              <w:spacing w:after="0"/>
              <w:rPr>
                <w:sz w:val="1"/>
                <w:szCs w:val="1"/>
                <w:color w:val="auto"/>
              </w:rPr>
            </w:pPr>
          </w:p>
        </w:tc>
      </w:tr>
      <w:tr>
        <w:trPr>
          <w:trHeight w:val="72"/>
        </w:trPr>
        <w:tc>
          <w:tcPr>
            <w:tcW w:w="346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460" w:type="dxa"/>
            <w:vAlign w:val="bottom"/>
          </w:tcPr>
          <w:p>
            <w:pPr>
              <w:ind w:left="100"/>
              <w:spacing w:after="0"/>
              <w:rPr>
                <w:sz w:val="20"/>
                <w:szCs w:val="20"/>
                <w:color w:val="auto"/>
              </w:rPr>
            </w:pPr>
            <w:r>
              <w:rPr>
                <w:rFonts w:ascii="Arial" w:cs="Arial" w:eastAsia="Arial" w:hAnsi="Arial"/>
                <w:sz w:val="16"/>
                <w:szCs w:val="16"/>
                <w:color w:val="auto"/>
              </w:rPr>
              <w:t>Taxable investment securities</w:t>
            </w:r>
          </w:p>
        </w:tc>
        <w:tc>
          <w:tcPr>
            <w:tcW w:w="460" w:type="dxa"/>
            <w:vAlign w:val="bottom"/>
          </w:tcPr>
          <w:p>
            <w:pPr>
              <w:spacing w:after="0"/>
              <w:rPr>
                <w:sz w:val="17"/>
                <w:szCs w:val="17"/>
                <w:color w:val="auto"/>
              </w:rPr>
            </w:pP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369,155</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8,121</w:t>
            </w:r>
          </w:p>
        </w:tc>
        <w:tc>
          <w:tcPr>
            <w:tcW w:w="1240" w:type="dxa"/>
            <w:vAlign w:val="bottom"/>
          </w:tcPr>
          <w:p>
            <w:pPr>
              <w:jc w:val="right"/>
              <w:spacing w:after="0"/>
              <w:rPr>
                <w:sz w:val="20"/>
                <w:szCs w:val="20"/>
                <w:color w:val="auto"/>
              </w:rPr>
            </w:pPr>
            <w:r>
              <w:rPr>
                <w:rFonts w:ascii="Arial" w:cs="Arial" w:eastAsia="Arial" w:hAnsi="Arial"/>
                <w:sz w:val="16"/>
                <w:szCs w:val="16"/>
                <w:color w:val="auto"/>
              </w:rPr>
              <w:t>4.40 %</w:t>
            </w:r>
          </w:p>
        </w:tc>
        <w:tc>
          <w:tcPr>
            <w:tcW w:w="200" w:type="dxa"/>
            <w:vAlign w:val="bottom"/>
          </w:tcPr>
          <w:p>
            <w:pPr>
              <w:spacing w:after="0"/>
              <w:rPr>
                <w:sz w:val="17"/>
                <w:szCs w:val="17"/>
                <w:color w:val="auto"/>
              </w:rPr>
            </w:pPr>
          </w:p>
        </w:tc>
        <w:tc>
          <w:tcPr>
            <w:tcW w:w="1040" w:type="dxa"/>
            <w:vAlign w:val="bottom"/>
          </w:tcPr>
          <w:p>
            <w:pPr>
              <w:jc w:val="right"/>
              <w:ind w:right="142"/>
              <w:spacing w:after="0"/>
              <w:rPr>
                <w:sz w:val="20"/>
                <w:szCs w:val="20"/>
                <w:color w:val="auto"/>
              </w:rPr>
            </w:pPr>
            <w:r>
              <w:rPr>
                <w:rFonts w:ascii="Arial" w:cs="Arial" w:eastAsia="Arial" w:hAnsi="Arial"/>
                <w:sz w:val="16"/>
                <w:szCs w:val="16"/>
                <w:color w:val="auto"/>
              </w:rPr>
              <w:t>340,684</w:t>
            </w:r>
          </w:p>
        </w:tc>
        <w:tc>
          <w:tcPr>
            <w:tcW w:w="16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color w:val="auto"/>
              </w:rPr>
              <w:t>4,742</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2.78 %</w:t>
            </w:r>
          </w:p>
        </w:tc>
        <w:tc>
          <w:tcPr>
            <w:tcW w:w="0" w:type="dxa"/>
            <w:vAlign w:val="bottom"/>
          </w:tcPr>
          <w:p>
            <w:pPr>
              <w:spacing w:after="0"/>
              <w:rPr>
                <w:sz w:val="1"/>
                <w:szCs w:val="1"/>
                <w:color w:val="auto"/>
              </w:rPr>
            </w:pPr>
          </w:p>
        </w:tc>
      </w:tr>
      <w:tr>
        <w:trPr>
          <w:trHeight w:val="204"/>
        </w:trPr>
        <w:tc>
          <w:tcPr>
            <w:tcW w:w="3460" w:type="dxa"/>
            <w:vAlign w:val="bottom"/>
          </w:tcPr>
          <w:p>
            <w:pPr>
              <w:ind w:left="100"/>
              <w:spacing w:after="0"/>
              <w:rPr>
                <w:sz w:val="20"/>
                <w:szCs w:val="20"/>
                <w:color w:val="auto"/>
              </w:rPr>
            </w:pPr>
            <w:r>
              <w:rPr>
                <w:rFonts w:ascii="Arial" w:cs="Arial" w:eastAsia="Arial" w:hAnsi="Arial"/>
                <w:sz w:val="16"/>
                <w:szCs w:val="16"/>
                <w:color w:val="auto"/>
              </w:rPr>
              <w:t>Tax-exempt investment securities</w:t>
            </w:r>
          </w:p>
        </w:tc>
        <w:tc>
          <w:tcPr>
            <w:tcW w:w="460" w:type="dxa"/>
            <w:vAlign w:val="bottom"/>
          </w:tcPr>
          <w:p>
            <w:pPr>
              <w:spacing w:after="0"/>
              <w:rPr>
                <w:sz w:val="17"/>
                <w:szCs w:val="17"/>
                <w:color w:val="auto"/>
              </w:rPr>
            </w:pP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32,726</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934</w:t>
            </w:r>
          </w:p>
        </w:tc>
        <w:tc>
          <w:tcPr>
            <w:tcW w:w="1240" w:type="dxa"/>
            <w:vAlign w:val="bottom"/>
          </w:tcPr>
          <w:p>
            <w:pPr>
              <w:jc w:val="right"/>
              <w:spacing w:after="0"/>
              <w:rPr>
                <w:sz w:val="20"/>
                <w:szCs w:val="20"/>
                <w:color w:val="auto"/>
              </w:rPr>
            </w:pPr>
            <w:r>
              <w:rPr>
                <w:rFonts w:ascii="Arial" w:cs="Arial" w:eastAsia="Arial" w:hAnsi="Arial"/>
                <w:sz w:val="16"/>
                <w:szCs w:val="16"/>
                <w:color w:val="auto"/>
              </w:rPr>
              <w:t>5.71 %</w:t>
            </w:r>
          </w:p>
        </w:tc>
        <w:tc>
          <w:tcPr>
            <w:tcW w:w="200" w:type="dxa"/>
            <w:vAlign w:val="bottom"/>
          </w:tcPr>
          <w:p>
            <w:pPr>
              <w:spacing w:after="0"/>
              <w:rPr>
                <w:sz w:val="17"/>
                <w:szCs w:val="17"/>
                <w:color w:val="auto"/>
              </w:rPr>
            </w:pPr>
          </w:p>
        </w:tc>
        <w:tc>
          <w:tcPr>
            <w:tcW w:w="1040" w:type="dxa"/>
            <w:vAlign w:val="bottom"/>
          </w:tcPr>
          <w:p>
            <w:pPr>
              <w:jc w:val="right"/>
              <w:ind w:right="142"/>
              <w:spacing w:after="0"/>
              <w:rPr>
                <w:sz w:val="20"/>
                <w:szCs w:val="20"/>
                <w:color w:val="auto"/>
              </w:rPr>
            </w:pPr>
            <w:r>
              <w:rPr>
                <w:rFonts w:ascii="Arial" w:cs="Arial" w:eastAsia="Arial" w:hAnsi="Arial"/>
                <w:sz w:val="16"/>
                <w:szCs w:val="16"/>
                <w:color w:val="auto"/>
              </w:rPr>
              <w:t>34,917</w:t>
            </w:r>
          </w:p>
        </w:tc>
        <w:tc>
          <w:tcPr>
            <w:tcW w:w="16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color w:val="auto"/>
              </w:rPr>
              <w:t>261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1.49 %</w:t>
            </w:r>
          </w:p>
        </w:tc>
        <w:tc>
          <w:tcPr>
            <w:tcW w:w="0" w:type="dxa"/>
            <w:vAlign w:val="bottom"/>
          </w:tcPr>
          <w:p>
            <w:pPr>
              <w:spacing w:after="0"/>
              <w:rPr>
                <w:sz w:val="1"/>
                <w:szCs w:val="1"/>
                <w:color w:val="auto"/>
              </w:rPr>
            </w:pPr>
          </w:p>
        </w:tc>
      </w:tr>
      <w:tr>
        <w:trPr>
          <w:trHeight w:val="204"/>
        </w:trPr>
        <w:tc>
          <w:tcPr>
            <w:tcW w:w="3460" w:type="dxa"/>
            <w:vAlign w:val="bottom"/>
          </w:tcPr>
          <w:p>
            <w:pPr>
              <w:ind w:left="100"/>
              <w:spacing w:after="0"/>
              <w:rPr>
                <w:sz w:val="20"/>
                <w:szCs w:val="20"/>
                <w:color w:val="auto"/>
              </w:rPr>
            </w:pPr>
            <w:r>
              <w:rPr>
                <w:rFonts w:ascii="Arial" w:cs="Arial" w:eastAsia="Arial" w:hAnsi="Arial"/>
                <w:sz w:val="16"/>
                <w:szCs w:val="16"/>
                <w:color w:val="auto"/>
              </w:rPr>
              <w:t>Fed funds sold and interest-earning deposits</w:t>
            </w:r>
          </w:p>
        </w:tc>
        <w:tc>
          <w:tcPr>
            <w:tcW w:w="460" w:type="dxa"/>
            <w:vAlign w:val="bottom"/>
          </w:tcPr>
          <w:p>
            <w:pPr>
              <w:spacing w:after="0"/>
              <w:rPr>
                <w:sz w:val="17"/>
                <w:szCs w:val="17"/>
                <w:color w:val="auto"/>
              </w:rPr>
            </w:pP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11,930</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160</w:t>
            </w:r>
          </w:p>
        </w:tc>
        <w:tc>
          <w:tcPr>
            <w:tcW w:w="1240" w:type="dxa"/>
            <w:vAlign w:val="bottom"/>
          </w:tcPr>
          <w:p>
            <w:pPr>
              <w:jc w:val="right"/>
              <w:spacing w:after="0"/>
              <w:rPr>
                <w:sz w:val="20"/>
                <w:szCs w:val="20"/>
                <w:color w:val="auto"/>
              </w:rPr>
            </w:pPr>
            <w:r>
              <w:rPr>
                <w:rFonts w:ascii="Arial" w:cs="Arial" w:eastAsia="Arial" w:hAnsi="Arial"/>
                <w:sz w:val="16"/>
                <w:szCs w:val="16"/>
                <w:color w:val="auto"/>
              </w:rPr>
              <w:t>2.68 %</w:t>
            </w:r>
          </w:p>
        </w:tc>
        <w:tc>
          <w:tcPr>
            <w:tcW w:w="200" w:type="dxa"/>
            <w:vAlign w:val="bottom"/>
          </w:tcPr>
          <w:p>
            <w:pPr>
              <w:spacing w:after="0"/>
              <w:rPr>
                <w:sz w:val="17"/>
                <w:szCs w:val="17"/>
                <w:color w:val="auto"/>
              </w:rPr>
            </w:pPr>
          </w:p>
        </w:tc>
        <w:tc>
          <w:tcPr>
            <w:tcW w:w="1040" w:type="dxa"/>
            <w:vAlign w:val="bottom"/>
          </w:tcPr>
          <w:p>
            <w:pPr>
              <w:jc w:val="right"/>
              <w:ind w:right="142"/>
              <w:spacing w:after="0"/>
              <w:rPr>
                <w:sz w:val="20"/>
                <w:szCs w:val="20"/>
                <w:color w:val="auto"/>
              </w:rPr>
            </w:pPr>
            <w:r>
              <w:rPr>
                <w:rFonts w:ascii="Arial" w:cs="Arial" w:eastAsia="Arial" w:hAnsi="Arial"/>
                <w:sz w:val="16"/>
                <w:szCs w:val="16"/>
                <w:color w:val="auto"/>
              </w:rPr>
              <w:t>24,812</w:t>
            </w:r>
          </w:p>
        </w:tc>
        <w:tc>
          <w:tcPr>
            <w:tcW w:w="16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color w:val="auto"/>
              </w:rPr>
              <w:t>19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0.15 %</w:t>
            </w:r>
          </w:p>
        </w:tc>
        <w:tc>
          <w:tcPr>
            <w:tcW w:w="0" w:type="dxa"/>
            <w:vAlign w:val="bottom"/>
          </w:tcPr>
          <w:p>
            <w:pPr>
              <w:spacing w:after="0"/>
              <w:rPr>
                <w:sz w:val="1"/>
                <w:szCs w:val="1"/>
                <w:color w:val="auto"/>
              </w:rPr>
            </w:pPr>
          </w:p>
        </w:tc>
      </w:tr>
      <w:tr>
        <w:trPr>
          <w:trHeight w:val="204"/>
        </w:trPr>
        <w:tc>
          <w:tcPr>
            <w:tcW w:w="3460" w:type="dxa"/>
            <w:vAlign w:val="bottom"/>
          </w:tcPr>
          <w:p>
            <w:pPr>
              <w:ind w:left="180"/>
              <w:spacing w:after="0"/>
              <w:rPr>
                <w:sz w:val="20"/>
                <w:szCs w:val="20"/>
                <w:color w:val="auto"/>
              </w:rPr>
            </w:pPr>
            <w:r>
              <w:rPr>
                <w:rFonts w:ascii="Arial" w:cs="Arial" w:eastAsia="Arial" w:hAnsi="Arial"/>
                <w:sz w:val="16"/>
                <w:szCs w:val="16"/>
                <w:color w:val="auto"/>
              </w:rPr>
              <w:t>Total interest-earning assets</w:t>
            </w:r>
          </w:p>
        </w:tc>
        <w:tc>
          <w:tcPr>
            <w:tcW w:w="460" w:type="dxa"/>
            <w:vAlign w:val="bottom"/>
          </w:tcPr>
          <w:p>
            <w:pPr>
              <w:spacing w:after="0"/>
              <w:rPr>
                <w:sz w:val="17"/>
                <w:szCs w:val="17"/>
                <w:color w:val="auto"/>
              </w:rPr>
            </w:pP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1,317,066</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31,664</w:t>
            </w:r>
          </w:p>
        </w:tc>
        <w:tc>
          <w:tcPr>
            <w:tcW w:w="1240" w:type="dxa"/>
            <w:vAlign w:val="bottom"/>
          </w:tcPr>
          <w:p>
            <w:pPr>
              <w:jc w:val="right"/>
              <w:spacing w:after="0"/>
              <w:rPr>
                <w:sz w:val="20"/>
                <w:szCs w:val="20"/>
                <w:color w:val="auto"/>
              </w:rPr>
            </w:pPr>
            <w:r>
              <w:rPr>
                <w:rFonts w:ascii="Arial" w:cs="Arial" w:eastAsia="Arial" w:hAnsi="Arial"/>
                <w:sz w:val="16"/>
                <w:szCs w:val="16"/>
                <w:color w:val="auto"/>
              </w:rPr>
              <w:t>4.81 %</w:t>
            </w:r>
          </w:p>
        </w:tc>
        <w:tc>
          <w:tcPr>
            <w:tcW w:w="200" w:type="dxa"/>
            <w:vAlign w:val="bottom"/>
          </w:tcPr>
          <w:p>
            <w:pPr>
              <w:spacing w:after="0"/>
              <w:rPr>
                <w:sz w:val="17"/>
                <w:szCs w:val="17"/>
                <w:color w:val="auto"/>
              </w:rPr>
            </w:pPr>
          </w:p>
        </w:tc>
        <w:tc>
          <w:tcPr>
            <w:tcW w:w="1040" w:type="dxa"/>
            <w:vAlign w:val="bottom"/>
          </w:tcPr>
          <w:p>
            <w:pPr>
              <w:jc w:val="right"/>
              <w:ind w:right="142"/>
              <w:spacing w:after="0"/>
              <w:rPr>
                <w:sz w:val="20"/>
                <w:szCs w:val="20"/>
                <w:color w:val="auto"/>
              </w:rPr>
            </w:pPr>
            <w:r>
              <w:rPr>
                <w:rFonts w:ascii="Arial" w:cs="Arial" w:eastAsia="Arial" w:hAnsi="Arial"/>
                <w:sz w:val="16"/>
                <w:szCs w:val="16"/>
                <w:color w:val="auto"/>
              </w:rPr>
              <w:t>1,254,787</w:t>
            </w:r>
          </w:p>
        </w:tc>
        <w:tc>
          <w:tcPr>
            <w:tcW w:w="16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color w:val="auto"/>
              </w:rPr>
              <w:t>22,688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3.62 %</w:t>
            </w:r>
          </w:p>
        </w:tc>
        <w:tc>
          <w:tcPr>
            <w:tcW w:w="0" w:type="dxa"/>
            <w:vAlign w:val="bottom"/>
          </w:tcPr>
          <w:p>
            <w:pPr>
              <w:spacing w:after="0"/>
              <w:rPr>
                <w:sz w:val="1"/>
                <w:szCs w:val="1"/>
                <w:color w:val="auto"/>
              </w:rPr>
            </w:pPr>
          </w:p>
        </w:tc>
      </w:tr>
      <w:tr>
        <w:trPr>
          <w:trHeight w:val="206"/>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Noninterest-earning assets:</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Other assets</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97,754</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83,199</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100"/>
              <w:spacing w:after="0"/>
              <w:rPr>
                <w:sz w:val="20"/>
                <w:szCs w:val="20"/>
                <w:color w:val="auto"/>
              </w:rPr>
            </w:pPr>
            <w:r>
              <w:rPr>
                <w:rFonts w:ascii="Arial" w:cs="Arial" w:eastAsia="Arial" w:hAnsi="Arial"/>
                <w:sz w:val="16"/>
                <w:szCs w:val="16"/>
                <w:color w:val="auto"/>
              </w:rPr>
              <w:t>Allowance for credit losses</w:t>
            </w:r>
          </w:p>
        </w:tc>
        <w:tc>
          <w:tcPr>
            <w:tcW w:w="46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(17,542 )</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(13,035 )</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4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Net unrealized losses</w:t>
            </w:r>
          </w:p>
        </w:tc>
        <w:tc>
          <w:tcPr>
            <w:tcW w:w="4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4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on available-for-sale securities</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(12,738 )</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(5,323 )</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1,384,540</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1,319,628</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460" w:type="dxa"/>
            <w:vAlign w:val="bottom"/>
            <w:shd w:val="clear" w:color="auto" w:fill="CFF0FC"/>
          </w:tcPr>
          <w:p>
            <w:pPr>
              <w:ind w:left="20"/>
              <w:spacing w:after="0" w:line="181" w:lineRule="exact"/>
              <w:rPr>
                <w:sz w:val="20"/>
                <w:szCs w:val="20"/>
                <w:color w:val="auto"/>
              </w:rPr>
            </w:pPr>
            <w:r>
              <w:rPr>
                <w:rFonts w:ascii="Arial" w:cs="Arial" w:eastAsia="Arial" w:hAnsi="Arial"/>
                <w:sz w:val="16"/>
                <w:szCs w:val="16"/>
                <w:b w:val="1"/>
                <w:bCs w:val="1"/>
                <w:color w:val="auto"/>
              </w:rPr>
              <w:t>Interest-bearing liabilities:</w:t>
            </w:r>
          </w:p>
        </w:tc>
        <w:tc>
          <w:tcPr>
            <w:tcW w:w="4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460" w:type="dxa"/>
            <w:vAlign w:val="bottom"/>
          </w:tcPr>
          <w:p>
            <w:pPr>
              <w:ind w:left="100"/>
              <w:spacing w:after="0"/>
              <w:rPr>
                <w:sz w:val="20"/>
                <w:szCs w:val="20"/>
                <w:color w:val="auto"/>
              </w:rPr>
            </w:pPr>
            <w:r>
              <w:rPr>
                <w:rFonts w:ascii="Arial" w:cs="Arial" w:eastAsia="Arial" w:hAnsi="Arial"/>
                <w:sz w:val="16"/>
                <w:szCs w:val="16"/>
                <w:color w:val="auto"/>
              </w:rPr>
              <w:t>NOW accounts</w:t>
            </w:r>
          </w:p>
        </w:tc>
        <w:tc>
          <w:tcPr>
            <w:tcW w:w="4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95,492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191</w:t>
            </w:r>
          </w:p>
        </w:tc>
        <w:tc>
          <w:tcPr>
            <w:tcW w:w="1240" w:type="dxa"/>
            <w:vAlign w:val="bottom"/>
          </w:tcPr>
          <w:p>
            <w:pPr>
              <w:jc w:val="right"/>
              <w:spacing w:after="0"/>
              <w:rPr>
                <w:sz w:val="20"/>
                <w:szCs w:val="20"/>
                <w:color w:val="auto"/>
              </w:rPr>
            </w:pPr>
            <w:r>
              <w:rPr>
                <w:rFonts w:ascii="Arial" w:cs="Arial" w:eastAsia="Arial" w:hAnsi="Arial"/>
                <w:sz w:val="16"/>
                <w:szCs w:val="16"/>
                <w:color w:val="auto"/>
              </w:rPr>
              <w:t>0.40 %</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42"/>
              <w:spacing w:after="0"/>
              <w:rPr>
                <w:sz w:val="20"/>
                <w:szCs w:val="20"/>
                <w:color w:val="auto"/>
              </w:rPr>
            </w:pPr>
            <w:r>
              <w:rPr>
                <w:rFonts w:ascii="Arial" w:cs="Arial" w:eastAsia="Arial" w:hAnsi="Arial"/>
                <w:sz w:val="16"/>
                <w:szCs w:val="16"/>
                <w:color w:val="auto"/>
              </w:rPr>
              <w:t>106,160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42"/>
              <w:spacing w:after="0"/>
              <w:rPr>
                <w:sz w:val="20"/>
                <w:szCs w:val="20"/>
                <w:color w:val="auto"/>
              </w:rPr>
            </w:pPr>
            <w:r>
              <w:rPr>
                <w:rFonts w:ascii="Arial" w:cs="Arial" w:eastAsia="Arial" w:hAnsi="Arial"/>
                <w:sz w:val="16"/>
                <w:szCs w:val="16"/>
                <w:color w:val="auto"/>
              </w:rPr>
              <w:t>149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0.28 %</w:t>
            </w:r>
          </w:p>
        </w:tc>
        <w:tc>
          <w:tcPr>
            <w:tcW w:w="0" w:type="dxa"/>
            <w:vAlign w:val="bottom"/>
          </w:tcPr>
          <w:p>
            <w:pPr>
              <w:spacing w:after="0"/>
              <w:rPr>
                <w:sz w:val="1"/>
                <w:szCs w:val="1"/>
                <w:color w:val="auto"/>
              </w:rPr>
            </w:pPr>
          </w:p>
        </w:tc>
      </w:tr>
      <w:tr>
        <w:trPr>
          <w:trHeight w:val="204"/>
        </w:trPr>
        <w:tc>
          <w:tcPr>
            <w:tcW w:w="3460" w:type="dxa"/>
            <w:vAlign w:val="bottom"/>
          </w:tcPr>
          <w:p>
            <w:pPr>
              <w:ind w:left="100"/>
              <w:spacing w:after="0"/>
              <w:rPr>
                <w:sz w:val="20"/>
                <w:szCs w:val="20"/>
                <w:color w:val="auto"/>
              </w:rPr>
            </w:pPr>
            <w:r>
              <w:rPr>
                <w:rFonts w:ascii="Arial" w:cs="Arial" w:eastAsia="Arial" w:hAnsi="Arial"/>
                <w:sz w:val="16"/>
                <w:szCs w:val="16"/>
                <w:color w:val="auto"/>
              </w:rPr>
              <w:t>Money management accounts</w:t>
            </w:r>
          </w:p>
        </w:tc>
        <w:tc>
          <w:tcPr>
            <w:tcW w:w="460" w:type="dxa"/>
            <w:vAlign w:val="bottom"/>
          </w:tcPr>
          <w:p>
            <w:pPr>
              <w:spacing w:after="0"/>
              <w:rPr>
                <w:sz w:val="17"/>
                <w:szCs w:val="17"/>
                <w:color w:val="auto"/>
              </w:rPr>
            </w:pP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14,727</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c>
          <w:tcPr>
            <w:tcW w:w="1240" w:type="dxa"/>
            <w:vAlign w:val="bottom"/>
          </w:tcPr>
          <w:p>
            <w:pPr>
              <w:jc w:val="right"/>
              <w:spacing w:after="0"/>
              <w:rPr>
                <w:sz w:val="20"/>
                <w:szCs w:val="20"/>
                <w:color w:val="auto"/>
              </w:rPr>
            </w:pPr>
            <w:r>
              <w:rPr>
                <w:rFonts w:ascii="Arial" w:cs="Arial" w:eastAsia="Arial" w:hAnsi="Arial"/>
                <w:sz w:val="16"/>
                <w:szCs w:val="16"/>
                <w:color w:val="auto"/>
              </w:rPr>
              <w:t>0.11 %</w:t>
            </w:r>
          </w:p>
        </w:tc>
        <w:tc>
          <w:tcPr>
            <w:tcW w:w="200" w:type="dxa"/>
            <w:vAlign w:val="bottom"/>
          </w:tcPr>
          <w:p>
            <w:pPr>
              <w:spacing w:after="0"/>
              <w:rPr>
                <w:sz w:val="17"/>
                <w:szCs w:val="17"/>
                <w:color w:val="auto"/>
              </w:rPr>
            </w:pPr>
          </w:p>
        </w:tc>
        <w:tc>
          <w:tcPr>
            <w:tcW w:w="1040" w:type="dxa"/>
            <w:vAlign w:val="bottom"/>
          </w:tcPr>
          <w:p>
            <w:pPr>
              <w:jc w:val="right"/>
              <w:ind w:right="142"/>
              <w:spacing w:after="0"/>
              <w:rPr>
                <w:sz w:val="20"/>
                <w:szCs w:val="20"/>
                <w:color w:val="auto"/>
              </w:rPr>
            </w:pPr>
            <w:r>
              <w:rPr>
                <w:rFonts w:ascii="Arial" w:cs="Arial" w:eastAsia="Arial" w:hAnsi="Arial"/>
                <w:sz w:val="16"/>
                <w:szCs w:val="16"/>
                <w:color w:val="auto"/>
              </w:rPr>
              <w:t>16,271</w:t>
            </w:r>
          </w:p>
        </w:tc>
        <w:tc>
          <w:tcPr>
            <w:tcW w:w="16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color w:val="auto"/>
              </w:rPr>
              <w:t>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0.10 %</w:t>
            </w:r>
          </w:p>
        </w:tc>
        <w:tc>
          <w:tcPr>
            <w:tcW w:w="0" w:type="dxa"/>
            <w:vAlign w:val="bottom"/>
          </w:tcPr>
          <w:p>
            <w:pPr>
              <w:spacing w:after="0"/>
              <w:rPr>
                <w:sz w:val="1"/>
                <w:szCs w:val="1"/>
                <w:color w:val="auto"/>
              </w:rPr>
            </w:pPr>
          </w:p>
        </w:tc>
      </w:tr>
      <w:tr>
        <w:trPr>
          <w:trHeight w:val="204"/>
        </w:trPr>
        <w:tc>
          <w:tcPr>
            <w:tcW w:w="3460" w:type="dxa"/>
            <w:vAlign w:val="bottom"/>
          </w:tcPr>
          <w:p>
            <w:pPr>
              <w:ind w:left="100"/>
              <w:spacing w:after="0"/>
              <w:rPr>
                <w:sz w:val="20"/>
                <w:szCs w:val="20"/>
                <w:color w:val="auto"/>
              </w:rPr>
            </w:pPr>
            <w:r>
              <w:rPr>
                <w:rFonts w:ascii="Arial" w:cs="Arial" w:eastAsia="Arial" w:hAnsi="Arial"/>
                <w:sz w:val="16"/>
                <w:szCs w:val="16"/>
                <w:color w:val="auto"/>
              </w:rPr>
              <w:t>MMDA accounts</w:t>
            </w:r>
          </w:p>
        </w:tc>
        <w:tc>
          <w:tcPr>
            <w:tcW w:w="460" w:type="dxa"/>
            <w:vAlign w:val="bottom"/>
          </w:tcPr>
          <w:p>
            <w:pPr>
              <w:spacing w:after="0"/>
              <w:rPr>
                <w:sz w:val="17"/>
                <w:szCs w:val="17"/>
                <w:color w:val="auto"/>
              </w:rPr>
            </w:pP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253,214</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2,897</w:t>
            </w:r>
          </w:p>
        </w:tc>
        <w:tc>
          <w:tcPr>
            <w:tcW w:w="1240" w:type="dxa"/>
            <w:vAlign w:val="bottom"/>
          </w:tcPr>
          <w:p>
            <w:pPr>
              <w:jc w:val="right"/>
              <w:spacing w:after="0"/>
              <w:rPr>
                <w:sz w:val="20"/>
                <w:szCs w:val="20"/>
                <w:color w:val="auto"/>
              </w:rPr>
            </w:pPr>
            <w:r>
              <w:rPr>
                <w:rFonts w:ascii="Arial" w:cs="Arial" w:eastAsia="Arial" w:hAnsi="Arial"/>
                <w:sz w:val="16"/>
                <w:szCs w:val="16"/>
                <w:color w:val="auto"/>
              </w:rPr>
              <w:t>2.29 %</w:t>
            </w:r>
          </w:p>
        </w:tc>
        <w:tc>
          <w:tcPr>
            <w:tcW w:w="200" w:type="dxa"/>
            <w:vAlign w:val="bottom"/>
          </w:tcPr>
          <w:p>
            <w:pPr>
              <w:spacing w:after="0"/>
              <w:rPr>
                <w:sz w:val="17"/>
                <w:szCs w:val="17"/>
                <w:color w:val="auto"/>
              </w:rPr>
            </w:pPr>
          </w:p>
        </w:tc>
        <w:tc>
          <w:tcPr>
            <w:tcW w:w="1040" w:type="dxa"/>
            <w:vAlign w:val="bottom"/>
          </w:tcPr>
          <w:p>
            <w:pPr>
              <w:jc w:val="right"/>
              <w:ind w:right="142"/>
              <w:spacing w:after="0"/>
              <w:rPr>
                <w:sz w:val="20"/>
                <w:szCs w:val="20"/>
                <w:color w:val="auto"/>
              </w:rPr>
            </w:pPr>
            <w:r>
              <w:rPr>
                <w:rFonts w:ascii="Arial" w:cs="Arial" w:eastAsia="Arial" w:hAnsi="Arial"/>
                <w:sz w:val="16"/>
                <w:szCs w:val="16"/>
                <w:color w:val="auto"/>
              </w:rPr>
              <w:t>261,549</w:t>
            </w:r>
          </w:p>
        </w:tc>
        <w:tc>
          <w:tcPr>
            <w:tcW w:w="16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color w:val="auto"/>
              </w:rPr>
              <w:t>558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0.43 %</w:t>
            </w:r>
          </w:p>
        </w:tc>
        <w:tc>
          <w:tcPr>
            <w:tcW w:w="0" w:type="dxa"/>
            <w:vAlign w:val="bottom"/>
          </w:tcPr>
          <w:p>
            <w:pPr>
              <w:spacing w:after="0"/>
              <w:rPr>
                <w:sz w:val="1"/>
                <w:szCs w:val="1"/>
                <w:color w:val="auto"/>
              </w:rPr>
            </w:pPr>
          </w:p>
        </w:tc>
      </w:tr>
      <w:tr>
        <w:trPr>
          <w:trHeight w:val="228"/>
        </w:trPr>
        <w:tc>
          <w:tcPr>
            <w:tcW w:w="3460" w:type="dxa"/>
            <w:vAlign w:val="bottom"/>
          </w:tcPr>
          <w:p>
            <w:pPr>
              <w:ind w:left="100"/>
              <w:spacing w:after="0"/>
              <w:rPr>
                <w:sz w:val="20"/>
                <w:szCs w:val="20"/>
                <w:color w:val="auto"/>
              </w:rPr>
            </w:pPr>
            <w:r>
              <w:rPr>
                <w:rFonts w:ascii="Arial" w:cs="Arial" w:eastAsia="Arial" w:hAnsi="Arial"/>
                <w:sz w:val="16"/>
                <w:szCs w:val="16"/>
                <w:color w:val="auto"/>
              </w:rPr>
              <w:t>Savings and club accounts</w:t>
            </w:r>
          </w:p>
        </w:tc>
        <w:tc>
          <w:tcPr>
            <w:tcW w:w="460" w:type="dxa"/>
            <w:vAlign w:val="bottom"/>
          </w:tcPr>
          <w:p>
            <w:pPr>
              <w:spacing w:after="0"/>
              <w:rPr>
                <w:sz w:val="19"/>
                <w:szCs w:val="19"/>
                <w:color w:val="auto"/>
              </w:rPr>
            </w:pP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130,427</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131</w:t>
            </w:r>
          </w:p>
        </w:tc>
        <w:tc>
          <w:tcPr>
            <w:tcW w:w="1240" w:type="dxa"/>
            <w:vAlign w:val="bottom"/>
          </w:tcPr>
          <w:p>
            <w:pPr>
              <w:jc w:val="right"/>
              <w:spacing w:after="0"/>
              <w:rPr>
                <w:sz w:val="20"/>
                <w:szCs w:val="20"/>
                <w:color w:val="auto"/>
              </w:rPr>
            </w:pPr>
            <w:r>
              <w:rPr>
                <w:rFonts w:ascii="Arial" w:cs="Arial" w:eastAsia="Arial" w:hAnsi="Arial"/>
                <w:sz w:val="16"/>
                <w:szCs w:val="16"/>
                <w:color w:val="auto"/>
              </w:rPr>
              <w:t>0.20 %</w:t>
            </w:r>
          </w:p>
        </w:tc>
        <w:tc>
          <w:tcPr>
            <w:tcW w:w="200" w:type="dxa"/>
            <w:vAlign w:val="bottom"/>
          </w:tcPr>
          <w:p>
            <w:pPr>
              <w:spacing w:after="0"/>
              <w:rPr>
                <w:sz w:val="19"/>
                <w:szCs w:val="19"/>
                <w:color w:val="auto"/>
              </w:rPr>
            </w:pPr>
          </w:p>
        </w:tc>
        <w:tc>
          <w:tcPr>
            <w:tcW w:w="1040" w:type="dxa"/>
            <w:vAlign w:val="bottom"/>
          </w:tcPr>
          <w:p>
            <w:pPr>
              <w:jc w:val="right"/>
              <w:ind w:right="142"/>
              <w:spacing w:after="0"/>
              <w:rPr>
                <w:sz w:val="20"/>
                <w:szCs w:val="20"/>
                <w:color w:val="auto"/>
              </w:rPr>
            </w:pPr>
            <w:r>
              <w:rPr>
                <w:rFonts w:ascii="Arial" w:cs="Arial" w:eastAsia="Arial" w:hAnsi="Arial"/>
                <w:sz w:val="16"/>
                <w:szCs w:val="16"/>
                <w:color w:val="auto"/>
              </w:rPr>
              <w:t>139,480</w:t>
            </w:r>
          </w:p>
        </w:tc>
        <w:tc>
          <w:tcPr>
            <w:tcW w:w="160" w:type="dxa"/>
            <w:vAlign w:val="bottom"/>
          </w:tcPr>
          <w:p>
            <w:pPr>
              <w:spacing w:after="0"/>
              <w:rPr>
                <w:sz w:val="19"/>
                <w:szCs w:val="19"/>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color w:val="auto"/>
              </w:rPr>
              <w:t>98</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0.14 %</w:t>
            </w:r>
          </w:p>
        </w:tc>
        <w:tc>
          <w:tcPr>
            <w:tcW w:w="0" w:type="dxa"/>
            <w:vAlign w:val="bottom"/>
          </w:tcPr>
          <w:p>
            <w:pPr>
              <w:spacing w:after="0"/>
              <w:rPr>
                <w:sz w:val="1"/>
                <w:szCs w:val="1"/>
                <w:color w:val="auto"/>
              </w:rPr>
            </w:pPr>
          </w:p>
        </w:tc>
      </w:tr>
      <w:tr>
        <w:trPr>
          <w:trHeight w:val="204"/>
        </w:trPr>
        <w:tc>
          <w:tcPr>
            <w:tcW w:w="3460" w:type="dxa"/>
            <w:vAlign w:val="bottom"/>
          </w:tcPr>
          <w:p>
            <w:pPr>
              <w:ind w:left="100"/>
              <w:spacing w:after="0"/>
              <w:rPr>
                <w:sz w:val="20"/>
                <w:szCs w:val="20"/>
                <w:color w:val="auto"/>
              </w:rPr>
            </w:pPr>
            <w:r>
              <w:rPr>
                <w:rFonts w:ascii="Arial" w:cs="Arial" w:eastAsia="Arial" w:hAnsi="Arial"/>
                <w:sz w:val="16"/>
                <w:szCs w:val="16"/>
                <w:color w:val="auto"/>
              </w:rPr>
              <w:t>Time deposits</w:t>
            </w:r>
          </w:p>
        </w:tc>
        <w:tc>
          <w:tcPr>
            <w:tcW w:w="460" w:type="dxa"/>
            <w:vAlign w:val="bottom"/>
          </w:tcPr>
          <w:p>
            <w:pPr>
              <w:spacing w:after="0"/>
              <w:rPr>
                <w:sz w:val="17"/>
                <w:szCs w:val="17"/>
                <w:color w:val="auto"/>
              </w:rPr>
            </w:pP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461,793</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6,435</w:t>
            </w:r>
          </w:p>
        </w:tc>
        <w:tc>
          <w:tcPr>
            <w:tcW w:w="1240" w:type="dxa"/>
            <w:vAlign w:val="bottom"/>
          </w:tcPr>
          <w:p>
            <w:pPr>
              <w:jc w:val="right"/>
              <w:spacing w:after="0"/>
              <w:rPr>
                <w:sz w:val="20"/>
                <w:szCs w:val="20"/>
                <w:color w:val="auto"/>
              </w:rPr>
            </w:pPr>
            <w:r>
              <w:rPr>
                <w:rFonts w:ascii="Arial" w:cs="Arial" w:eastAsia="Arial" w:hAnsi="Arial"/>
                <w:sz w:val="16"/>
                <w:szCs w:val="16"/>
                <w:color w:val="auto"/>
              </w:rPr>
              <w:t>2.79 %</w:t>
            </w:r>
          </w:p>
        </w:tc>
        <w:tc>
          <w:tcPr>
            <w:tcW w:w="200" w:type="dxa"/>
            <w:vAlign w:val="bottom"/>
          </w:tcPr>
          <w:p>
            <w:pPr>
              <w:spacing w:after="0"/>
              <w:rPr>
                <w:sz w:val="17"/>
                <w:szCs w:val="17"/>
                <w:color w:val="auto"/>
              </w:rPr>
            </w:pPr>
          </w:p>
        </w:tc>
        <w:tc>
          <w:tcPr>
            <w:tcW w:w="1040" w:type="dxa"/>
            <w:vAlign w:val="bottom"/>
          </w:tcPr>
          <w:p>
            <w:pPr>
              <w:jc w:val="right"/>
              <w:ind w:right="142"/>
              <w:spacing w:after="0"/>
              <w:rPr>
                <w:sz w:val="20"/>
                <w:szCs w:val="20"/>
                <w:color w:val="auto"/>
              </w:rPr>
            </w:pPr>
            <w:r>
              <w:rPr>
                <w:rFonts w:ascii="Arial" w:cs="Arial" w:eastAsia="Arial" w:hAnsi="Arial"/>
                <w:sz w:val="16"/>
                <w:szCs w:val="16"/>
                <w:color w:val="auto"/>
              </w:rPr>
              <w:t>381,506</w:t>
            </w:r>
          </w:p>
        </w:tc>
        <w:tc>
          <w:tcPr>
            <w:tcW w:w="16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color w:val="auto"/>
              </w:rPr>
              <w:t>1,286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0.67 %</w:t>
            </w:r>
          </w:p>
        </w:tc>
        <w:tc>
          <w:tcPr>
            <w:tcW w:w="0" w:type="dxa"/>
            <w:vAlign w:val="bottom"/>
          </w:tcPr>
          <w:p>
            <w:pPr>
              <w:spacing w:after="0"/>
              <w:rPr>
                <w:sz w:val="1"/>
                <w:szCs w:val="1"/>
                <w:color w:val="auto"/>
              </w:rPr>
            </w:pPr>
          </w:p>
        </w:tc>
      </w:tr>
      <w:tr>
        <w:trPr>
          <w:trHeight w:val="204"/>
        </w:trPr>
        <w:tc>
          <w:tcPr>
            <w:tcW w:w="3460" w:type="dxa"/>
            <w:vAlign w:val="bottom"/>
          </w:tcPr>
          <w:p>
            <w:pPr>
              <w:ind w:left="100"/>
              <w:spacing w:after="0"/>
              <w:rPr>
                <w:sz w:val="20"/>
                <w:szCs w:val="20"/>
                <w:color w:val="auto"/>
              </w:rPr>
            </w:pPr>
            <w:r>
              <w:rPr>
                <w:rFonts w:ascii="Arial" w:cs="Arial" w:eastAsia="Arial" w:hAnsi="Arial"/>
                <w:sz w:val="16"/>
                <w:szCs w:val="16"/>
                <w:color w:val="auto"/>
              </w:rPr>
              <w:t>Subordinated debt</w:t>
            </w:r>
          </w:p>
        </w:tc>
        <w:tc>
          <w:tcPr>
            <w:tcW w:w="460" w:type="dxa"/>
            <w:vAlign w:val="bottom"/>
          </w:tcPr>
          <w:p>
            <w:pPr>
              <w:spacing w:after="0"/>
              <w:rPr>
                <w:sz w:val="17"/>
                <w:szCs w:val="17"/>
                <w:color w:val="auto"/>
              </w:rPr>
            </w:pP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29,770</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955</w:t>
            </w:r>
          </w:p>
        </w:tc>
        <w:tc>
          <w:tcPr>
            <w:tcW w:w="1240" w:type="dxa"/>
            <w:vAlign w:val="bottom"/>
          </w:tcPr>
          <w:p>
            <w:pPr>
              <w:jc w:val="right"/>
              <w:spacing w:after="0"/>
              <w:rPr>
                <w:sz w:val="20"/>
                <w:szCs w:val="20"/>
                <w:color w:val="auto"/>
              </w:rPr>
            </w:pPr>
            <w:r>
              <w:rPr>
                <w:rFonts w:ascii="Arial" w:cs="Arial" w:eastAsia="Arial" w:hAnsi="Arial"/>
                <w:sz w:val="16"/>
                <w:szCs w:val="16"/>
                <w:color w:val="auto"/>
              </w:rPr>
              <w:t>6.42 %</w:t>
            </w:r>
          </w:p>
        </w:tc>
        <w:tc>
          <w:tcPr>
            <w:tcW w:w="200" w:type="dxa"/>
            <w:vAlign w:val="bottom"/>
          </w:tcPr>
          <w:p>
            <w:pPr>
              <w:spacing w:after="0"/>
              <w:rPr>
                <w:sz w:val="17"/>
                <w:szCs w:val="17"/>
                <w:color w:val="auto"/>
              </w:rPr>
            </w:pPr>
          </w:p>
        </w:tc>
        <w:tc>
          <w:tcPr>
            <w:tcW w:w="1040" w:type="dxa"/>
            <w:vAlign w:val="bottom"/>
          </w:tcPr>
          <w:p>
            <w:pPr>
              <w:jc w:val="right"/>
              <w:ind w:right="142"/>
              <w:spacing w:after="0"/>
              <w:rPr>
                <w:sz w:val="20"/>
                <w:szCs w:val="20"/>
                <w:color w:val="auto"/>
              </w:rPr>
            </w:pPr>
            <w:r>
              <w:rPr>
                <w:rFonts w:ascii="Arial" w:cs="Arial" w:eastAsia="Arial" w:hAnsi="Arial"/>
                <w:sz w:val="16"/>
                <w:szCs w:val="16"/>
                <w:color w:val="auto"/>
              </w:rPr>
              <w:t>29,598</w:t>
            </w:r>
          </w:p>
        </w:tc>
        <w:tc>
          <w:tcPr>
            <w:tcW w:w="16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color w:val="auto"/>
              </w:rPr>
              <w:t>842</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5.69 %</w:t>
            </w:r>
          </w:p>
        </w:tc>
        <w:tc>
          <w:tcPr>
            <w:tcW w:w="0" w:type="dxa"/>
            <w:vAlign w:val="bottom"/>
          </w:tcPr>
          <w:p>
            <w:pPr>
              <w:spacing w:after="0"/>
              <w:rPr>
                <w:sz w:val="1"/>
                <w:szCs w:val="1"/>
                <w:color w:val="auto"/>
              </w:rPr>
            </w:pPr>
          </w:p>
        </w:tc>
      </w:tr>
      <w:tr>
        <w:trPr>
          <w:trHeight w:val="204"/>
        </w:trPr>
        <w:tc>
          <w:tcPr>
            <w:tcW w:w="3460" w:type="dxa"/>
            <w:vAlign w:val="bottom"/>
          </w:tcPr>
          <w:p>
            <w:pPr>
              <w:ind w:left="100"/>
              <w:spacing w:after="0"/>
              <w:rPr>
                <w:sz w:val="20"/>
                <w:szCs w:val="20"/>
                <w:color w:val="auto"/>
              </w:rPr>
            </w:pPr>
            <w:r>
              <w:rPr>
                <w:rFonts w:ascii="Arial" w:cs="Arial" w:eastAsia="Arial" w:hAnsi="Arial"/>
                <w:sz w:val="16"/>
                <w:szCs w:val="16"/>
                <w:color w:val="auto"/>
              </w:rPr>
              <w:t>Borrowings</w:t>
            </w:r>
          </w:p>
        </w:tc>
        <w:tc>
          <w:tcPr>
            <w:tcW w:w="460" w:type="dxa"/>
            <w:vAlign w:val="bottom"/>
          </w:tcPr>
          <w:p>
            <w:pPr>
              <w:spacing w:after="0"/>
              <w:rPr>
                <w:sz w:val="17"/>
                <w:szCs w:val="17"/>
                <w:color w:val="auto"/>
              </w:rPr>
            </w:pP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93,057</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1,347</w:t>
            </w:r>
          </w:p>
        </w:tc>
        <w:tc>
          <w:tcPr>
            <w:tcW w:w="1240" w:type="dxa"/>
            <w:vAlign w:val="bottom"/>
          </w:tcPr>
          <w:p>
            <w:pPr>
              <w:jc w:val="right"/>
              <w:spacing w:after="0"/>
              <w:rPr>
                <w:sz w:val="20"/>
                <w:szCs w:val="20"/>
                <w:color w:val="auto"/>
              </w:rPr>
            </w:pPr>
            <w:r>
              <w:rPr>
                <w:rFonts w:ascii="Arial" w:cs="Arial" w:eastAsia="Arial" w:hAnsi="Arial"/>
                <w:sz w:val="16"/>
                <w:szCs w:val="16"/>
                <w:color w:val="auto"/>
              </w:rPr>
              <w:t>2.89 %</w:t>
            </w:r>
          </w:p>
        </w:tc>
        <w:tc>
          <w:tcPr>
            <w:tcW w:w="200" w:type="dxa"/>
            <w:vAlign w:val="bottom"/>
          </w:tcPr>
          <w:p>
            <w:pPr>
              <w:spacing w:after="0"/>
              <w:rPr>
                <w:sz w:val="17"/>
                <w:szCs w:val="17"/>
                <w:color w:val="auto"/>
              </w:rPr>
            </w:pPr>
          </w:p>
        </w:tc>
        <w:tc>
          <w:tcPr>
            <w:tcW w:w="1040" w:type="dxa"/>
            <w:vAlign w:val="bottom"/>
          </w:tcPr>
          <w:p>
            <w:pPr>
              <w:jc w:val="right"/>
              <w:ind w:right="142"/>
              <w:spacing w:after="0"/>
              <w:rPr>
                <w:sz w:val="20"/>
                <w:szCs w:val="20"/>
                <w:color w:val="auto"/>
              </w:rPr>
            </w:pPr>
            <w:r>
              <w:rPr>
                <w:rFonts w:ascii="Arial" w:cs="Arial" w:eastAsia="Arial" w:hAnsi="Arial"/>
                <w:sz w:val="16"/>
                <w:szCs w:val="16"/>
                <w:color w:val="auto"/>
              </w:rPr>
              <w:t>67,071</w:t>
            </w:r>
          </w:p>
        </w:tc>
        <w:tc>
          <w:tcPr>
            <w:tcW w:w="16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color w:val="auto"/>
              </w:rPr>
              <w:t>303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0.90 %</w:t>
            </w:r>
          </w:p>
        </w:tc>
        <w:tc>
          <w:tcPr>
            <w:tcW w:w="0" w:type="dxa"/>
            <w:vAlign w:val="bottom"/>
          </w:tcPr>
          <w:p>
            <w:pPr>
              <w:spacing w:after="0"/>
              <w:rPr>
                <w:sz w:val="1"/>
                <w:szCs w:val="1"/>
                <w:color w:val="auto"/>
              </w:rPr>
            </w:pPr>
          </w:p>
        </w:tc>
      </w:tr>
      <w:tr>
        <w:trPr>
          <w:trHeight w:val="204"/>
        </w:trPr>
        <w:tc>
          <w:tcPr>
            <w:tcW w:w="3460" w:type="dxa"/>
            <w:vAlign w:val="bottom"/>
          </w:tcPr>
          <w:p>
            <w:pPr>
              <w:ind w:left="180"/>
              <w:spacing w:after="0"/>
              <w:rPr>
                <w:sz w:val="20"/>
                <w:szCs w:val="20"/>
                <w:color w:val="auto"/>
              </w:rPr>
            </w:pPr>
            <w:r>
              <w:rPr>
                <w:rFonts w:ascii="Arial" w:cs="Arial" w:eastAsia="Arial" w:hAnsi="Arial"/>
                <w:sz w:val="16"/>
                <w:szCs w:val="16"/>
                <w:color w:val="auto"/>
              </w:rPr>
              <w:t>Total interest-bearing liabilities</w:t>
            </w:r>
          </w:p>
        </w:tc>
        <w:tc>
          <w:tcPr>
            <w:tcW w:w="460" w:type="dxa"/>
            <w:vAlign w:val="bottom"/>
          </w:tcPr>
          <w:p>
            <w:pPr>
              <w:spacing w:after="0"/>
              <w:rPr>
                <w:sz w:val="17"/>
                <w:szCs w:val="17"/>
                <w:color w:val="auto"/>
              </w:rPr>
            </w:pP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1,078,480</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11,964</w:t>
            </w:r>
          </w:p>
        </w:tc>
        <w:tc>
          <w:tcPr>
            <w:tcW w:w="1240" w:type="dxa"/>
            <w:vAlign w:val="bottom"/>
          </w:tcPr>
          <w:p>
            <w:pPr>
              <w:jc w:val="right"/>
              <w:spacing w:after="0"/>
              <w:rPr>
                <w:sz w:val="20"/>
                <w:szCs w:val="20"/>
                <w:color w:val="auto"/>
              </w:rPr>
            </w:pPr>
            <w:r>
              <w:rPr>
                <w:rFonts w:ascii="Arial" w:cs="Arial" w:eastAsia="Arial" w:hAnsi="Arial"/>
                <w:sz w:val="16"/>
                <w:szCs w:val="16"/>
                <w:color w:val="auto"/>
              </w:rPr>
              <w:t>2.22 %</w:t>
            </w:r>
          </w:p>
        </w:tc>
        <w:tc>
          <w:tcPr>
            <w:tcW w:w="200" w:type="dxa"/>
            <w:vAlign w:val="bottom"/>
          </w:tcPr>
          <w:p>
            <w:pPr>
              <w:spacing w:after="0"/>
              <w:rPr>
                <w:sz w:val="17"/>
                <w:szCs w:val="17"/>
                <w:color w:val="auto"/>
              </w:rPr>
            </w:pPr>
          </w:p>
        </w:tc>
        <w:tc>
          <w:tcPr>
            <w:tcW w:w="1040" w:type="dxa"/>
            <w:vAlign w:val="bottom"/>
          </w:tcPr>
          <w:p>
            <w:pPr>
              <w:jc w:val="right"/>
              <w:ind w:right="142"/>
              <w:spacing w:after="0"/>
              <w:rPr>
                <w:sz w:val="20"/>
                <w:szCs w:val="20"/>
                <w:color w:val="auto"/>
              </w:rPr>
            </w:pPr>
            <w:r>
              <w:rPr>
                <w:rFonts w:ascii="Arial" w:cs="Arial" w:eastAsia="Arial" w:hAnsi="Arial"/>
                <w:sz w:val="16"/>
                <w:szCs w:val="16"/>
                <w:color w:val="auto"/>
              </w:rPr>
              <w:t>1,001,635</w:t>
            </w:r>
          </w:p>
        </w:tc>
        <w:tc>
          <w:tcPr>
            <w:tcW w:w="160" w:type="dxa"/>
            <w:vAlign w:val="bottom"/>
          </w:tcPr>
          <w:p>
            <w:pPr>
              <w:spacing w:after="0"/>
              <w:rPr>
                <w:sz w:val="17"/>
                <w:szCs w:val="17"/>
                <w:color w:val="auto"/>
              </w:rPr>
            </w:pPr>
          </w:p>
        </w:tc>
        <w:tc>
          <w:tcPr>
            <w:tcW w:w="880" w:type="dxa"/>
            <w:vAlign w:val="bottom"/>
          </w:tcPr>
          <w:p>
            <w:pPr>
              <w:jc w:val="right"/>
              <w:ind w:right="142"/>
              <w:spacing w:after="0"/>
              <w:rPr>
                <w:sz w:val="20"/>
                <w:szCs w:val="20"/>
                <w:color w:val="auto"/>
              </w:rPr>
            </w:pPr>
            <w:r>
              <w:rPr>
                <w:rFonts w:ascii="Arial" w:cs="Arial" w:eastAsia="Arial" w:hAnsi="Arial"/>
                <w:sz w:val="16"/>
                <w:szCs w:val="16"/>
                <w:color w:val="auto"/>
              </w:rPr>
              <w:t>3,244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0.65 %</w:t>
            </w:r>
          </w:p>
        </w:tc>
        <w:tc>
          <w:tcPr>
            <w:tcW w:w="0" w:type="dxa"/>
            <w:vAlign w:val="bottom"/>
          </w:tcPr>
          <w:p>
            <w:pPr>
              <w:spacing w:after="0"/>
              <w:rPr>
                <w:sz w:val="1"/>
                <w:szCs w:val="1"/>
                <w:color w:val="auto"/>
              </w:rPr>
            </w:pPr>
          </w:p>
        </w:tc>
      </w:tr>
      <w:tr>
        <w:trPr>
          <w:trHeight w:val="206"/>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Noninterest-bearing liabilities:</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Demand deposits</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176,339</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196,712</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100"/>
              <w:spacing w:after="0"/>
              <w:rPr>
                <w:sz w:val="20"/>
                <w:szCs w:val="20"/>
                <w:color w:val="auto"/>
              </w:rPr>
            </w:pPr>
            <w:r>
              <w:rPr>
                <w:rFonts w:ascii="Arial" w:cs="Arial" w:eastAsia="Arial" w:hAnsi="Arial"/>
                <w:sz w:val="16"/>
                <w:szCs w:val="16"/>
                <w:color w:val="auto"/>
              </w:rPr>
              <w:t>Other liabilities</w:t>
            </w:r>
          </w:p>
        </w:tc>
        <w:tc>
          <w:tcPr>
            <w:tcW w:w="460" w:type="dxa"/>
            <w:vAlign w:val="bottom"/>
          </w:tcPr>
          <w:p>
            <w:pPr>
              <w:spacing w:after="0"/>
              <w:rPr>
                <w:sz w:val="17"/>
                <w:szCs w:val="17"/>
                <w:color w:val="auto"/>
              </w:rPr>
            </w:pP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16,269</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42"/>
              <w:spacing w:after="0"/>
              <w:rPr>
                <w:sz w:val="20"/>
                <w:szCs w:val="20"/>
                <w:color w:val="auto"/>
              </w:rPr>
            </w:pPr>
            <w:r>
              <w:rPr>
                <w:rFonts w:ascii="Arial" w:cs="Arial" w:eastAsia="Arial" w:hAnsi="Arial"/>
                <w:sz w:val="16"/>
                <w:szCs w:val="16"/>
                <w:color w:val="auto"/>
              </w:rPr>
              <w:t>11,585</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Total liabilities</w:t>
            </w: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1,271,088</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1,209,932</w:t>
            </w: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460" w:type="dxa"/>
            <w:vAlign w:val="bottom"/>
          </w:tcPr>
          <w:p>
            <w:pPr>
              <w:spacing w:after="0"/>
              <w:rPr>
                <w:sz w:val="17"/>
                <w:szCs w:val="17"/>
                <w:color w:val="auto"/>
              </w:rPr>
            </w:pPr>
          </w:p>
        </w:tc>
        <w:tc>
          <w:tcPr>
            <w:tcW w:w="1080" w:type="dxa"/>
            <w:vAlign w:val="bottom"/>
          </w:tcPr>
          <w:p>
            <w:pPr>
              <w:jc w:val="right"/>
              <w:ind w:right="82"/>
              <w:spacing w:after="0"/>
              <w:rPr>
                <w:sz w:val="20"/>
                <w:szCs w:val="20"/>
                <w:color w:val="auto"/>
              </w:rPr>
            </w:pPr>
            <w:r>
              <w:rPr>
                <w:rFonts w:ascii="Arial" w:cs="Arial" w:eastAsia="Arial" w:hAnsi="Arial"/>
                <w:sz w:val="16"/>
                <w:szCs w:val="16"/>
                <w:color w:val="auto"/>
              </w:rPr>
              <w:t>113,452</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42"/>
              <w:spacing w:after="0"/>
              <w:rPr>
                <w:sz w:val="20"/>
                <w:szCs w:val="20"/>
                <w:color w:val="auto"/>
              </w:rPr>
            </w:pPr>
            <w:r>
              <w:rPr>
                <w:rFonts w:ascii="Arial" w:cs="Arial" w:eastAsia="Arial" w:hAnsi="Arial"/>
                <w:sz w:val="16"/>
                <w:szCs w:val="16"/>
                <w:color w:val="auto"/>
              </w:rPr>
              <w:t>109,696</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46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6"/>
                <w:szCs w:val="16"/>
                <w:color w:val="auto"/>
              </w:rPr>
              <w:t>Total liabilities &amp; shareholders' equity</w:t>
            </w:r>
          </w:p>
        </w:tc>
        <w:tc>
          <w:tcPr>
            <w:tcW w:w="46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6"/>
                <w:szCs w:val="16"/>
                <w:color w:val="auto"/>
              </w:rPr>
              <w:t>1,384,540</w:t>
            </w:r>
          </w:p>
        </w:tc>
        <w:tc>
          <w:tcPr>
            <w:tcW w:w="2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6"/>
                <w:szCs w:val="16"/>
                <w:color w:val="auto"/>
              </w:rPr>
              <w:t>1,319,628</w:t>
            </w: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3460" w:type="dxa"/>
            <w:vAlign w:val="bottom"/>
          </w:tcPr>
          <w:p>
            <w:pPr>
              <w:ind w:left="20"/>
              <w:spacing w:after="0" w:line="179" w:lineRule="exact"/>
              <w:rPr>
                <w:sz w:val="20"/>
                <w:szCs w:val="20"/>
                <w:color w:val="auto"/>
              </w:rPr>
            </w:pPr>
            <w:r>
              <w:rPr>
                <w:rFonts w:ascii="Arial" w:cs="Arial" w:eastAsia="Arial" w:hAnsi="Arial"/>
                <w:sz w:val="16"/>
                <w:szCs w:val="16"/>
                <w:color w:val="auto"/>
              </w:rPr>
              <w:t>Net interest income</w:t>
            </w: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jc w:val="right"/>
              <w:spacing w:after="0" w:line="179"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79" w:lineRule="exact"/>
              <w:rPr>
                <w:sz w:val="20"/>
                <w:szCs w:val="20"/>
                <w:color w:val="auto"/>
              </w:rPr>
            </w:pPr>
            <w:r>
              <w:rPr>
                <w:rFonts w:ascii="Arial" w:cs="Arial" w:eastAsia="Arial" w:hAnsi="Arial"/>
                <w:sz w:val="16"/>
                <w:szCs w:val="16"/>
                <w:color w:val="auto"/>
              </w:rPr>
              <w:t>19,700</w:t>
            </w: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jc w:val="right"/>
              <w:spacing w:after="0" w:line="179"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142"/>
              <w:spacing w:after="0" w:line="179" w:lineRule="exact"/>
              <w:rPr>
                <w:sz w:val="20"/>
                <w:szCs w:val="20"/>
                <w:color w:val="auto"/>
              </w:rPr>
            </w:pPr>
            <w:r>
              <w:rPr>
                <w:rFonts w:ascii="Arial" w:cs="Arial" w:eastAsia="Arial" w:hAnsi="Arial"/>
                <w:sz w:val="16"/>
                <w:szCs w:val="16"/>
                <w:color w:val="auto"/>
              </w:rPr>
              <w:t>19,444</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460" w:type="dxa"/>
            <w:vAlign w:val="bottom"/>
          </w:tcPr>
          <w:p>
            <w:pPr>
              <w:ind w:left="20"/>
              <w:spacing w:after="0"/>
              <w:rPr>
                <w:sz w:val="20"/>
                <w:szCs w:val="20"/>
                <w:color w:val="auto"/>
              </w:rPr>
            </w:pPr>
            <w:r>
              <w:rPr>
                <w:rFonts w:ascii="Arial" w:cs="Arial" w:eastAsia="Arial" w:hAnsi="Arial"/>
                <w:sz w:val="16"/>
                <w:szCs w:val="16"/>
                <w:color w:val="auto"/>
              </w:rPr>
              <w:t>Net interest rate spread</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2.59 %</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2.97 %</w:t>
            </w:r>
          </w:p>
        </w:tc>
        <w:tc>
          <w:tcPr>
            <w:tcW w:w="0" w:type="dxa"/>
            <w:vAlign w:val="bottom"/>
          </w:tcPr>
          <w:p>
            <w:pPr>
              <w:spacing w:after="0"/>
              <w:rPr>
                <w:sz w:val="1"/>
                <w:szCs w:val="1"/>
                <w:color w:val="auto"/>
              </w:rPr>
            </w:pPr>
          </w:p>
        </w:tc>
      </w:tr>
      <w:tr>
        <w:trPr>
          <w:trHeight w:val="158"/>
        </w:trPr>
        <w:tc>
          <w:tcPr>
            <w:tcW w:w="3460" w:type="dxa"/>
            <w:vAlign w:val="bottom"/>
            <w:vMerge w:val="restart"/>
          </w:tcPr>
          <w:p>
            <w:pPr>
              <w:ind w:left="20"/>
              <w:spacing w:after="0"/>
              <w:rPr>
                <w:sz w:val="20"/>
                <w:szCs w:val="20"/>
                <w:color w:val="auto"/>
              </w:rPr>
            </w:pPr>
            <w:r>
              <w:rPr>
                <w:rFonts w:ascii="Arial" w:cs="Arial" w:eastAsia="Arial" w:hAnsi="Arial"/>
                <w:sz w:val="16"/>
                <w:szCs w:val="16"/>
                <w:color w:val="auto"/>
              </w:rPr>
              <w:t>Net interest margin</w:t>
            </w:r>
          </w:p>
        </w:tc>
        <w:tc>
          <w:tcPr>
            <w:tcW w:w="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jc w:val="right"/>
              <w:spacing w:after="0" w:line="158"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gridSpan w:val="2"/>
          </w:tcPr>
          <w:p>
            <w:pPr>
              <w:jc w:val="right"/>
              <w:spacing w:after="0" w:line="15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34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2.99</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3.10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60" w:type="dxa"/>
            <w:vAlign w:val="bottom"/>
          </w:tcPr>
          <w:p>
            <w:pPr>
              <w:ind w:left="20"/>
              <w:spacing w:after="0"/>
              <w:rPr>
                <w:sz w:val="20"/>
                <w:szCs w:val="20"/>
                <w:color w:val="auto"/>
              </w:rPr>
            </w:pPr>
            <w:r>
              <w:rPr>
                <w:rFonts w:ascii="Arial" w:cs="Arial" w:eastAsia="Arial" w:hAnsi="Arial"/>
                <w:sz w:val="16"/>
                <w:szCs w:val="16"/>
                <w:color w:val="auto"/>
              </w:rPr>
              <w:t>Ratio of average interest-earning assets</w:t>
            </w: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460" w:type="dxa"/>
            <w:vAlign w:val="bottom"/>
          </w:tcPr>
          <w:p>
            <w:pPr>
              <w:ind w:left="140"/>
              <w:spacing w:after="0"/>
              <w:rPr>
                <w:sz w:val="20"/>
                <w:szCs w:val="20"/>
                <w:color w:val="auto"/>
              </w:rPr>
            </w:pPr>
            <w:r>
              <w:rPr>
                <w:rFonts w:ascii="Arial" w:cs="Arial" w:eastAsia="Arial" w:hAnsi="Arial"/>
                <w:sz w:val="16"/>
                <w:szCs w:val="16"/>
                <w:color w:val="auto"/>
              </w:rPr>
              <w:t>to average interest-bearing liabilities</w:t>
            </w: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122.12 %</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125.27 %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-4182745</wp:posOffset>
            </wp:positionV>
            <wp:extent cx="6707505" cy="1752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07505" cy="1752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-3877945</wp:posOffset>
            </wp:positionV>
            <wp:extent cx="6707505" cy="1295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-3618865</wp:posOffset>
            </wp:positionV>
            <wp:extent cx="6707505" cy="1295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-2444750</wp:posOffset>
            </wp:positionV>
            <wp:extent cx="6707505" cy="1295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-2185670</wp:posOffset>
            </wp:positionV>
            <wp:extent cx="6707505" cy="1447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07505" cy="1447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-1911350</wp:posOffset>
            </wp:positionV>
            <wp:extent cx="6707505" cy="1295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-1652270</wp:posOffset>
            </wp:positionV>
            <wp:extent cx="6707505" cy="1295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-592455</wp:posOffset>
            </wp:positionV>
            <wp:extent cx="6707505" cy="1295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07505" cy="1295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-241935</wp:posOffset>
            </wp:positionV>
            <wp:extent cx="6707505" cy="2438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07505" cy="243840"/>
                    </a:xfrm>
                    <a:prstGeom prst="rect">
                      <a:avLst/>
                    </a:prstGeom>
                    <a:noFill/>
                  </pic:spPr>
                </pic:pic>
              </a:graphicData>
            </a:graphic>
          </wp:anchor>
        </w:drawing>
      </w:r>
    </w:p>
    <w:p>
      <w:pPr>
        <w:spacing w:after="0" w:line="19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the second quarter of 2023, net interest income, before provision for credit losses, for the Company decreased by $245,000 or 2.5%, to $9.7 million compared to $10.0 million for the same quarter in 2022. This decrease was due principally to a 187 basis points increase on the average cost of interest-bearing liabilities, offset by an increase of 136 basis points in the average yield of interest-earning assets. Net interest income was positively impacted by an increase in the average balance of interest-earning assets of $45.8 million, or 3.61%. The positive effect of this increase on the average balance of interest-earning assets was offset by an increase of $68.7 million in average interest-bearing liabilities. In total, net interest margin decreased 18 basis points to 2.96% for the three months ended June 30, 2023 as compared to the same prior year period.</w:t>
      </w:r>
    </w:p>
    <w:p>
      <w:pPr>
        <w:spacing w:after="0" w:line="195"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Interest and dividend income increased by $4.9 million, or 42.0%, to $16.6 million for the three months ended June 30, 2023 compared to $11.7 million for the same three month period in 2022. The increase in interest and dividend income between comparable quarters was a result of a $2.8 million increase in loan interest income and a $2.1 million increase in interest income derived from investment securities. The positive effect on interest income was the result of a 104 basis points increase in the average loan yield, accompanied by a $44.2 million increase in the average outstanding balance of loans and a 199 basis points increase in the average yield on investment securities, accompanied by a $9.8 million increase in the average outstanding balance of investment securities. The increase in the average yield received on interest-earning assets in the second quarter of 2023, as compared to the same quarter in 2022, reflects generally increased rates of interest for newly funded loans and investment securities, as compared to the average yields within these portfolios, as well as increases in coupon rates for certain adjustable-rate loans and securities in the rising interest rate environment that has</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56</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922" w:right="620" w:bottom="1440" w:gutter="0" w:footer="0" w:header="0"/>
        </w:sectPr>
      </w:pPr>
    </w:p>
    <w:bookmarkStart w:id="56" w:name="page57"/>
    <w:bookmarkEnd w:id="56"/>
    <w:p>
      <w:pPr>
        <w:ind w:right="80"/>
        <w:spacing w:after="0" w:line="263" w:lineRule="auto"/>
        <w:rPr>
          <w:sz w:val="20"/>
          <w:szCs w:val="20"/>
          <w:color w:val="auto"/>
        </w:rPr>
      </w:pPr>
      <w:r>
        <w:rPr>
          <w:rFonts w:ascii="Arial" w:cs="Arial" w:eastAsia="Arial" w:hAnsi="Arial"/>
          <w:sz w:val="18"/>
          <w:szCs w:val="18"/>
          <w:color w:val="auto"/>
        </w:rPr>
        <w:t>occurred in 2022 and 2023. These increases in the average yield on loans during 2023 were partially offset by reduced fee recognition related to PPP loans. PPP fee recognition revenues were less than $1,000 for the first six months of 2023, as compared to $545,000 in the six months of the previous year.</w:t>
      </w:r>
    </w:p>
    <w:p>
      <w:pPr>
        <w:spacing w:after="0" w:line="1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Interest expense for the three months ended June 30, 2023 increased by $5.2 million to $6.9 million when compared to the same prior year period due primarily to an increase in interest expense on time deposits and the Company's short-term and long-term borrowings. Interest expense increased due to a 187 basis points increase in the average rates paid on interest-bearing liabilities between the two periods, accompanied by an increase in the average outstanding balance of those liabilities of $68.7 million. The increase in the quarterly interest expense was primarily a result of the increase in cost of deposits resulting from the rapidly rising interest rate environment and increased competition. The deposit mix included an $83.5 million increase in average time deposit balances, an increase of $28.7 million in the Bank's average borrowings offset by a decrease of $43.7 million in the average balance of interest-bearing deposits.</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six month period ended June 30, 2023, net interest income increased by $256,000, or 1.3%, compared to the same six month period in 2022, reaching $19.7 million. The positive change in net interest income was primarily due to the increase in interest and dividend income for the six months ended June 30, 2023, offset by an increase in the Bank's interest expense on interest-bearing liabilities.</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Bank's interest-earning asset income increased to $31.7 million, a 39.5%, or $9.0 million increase from $22.7 million during the same six months in 2022. The change in interest and dividend income for the first six months of 2023 was mainly from an increase in interest generated from loans totaling $ 22.4 million, up $4.8 million from $17.7 million in the same six months of 2022. In addition to the increase in interest generated from loans in the six month period ended June 30, 2023, there was a $ 4.1 million increase in interest earned on investment securities totaling $9.1 million, up from $5.0 million during the same period in 2022 along with a year over year increase of $141,000 in interest on all other interest- earning assets. The average balance of all interest-earning assets for the six month period ended June 30, 2023 was $1.3 billion, an increase of $ 62.3 million from $1.2 billion in the same six month period in 2022, resulting in a 119 basis points increase on the average yield of interest-earning assets.</w:t>
      </w:r>
    </w:p>
    <w:p>
      <w:pPr>
        <w:spacing w:after="0" w:line="19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increase in interest collected on the Bank's interest-earning assets was offset by an increase of $ 8.7 million in interest expense on the Bank's interest-bearing liabilities reaching $12.0 million in the six month period ended June 30, 2023, up from $3.2 million in the same period in 2022. There was an increase in the average balance of the Company's interest -bearing liabilities in the first six months of 2023 totaling $1.1 billion, up $ 76.8 million from the same six month period in 2022. This upward change in interest-bearing liabilities was primarily due to an increase of $80.3 million in average time deposits and a $ 1.0 million increase in expense on the Bank's average borrowings in the first six months of 2023 compared to the same six months in 2022. The increase in average time deposits for the six month period ended June 30, 2023 compared to the same six months in 2022 was partially offset by the decrease of all other average interest-bearing deposits of $28.6 million in the first six months of 2023. The 157 basis points increase in the Bank's average cost of interest-bearing liabilities for the six month period ended June 30, 2023 exemplified the effect rising interest rates have on this competitive deposit market.</w:t>
      </w:r>
    </w:p>
    <w:p>
      <w:pPr>
        <w:spacing w:after="0" w:line="19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resultant net interest margin for the first six months of 2023 was 2.99%, an eleven basis points decrease compared to a net interest margin of 3.10% in first six months of 2022. Over the past year, the Company's management has been able to effectively manage net interest margin by active management of the Bank's assets and liabilities in the current challenging interest rate environment.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Rate/Volume Analysis</w:t>
      </w:r>
    </w:p>
    <w:p>
      <w:pPr>
        <w:spacing w:after="0" w:line="18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Net interest income can also be analyzed in terms of the impact of changing interest rates on interest-earning assets and interest-bearing liabilities and changes in the volume or amount of these assets and liabilities. The following table represents the extent to which changes in interest rates and changes in the volume of interest-earning assets and interest-bearing liabilities have affected the Company’s interest income and interest expense during the periods indicated. Information is provided in each category with respect to: (i) changes attributable to changes in volume (change in volume multiplied by prior rate); (ii) changes attributable to changes in rate (changes in rate multiplied by prior volume); and (iii) total increase</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57</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87" w:right="660" w:bottom="1440" w:gutter="0" w:footer="0" w:header="0"/>
        </w:sectPr>
      </w:pPr>
    </w:p>
    <w:bookmarkStart w:id="57" w:name="page58"/>
    <w:bookmarkEnd w:id="57"/>
    <w:p>
      <w:pPr>
        <w:ind w:right="560"/>
        <w:spacing w:after="0" w:line="275" w:lineRule="auto"/>
        <w:rPr>
          <w:sz w:val="20"/>
          <w:szCs w:val="20"/>
          <w:color w:val="auto"/>
        </w:rPr>
      </w:pPr>
      <w:r>
        <w:rPr>
          <w:rFonts w:ascii="Arial" w:cs="Arial" w:eastAsia="Arial" w:hAnsi="Arial"/>
          <w:sz w:val="18"/>
          <w:szCs w:val="18"/>
          <w:color w:val="auto"/>
        </w:rPr>
        <w:t>or decrease. Changes attributable to both rate and volume have been allocated ratably. Tax-exempt securities have not been adjusted for tax equivalency.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540" w:type="dxa"/>
            <w:vAlign w:val="bottom"/>
            <w:gridSpan w:val="4"/>
          </w:tcPr>
          <w:p>
            <w:pPr>
              <w:jc w:val="center"/>
              <w:ind w:left="182"/>
              <w:spacing w:after="0"/>
              <w:rPr>
                <w:sz w:val="20"/>
                <w:szCs w:val="20"/>
                <w:color w:val="auto"/>
              </w:rPr>
            </w:pPr>
            <w:r>
              <w:rPr>
                <w:rFonts w:ascii="Arial" w:cs="Arial" w:eastAsia="Arial" w:hAnsi="Arial"/>
                <w:sz w:val="16"/>
                <w:szCs w:val="16"/>
                <w:b w:val="1"/>
                <w:bCs w:val="1"/>
                <w:color w:val="auto"/>
                <w:w w:val="97"/>
              </w:rPr>
              <w:t>Three months ended June 30,</w:t>
            </w: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40" w:type="dxa"/>
            <w:vAlign w:val="bottom"/>
            <w:gridSpan w:val="4"/>
          </w:tcPr>
          <w:p>
            <w:pPr>
              <w:jc w:val="center"/>
              <w:ind w:left="142"/>
              <w:spacing w:after="0"/>
              <w:rPr>
                <w:sz w:val="20"/>
                <w:szCs w:val="20"/>
                <w:color w:val="auto"/>
              </w:rPr>
            </w:pPr>
            <w:r>
              <w:rPr>
                <w:rFonts w:ascii="Arial" w:cs="Arial" w:eastAsia="Arial" w:hAnsi="Arial"/>
                <w:sz w:val="16"/>
                <w:szCs w:val="16"/>
                <w:b w:val="1"/>
                <w:bCs w:val="1"/>
                <w:color w:val="auto"/>
                <w:w w:val="96"/>
              </w:rPr>
              <w:t>Six months ended June 30,</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2023 vs. 2022</w:t>
            </w: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gridSpan w:val="3"/>
          </w:tcPr>
          <w:p>
            <w:pPr>
              <w:jc w:val="center"/>
              <w:ind w:left="562"/>
              <w:spacing w:after="0"/>
              <w:rPr>
                <w:sz w:val="20"/>
                <w:szCs w:val="20"/>
                <w:color w:val="auto"/>
              </w:rPr>
            </w:pPr>
            <w:r>
              <w:rPr>
                <w:rFonts w:ascii="Arial" w:cs="Arial" w:eastAsia="Arial" w:hAnsi="Arial"/>
                <w:sz w:val="16"/>
                <w:szCs w:val="16"/>
                <w:b w:val="1"/>
                <w:bCs w:val="1"/>
                <w:color w:val="auto"/>
                <w:w w:val="97"/>
              </w:rPr>
              <w:t>2023 vs. 2022</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40" w:type="dxa"/>
            <w:vAlign w:val="bottom"/>
            <w:gridSpan w:val="4"/>
          </w:tcPr>
          <w:p>
            <w:pPr>
              <w:jc w:val="center"/>
              <w:ind w:left="182"/>
              <w:spacing w:after="0"/>
              <w:rPr>
                <w:sz w:val="20"/>
                <w:szCs w:val="20"/>
                <w:color w:val="auto"/>
              </w:rPr>
            </w:pPr>
            <w:r>
              <w:rPr>
                <w:rFonts w:ascii="Arial" w:cs="Arial" w:eastAsia="Arial" w:hAnsi="Arial"/>
                <w:sz w:val="16"/>
                <w:szCs w:val="16"/>
                <w:b w:val="1"/>
                <w:bCs w:val="1"/>
                <w:color w:val="auto"/>
                <w:w w:val="97"/>
              </w:rPr>
              <w:t>Increase/(Decrease) Due to</w:t>
            </w:r>
          </w:p>
        </w:tc>
        <w:tc>
          <w:tcPr>
            <w:tcW w:w="620" w:type="dxa"/>
            <w:vAlign w:val="bottom"/>
            <w:vMerge w:val="restart"/>
          </w:tcPr>
          <w:p>
            <w:pPr>
              <w:jc w:val="right"/>
              <w:ind w:right="102"/>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2340" w:type="dxa"/>
            <w:vAlign w:val="bottom"/>
            <w:gridSpan w:val="4"/>
          </w:tcPr>
          <w:p>
            <w:pPr>
              <w:jc w:val="center"/>
              <w:ind w:left="142"/>
              <w:spacing w:after="0"/>
              <w:rPr>
                <w:sz w:val="20"/>
                <w:szCs w:val="20"/>
                <w:color w:val="auto"/>
              </w:rPr>
            </w:pPr>
            <w:r>
              <w:rPr>
                <w:rFonts w:ascii="Arial" w:cs="Arial" w:eastAsia="Arial" w:hAnsi="Arial"/>
                <w:sz w:val="16"/>
                <w:szCs w:val="16"/>
                <w:b w:val="1"/>
                <w:bCs w:val="1"/>
                <w:color w:val="auto"/>
                <w:w w:val="97"/>
              </w:rPr>
              <w:t>Increase/(Decrease) Due to</w:t>
            </w:r>
          </w:p>
        </w:tc>
        <w:tc>
          <w:tcPr>
            <w:tcW w:w="54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00" w:type="dxa"/>
            <w:vAlign w:val="bottom"/>
          </w:tcPr>
          <w:p>
            <w:pPr>
              <w:ind w:left="60"/>
              <w:spacing w:after="0"/>
              <w:rPr>
                <w:sz w:val="20"/>
                <w:szCs w:val="20"/>
                <w:color w:val="auto"/>
              </w:rPr>
            </w:pPr>
            <w:r>
              <w:rPr>
                <w:rFonts w:ascii="Arial" w:cs="Arial" w:eastAsia="Arial" w:hAnsi="Arial"/>
                <w:sz w:val="16"/>
                <w:szCs w:val="16"/>
                <w:b w:val="1"/>
                <w:bCs w:val="1"/>
                <w:color w:val="auto"/>
              </w:rPr>
              <w:t>Unaudited</w:t>
            </w: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gridSpan w:val="2"/>
          </w:tcPr>
          <w:p>
            <w:pPr>
              <w:jc w:val="right"/>
              <w:ind w:right="102"/>
              <w:spacing w:after="0"/>
              <w:rPr>
                <w:sz w:val="20"/>
                <w:szCs w:val="20"/>
                <w:color w:val="auto"/>
              </w:rPr>
            </w:pPr>
            <w:r>
              <w:rPr>
                <w:rFonts w:ascii="Arial" w:cs="Arial" w:eastAsia="Arial" w:hAnsi="Arial"/>
                <w:sz w:val="16"/>
                <w:szCs w:val="16"/>
                <w:b w:val="1"/>
                <w:bCs w:val="1"/>
                <w:color w:val="auto"/>
              </w:rPr>
              <w:t>Increase</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180"/>
        </w:trPr>
        <w:tc>
          <w:tcPr>
            <w:tcW w:w="3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rPr>
              <w:t>Volume</w:t>
            </w: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restart"/>
          </w:tcPr>
          <w:p>
            <w:pPr>
              <w:jc w:val="right"/>
              <w:ind w:right="102"/>
              <w:spacing w:after="0"/>
              <w:rPr>
                <w:sz w:val="20"/>
                <w:szCs w:val="20"/>
                <w:color w:val="auto"/>
              </w:rPr>
            </w:pPr>
            <w:r>
              <w:rPr>
                <w:rFonts w:ascii="Arial" w:cs="Arial" w:eastAsia="Arial" w:hAnsi="Arial"/>
                <w:sz w:val="16"/>
                <w:szCs w:val="16"/>
                <w:b w:val="1"/>
                <w:bCs w:val="1"/>
                <w:color w:val="auto"/>
              </w:rPr>
              <w:t>Volume</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gridSpan w:val="2"/>
          </w:tcPr>
          <w:p>
            <w:pPr>
              <w:jc w:val="right"/>
              <w:ind w:right="2"/>
              <w:spacing w:after="0" w:line="180" w:lineRule="exact"/>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121"/>
        </w:trPr>
        <w:tc>
          <w:tcPr>
            <w:tcW w:w="32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9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vMerge w:val="restart"/>
          </w:tcPr>
          <w:p>
            <w:pPr>
              <w:jc w:val="right"/>
              <w:ind w:right="102"/>
              <w:spacing w:after="0"/>
              <w:rPr>
                <w:sz w:val="20"/>
                <w:szCs w:val="20"/>
                <w:color w:val="auto"/>
              </w:rPr>
            </w:pPr>
            <w:r>
              <w:rPr>
                <w:rFonts w:ascii="Arial" w:cs="Arial" w:eastAsia="Arial" w:hAnsi="Arial"/>
                <w:sz w:val="16"/>
                <w:szCs w:val="16"/>
                <w:b w:val="1"/>
                <w:bCs w:val="1"/>
                <w:color w:val="auto"/>
              </w:rPr>
              <w:t>Rate</w:t>
            </w:r>
          </w:p>
        </w:tc>
        <w:tc>
          <w:tcPr>
            <w:tcW w:w="1160" w:type="dxa"/>
            <w:vAlign w:val="bottom"/>
            <w:gridSpan w:val="2"/>
            <w:vMerge w:val="restart"/>
          </w:tcPr>
          <w:p>
            <w:pPr>
              <w:jc w:val="right"/>
              <w:ind w:right="102"/>
              <w:spacing w:after="0"/>
              <w:rPr>
                <w:sz w:val="20"/>
                <w:szCs w:val="20"/>
                <w:color w:val="auto"/>
              </w:rPr>
            </w:pPr>
            <w:r>
              <w:rPr>
                <w:rFonts w:ascii="Arial" w:cs="Arial" w:eastAsia="Arial" w:hAnsi="Arial"/>
                <w:sz w:val="16"/>
                <w:szCs w:val="16"/>
                <w:b w:val="1"/>
                <w:bCs w:val="1"/>
                <w:color w:val="auto"/>
              </w:rPr>
              <w:t>(Decrease)</w:t>
            </w:r>
          </w:p>
        </w:tc>
        <w:tc>
          <w:tcPr>
            <w:tcW w:w="3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Rate</w:t>
            </w:r>
          </w:p>
        </w:tc>
        <w:tc>
          <w:tcPr>
            <w:tcW w:w="420" w:type="dxa"/>
            <w:vAlign w:val="bottom"/>
          </w:tcPr>
          <w:p>
            <w:pPr>
              <w:spacing w:after="0"/>
              <w:rPr>
                <w:sz w:val="10"/>
                <w:szCs w:val="10"/>
                <w:color w:val="auto"/>
              </w:rPr>
            </w:pPr>
          </w:p>
        </w:tc>
        <w:tc>
          <w:tcPr>
            <w:tcW w:w="54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86"/>
        </w:trPr>
        <w:tc>
          <w:tcPr>
            <w:tcW w:w="32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Interest Income:</w:t>
            </w:r>
          </w:p>
        </w:tc>
        <w:tc>
          <w:tcPr>
            <w:tcW w:w="9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100"/>
              <w:spacing w:after="0"/>
              <w:rPr>
                <w:sz w:val="20"/>
                <w:szCs w:val="20"/>
                <w:color w:val="auto"/>
              </w:rPr>
            </w:pPr>
            <w:r>
              <w:rPr>
                <w:rFonts w:ascii="Arial" w:cs="Arial" w:eastAsia="Arial" w:hAnsi="Arial"/>
                <w:sz w:val="16"/>
                <w:szCs w:val="16"/>
                <w:color w:val="auto"/>
              </w:rPr>
              <w:t>Loans</w:t>
            </w: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479</w:t>
            </w:r>
          </w:p>
        </w:tc>
        <w:tc>
          <w:tcPr>
            <w:tcW w:w="5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2,338</w:t>
            </w:r>
          </w:p>
        </w:tc>
        <w:tc>
          <w:tcPr>
            <w:tcW w:w="54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02"/>
              <w:spacing w:after="0"/>
              <w:rPr>
                <w:sz w:val="20"/>
                <w:szCs w:val="20"/>
                <w:color w:val="auto"/>
              </w:rPr>
            </w:pPr>
            <w:r>
              <w:rPr>
                <w:rFonts w:ascii="Arial" w:cs="Arial" w:eastAsia="Arial" w:hAnsi="Arial"/>
                <w:sz w:val="16"/>
                <w:szCs w:val="16"/>
                <w:color w:val="auto"/>
              </w:rPr>
              <w:t>2,817</w:t>
            </w:r>
          </w:p>
        </w:tc>
        <w:tc>
          <w:tcPr>
            <w:tcW w:w="3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02"/>
              <w:spacing w:after="0"/>
              <w:rPr>
                <w:sz w:val="20"/>
                <w:szCs w:val="20"/>
                <w:color w:val="auto"/>
              </w:rPr>
            </w:pPr>
            <w:r>
              <w:rPr>
                <w:rFonts w:ascii="Arial" w:cs="Arial" w:eastAsia="Arial" w:hAnsi="Arial"/>
                <w:sz w:val="16"/>
                <w:szCs w:val="16"/>
                <w:color w:val="auto"/>
              </w:rPr>
              <w:t>1,056</w:t>
            </w:r>
          </w:p>
        </w:tc>
        <w:tc>
          <w:tcPr>
            <w:tcW w:w="3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02"/>
              <w:spacing w:after="0"/>
              <w:rPr>
                <w:sz w:val="20"/>
                <w:szCs w:val="20"/>
                <w:color w:val="auto"/>
              </w:rPr>
            </w:pPr>
            <w:r>
              <w:rPr>
                <w:rFonts w:ascii="Arial" w:cs="Arial" w:eastAsia="Arial" w:hAnsi="Arial"/>
                <w:sz w:val="16"/>
                <w:szCs w:val="16"/>
                <w:color w:val="auto"/>
              </w:rPr>
              <w:t>3,727</w:t>
            </w:r>
          </w:p>
        </w:tc>
        <w:tc>
          <w:tcPr>
            <w:tcW w:w="4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4,783</w:t>
            </w:r>
          </w:p>
        </w:tc>
        <w:tc>
          <w:tcPr>
            <w:tcW w:w="0" w:type="dxa"/>
            <w:vAlign w:val="bottom"/>
          </w:tcPr>
          <w:p>
            <w:pPr>
              <w:spacing w:after="0"/>
              <w:rPr>
                <w:sz w:val="1"/>
                <w:szCs w:val="1"/>
                <w:color w:val="auto"/>
              </w:rPr>
            </w:pPr>
          </w:p>
        </w:tc>
      </w:tr>
      <w:tr>
        <w:trPr>
          <w:trHeight w:val="205"/>
        </w:trPr>
        <w:tc>
          <w:tcPr>
            <w:tcW w:w="32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Taxable investment securities</w:t>
            </w:r>
          </w:p>
        </w:tc>
        <w:tc>
          <w:tcPr>
            <w:tcW w:w="9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137</w:t>
            </w:r>
          </w:p>
        </w:tc>
        <w:tc>
          <w:tcPr>
            <w:tcW w:w="5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1,585</w:t>
            </w:r>
          </w:p>
        </w:tc>
        <w:tc>
          <w:tcPr>
            <w:tcW w:w="54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1,722</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425</w:t>
            </w: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2,954</w:t>
            </w:r>
          </w:p>
        </w:tc>
        <w:tc>
          <w:tcPr>
            <w:tcW w:w="4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3,379</w:t>
            </w:r>
          </w:p>
        </w:tc>
        <w:tc>
          <w:tcPr>
            <w:tcW w:w="0" w:type="dxa"/>
            <w:vAlign w:val="bottom"/>
          </w:tcPr>
          <w:p>
            <w:pPr>
              <w:spacing w:after="0"/>
              <w:rPr>
                <w:sz w:val="1"/>
                <w:szCs w:val="1"/>
                <w:color w:val="auto"/>
              </w:rPr>
            </w:pPr>
          </w:p>
        </w:tc>
      </w:tr>
      <w:tr>
        <w:trPr>
          <w:trHeight w:val="203"/>
        </w:trPr>
        <w:tc>
          <w:tcPr>
            <w:tcW w:w="3200" w:type="dxa"/>
            <w:vAlign w:val="bottom"/>
          </w:tcPr>
          <w:p>
            <w:pPr>
              <w:ind w:left="100"/>
              <w:spacing w:after="0"/>
              <w:rPr>
                <w:sz w:val="20"/>
                <w:szCs w:val="20"/>
                <w:color w:val="auto"/>
              </w:rPr>
            </w:pPr>
            <w:r>
              <w:rPr>
                <w:rFonts w:ascii="Arial" w:cs="Arial" w:eastAsia="Arial" w:hAnsi="Arial"/>
                <w:sz w:val="16"/>
                <w:szCs w:val="16"/>
                <w:color w:val="auto"/>
              </w:rPr>
              <w:t>Tax-exempt investment securities</w:t>
            </w:r>
          </w:p>
        </w:tc>
        <w:tc>
          <w:tcPr>
            <w:tcW w:w="9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(213 )</w:t>
            </w:r>
          </w:p>
        </w:tc>
        <w:tc>
          <w:tcPr>
            <w:tcW w:w="540" w:type="dxa"/>
            <w:vAlign w:val="bottom"/>
          </w:tcPr>
          <w:p>
            <w:pPr>
              <w:spacing w:after="0"/>
              <w:rPr>
                <w:sz w:val="17"/>
                <w:szCs w:val="17"/>
                <w:color w:val="auto"/>
              </w:rPr>
            </w:pPr>
          </w:p>
        </w:tc>
        <w:tc>
          <w:tcPr>
            <w:tcW w:w="640" w:type="dxa"/>
            <w:vAlign w:val="bottom"/>
          </w:tcPr>
          <w:p>
            <w:pPr>
              <w:jc w:val="right"/>
              <w:ind w:right="102"/>
              <w:spacing w:after="0"/>
              <w:rPr>
                <w:sz w:val="20"/>
                <w:szCs w:val="20"/>
                <w:color w:val="auto"/>
              </w:rPr>
            </w:pPr>
            <w:r>
              <w:rPr>
                <w:rFonts w:ascii="Arial" w:cs="Arial" w:eastAsia="Arial" w:hAnsi="Arial"/>
                <w:sz w:val="16"/>
                <w:szCs w:val="16"/>
                <w:color w:val="auto"/>
              </w:rPr>
              <w:t>549</w:t>
            </w:r>
          </w:p>
        </w:tc>
        <w:tc>
          <w:tcPr>
            <w:tcW w:w="540" w:type="dxa"/>
            <w:vAlign w:val="bottom"/>
          </w:tcPr>
          <w:p>
            <w:pPr>
              <w:spacing w:after="0"/>
              <w:rPr>
                <w:sz w:val="17"/>
                <w:szCs w:val="17"/>
                <w:color w:val="auto"/>
              </w:rPr>
            </w:pPr>
          </w:p>
        </w:tc>
        <w:tc>
          <w:tcPr>
            <w:tcW w:w="620" w:type="dxa"/>
            <w:vAlign w:val="bottom"/>
          </w:tcPr>
          <w:p>
            <w:pPr>
              <w:jc w:val="right"/>
              <w:ind w:right="102"/>
              <w:spacing w:after="0"/>
              <w:rPr>
                <w:sz w:val="20"/>
                <w:szCs w:val="20"/>
                <w:color w:val="auto"/>
              </w:rPr>
            </w:pPr>
            <w:r>
              <w:rPr>
                <w:rFonts w:ascii="Arial" w:cs="Arial" w:eastAsia="Arial" w:hAnsi="Arial"/>
                <w:sz w:val="16"/>
                <w:szCs w:val="16"/>
                <w:color w:val="auto"/>
              </w:rPr>
              <w:t>336</w:t>
            </w:r>
          </w:p>
        </w:tc>
        <w:tc>
          <w:tcPr>
            <w:tcW w:w="34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(49 )</w:t>
            </w:r>
          </w:p>
        </w:tc>
        <w:tc>
          <w:tcPr>
            <w:tcW w:w="320" w:type="dxa"/>
            <w:vAlign w:val="bottom"/>
          </w:tcPr>
          <w:p>
            <w:pPr>
              <w:spacing w:after="0"/>
              <w:rPr>
                <w:sz w:val="17"/>
                <w:szCs w:val="17"/>
                <w:color w:val="auto"/>
              </w:rPr>
            </w:pPr>
          </w:p>
        </w:tc>
        <w:tc>
          <w:tcPr>
            <w:tcW w:w="720" w:type="dxa"/>
            <w:vAlign w:val="bottom"/>
          </w:tcPr>
          <w:p>
            <w:pPr>
              <w:jc w:val="right"/>
              <w:ind w:right="122"/>
              <w:spacing w:after="0"/>
              <w:rPr>
                <w:sz w:val="20"/>
                <w:szCs w:val="20"/>
                <w:color w:val="auto"/>
              </w:rPr>
            </w:pPr>
            <w:r>
              <w:rPr>
                <w:rFonts w:ascii="Arial" w:cs="Arial" w:eastAsia="Arial" w:hAnsi="Arial"/>
                <w:sz w:val="16"/>
                <w:szCs w:val="16"/>
                <w:color w:val="auto"/>
              </w:rPr>
              <w:t>722</w:t>
            </w:r>
          </w:p>
        </w:tc>
        <w:tc>
          <w:tcPr>
            <w:tcW w:w="420" w:type="dxa"/>
            <w:vAlign w:val="bottom"/>
          </w:tcPr>
          <w:p>
            <w:pPr>
              <w:spacing w:after="0"/>
              <w:rPr>
                <w:sz w:val="17"/>
                <w:szCs w:val="17"/>
                <w:color w:val="auto"/>
              </w:rPr>
            </w:pP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05"/>
        </w:trPr>
        <w:tc>
          <w:tcPr>
            <w:tcW w:w="32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Interest-earning deposits</w:t>
            </w:r>
          </w:p>
        </w:tc>
        <w:tc>
          <w:tcPr>
            <w:tcW w:w="9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(48 )</w:t>
            </w:r>
          </w:p>
        </w:tc>
        <w:tc>
          <w:tcPr>
            <w:tcW w:w="5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88</w:t>
            </w:r>
          </w:p>
        </w:tc>
        <w:tc>
          <w:tcPr>
            <w:tcW w:w="54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40</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(34 )</w:t>
            </w: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175</w:t>
            </w:r>
          </w:p>
        </w:tc>
        <w:tc>
          <w:tcPr>
            <w:tcW w:w="4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3"/>
        </w:trPr>
        <w:tc>
          <w:tcPr>
            <w:tcW w:w="3200" w:type="dxa"/>
            <w:vAlign w:val="bottom"/>
          </w:tcPr>
          <w:p>
            <w:pPr>
              <w:ind w:left="180"/>
              <w:spacing w:after="0"/>
              <w:rPr>
                <w:sz w:val="20"/>
                <w:szCs w:val="20"/>
                <w:color w:val="auto"/>
              </w:rPr>
            </w:pPr>
            <w:r>
              <w:rPr>
                <w:rFonts w:ascii="Arial" w:cs="Arial" w:eastAsia="Arial" w:hAnsi="Arial"/>
                <w:sz w:val="16"/>
                <w:szCs w:val="16"/>
                <w:color w:val="auto"/>
              </w:rPr>
              <w:t>Total interest income</w:t>
            </w:r>
          </w:p>
        </w:tc>
        <w:tc>
          <w:tcPr>
            <w:tcW w:w="98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355</w:t>
            </w:r>
          </w:p>
        </w:tc>
        <w:tc>
          <w:tcPr>
            <w:tcW w:w="540" w:type="dxa"/>
            <w:vAlign w:val="bottom"/>
          </w:tcPr>
          <w:p>
            <w:pPr>
              <w:spacing w:after="0"/>
              <w:rPr>
                <w:sz w:val="17"/>
                <w:szCs w:val="17"/>
                <w:color w:val="auto"/>
              </w:rPr>
            </w:pP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4,560</w:t>
            </w:r>
          </w:p>
        </w:tc>
        <w:tc>
          <w:tcPr>
            <w:tcW w:w="540" w:type="dxa"/>
            <w:vAlign w:val="bottom"/>
          </w:tcPr>
          <w:p>
            <w:pPr>
              <w:spacing w:after="0"/>
              <w:rPr>
                <w:sz w:val="17"/>
                <w:szCs w:val="17"/>
                <w:color w:val="auto"/>
              </w:rPr>
            </w:pPr>
          </w:p>
        </w:tc>
        <w:tc>
          <w:tcPr>
            <w:tcW w:w="620" w:type="dxa"/>
            <w:vAlign w:val="bottom"/>
          </w:tcPr>
          <w:p>
            <w:pPr>
              <w:jc w:val="right"/>
              <w:ind w:right="102"/>
              <w:spacing w:after="0"/>
              <w:rPr>
                <w:sz w:val="20"/>
                <w:szCs w:val="20"/>
                <w:color w:val="auto"/>
              </w:rPr>
            </w:pPr>
            <w:r>
              <w:rPr>
                <w:rFonts w:ascii="Arial" w:cs="Arial" w:eastAsia="Arial" w:hAnsi="Arial"/>
                <w:sz w:val="16"/>
                <w:szCs w:val="16"/>
                <w:color w:val="auto"/>
              </w:rPr>
              <w:t>4,915</w:t>
            </w:r>
          </w:p>
        </w:tc>
        <w:tc>
          <w:tcPr>
            <w:tcW w:w="340" w:type="dxa"/>
            <w:vAlign w:val="bottom"/>
          </w:tcPr>
          <w:p>
            <w:pPr>
              <w:spacing w:after="0"/>
              <w:rPr>
                <w:sz w:val="17"/>
                <w:szCs w:val="17"/>
                <w:color w:val="auto"/>
              </w:rPr>
            </w:pPr>
          </w:p>
        </w:tc>
        <w:tc>
          <w:tcPr>
            <w:tcW w:w="880" w:type="dxa"/>
            <w:vAlign w:val="bottom"/>
          </w:tcPr>
          <w:p>
            <w:pPr>
              <w:jc w:val="right"/>
              <w:ind w:right="102"/>
              <w:spacing w:after="0"/>
              <w:rPr>
                <w:sz w:val="20"/>
                <w:szCs w:val="20"/>
                <w:color w:val="auto"/>
              </w:rPr>
            </w:pPr>
            <w:r>
              <w:rPr>
                <w:rFonts w:ascii="Arial" w:cs="Arial" w:eastAsia="Arial" w:hAnsi="Arial"/>
                <w:sz w:val="16"/>
                <w:szCs w:val="16"/>
                <w:color w:val="auto"/>
              </w:rPr>
              <w:t>1,398</w:t>
            </w:r>
          </w:p>
        </w:tc>
        <w:tc>
          <w:tcPr>
            <w:tcW w:w="320" w:type="dxa"/>
            <w:vAlign w:val="bottom"/>
          </w:tcPr>
          <w:p>
            <w:pPr>
              <w:spacing w:after="0"/>
              <w:rPr>
                <w:sz w:val="17"/>
                <w:szCs w:val="17"/>
                <w:color w:val="auto"/>
              </w:rPr>
            </w:pPr>
          </w:p>
        </w:tc>
        <w:tc>
          <w:tcPr>
            <w:tcW w:w="720" w:type="dxa"/>
            <w:vAlign w:val="bottom"/>
          </w:tcPr>
          <w:p>
            <w:pPr>
              <w:jc w:val="right"/>
              <w:ind w:right="102"/>
              <w:spacing w:after="0"/>
              <w:rPr>
                <w:sz w:val="20"/>
                <w:szCs w:val="20"/>
                <w:color w:val="auto"/>
              </w:rPr>
            </w:pPr>
            <w:r>
              <w:rPr>
                <w:rFonts w:ascii="Arial" w:cs="Arial" w:eastAsia="Arial" w:hAnsi="Arial"/>
                <w:sz w:val="16"/>
                <w:szCs w:val="16"/>
                <w:color w:val="auto"/>
              </w:rPr>
              <w:t>7,578</w:t>
            </w:r>
          </w:p>
        </w:tc>
        <w:tc>
          <w:tcPr>
            <w:tcW w:w="420" w:type="dxa"/>
            <w:vAlign w:val="bottom"/>
          </w:tcPr>
          <w:p>
            <w:pPr>
              <w:spacing w:after="0"/>
              <w:rPr>
                <w:sz w:val="17"/>
                <w:szCs w:val="17"/>
                <w:color w:val="auto"/>
              </w:rPr>
            </w:pP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8,976</w:t>
            </w:r>
          </w:p>
        </w:tc>
        <w:tc>
          <w:tcPr>
            <w:tcW w:w="0" w:type="dxa"/>
            <w:vAlign w:val="bottom"/>
          </w:tcPr>
          <w:p>
            <w:pPr>
              <w:spacing w:after="0"/>
              <w:rPr>
                <w:sz w:val="1"/>
                <w:szCs w:val="1"/>
                <w:color w:val="auto"/>
              </w:rPr>
            </w:pPr>
          </w:p>
        </w:tc>
      </w:tr>
      <w:tr>
        <w:trPr>
          <w:trHeight w:val="205"/>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Interest Expense:</w:t>
            </w:r>
          </w:p>
        </w:tc>
        <w:tc>
          <w:tcPr>
            <w:tcW w:w="9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100"/>
              <w:spacing w:after="0"/>
              <w:rPr>
                <w:sz w:val="20"/>
                <w:szCs w:val="20"/>
                <w:color w:val="auto"/>
              </w:rPr>
            </w:pPr>
            <w:r>
              <w:rPr>
                <w:rFonts w:ascii="Arial" w:cs="Arial" w:eastAsia="Arial" w:hAnsi="Arial"/>
                <w:sz w:val="16"/>
                <w:szCs w:val="16"/>
                <w:color w:val="auto"/>
              </w:rPr>
              <w:t>NOW accounts</w:t>
            </w:r>
          </w:p>
        </w:tc>
        <w:tc>
          <w:tcPr>
            <w:tcW w:w="9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(52 )</w:t>
            </w:r>
          </w:p>
        </w:tc>
        <w:tc>
          <w:tcPr>
            <w:tcW w:w="540" w:type="dxa"/>
            <w:vAlign w:val="bottom"/>
          </w:tcPr>
          <w:p>
            <w:pPr>
              <w:spacing w:after="0"/>
              <w:rPr>
                <w:sz w:val="17"/>
                <w:szCs w:val="17"/>
                <w:color w:val="auto"/>
              </w:rPr>
            </w:pP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74</w:t>
            </w:r>
          </w:p>
        </w:tc>
        <w:tc>
          <w:tcPr>
            <w:tcW w:w="540" w:type="dxa"/>
            <w:vAlign w:val="bottom"/>
          </w:tcPr>
          <w:p>
            <w:pPr>
              <w:spacing w:after="0"/>
              <w:rPr>
                <w:sz w:val="17"/>
                <w:szCs w:val="17"/>
                <w:color w:val="auto"/>
              </w:rPr>
            </w:pPr>
          </w:p>
        </w:tc>
        <w:tc>
          <w:tcPr>
            <w:tcW w:w="620" w:type="dxa"/>
            <w:vAlign w:val="bottom"/>
          </w:tcPr>
          <w:p>
            <w:pPr>
              <w:jc w:val="right"/>
              <w:ind w:right="102"/>
              <w:spacing w:after="0"/>
              <w:rPr>
                <w:sz w:val="20"/>
                <w:szCs w:val="20"/>
                <w:color w:val="auto"/>
              </w:rPr>
            </w:pPr>
            <w:r>
              <w:rPr>
                <w:rFonts w:ascii="Arial" w:cs="Arial" w:eastAsia="Arial" w:hAnsi="Arial"/>
                <w:sz w:val="16"/>
                <w:szCs w:val="16"/>
                <w:color w:val="auto"/>
              </w:rPr>
              <w:t>22</w:t>
            </w:r>
          </w:p>
        </w:tc>
        <w:tc>
          <w:tcPr>
            <w:tcW w:w="34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(40 )</w:t>
            </w:r>
          </w:p>
        </w:tc>
        <w:tc>
          <w:tcPr>
            <w:tcW w:w="320" w:type="dxa"/>
            <w:vAlign w:val="bottom"/>
          </w:tcPr>
          <w:p>
            <w:pPr>
              <w:spacing w:after="0"/>
              <w:rPr>
                <w:sz w:val="17"/>
                <w:szCs w:val="17"/>
                <w:color w:val="auto"/>
              </w:rPr>
            </w:pPr>
          </w:p>
        </w:tc>
        <w:tc>
          <w:tcPr>
            <w:tcW w:w="720" w:type="dxa"/>
            <w:vAlign w:val="bottom"/>
          </w:tcPr>
          <w:p>
            <w:pPr>
              <w:jc w:val="right"/>
              <w:ind w:right="122"/>
              <w:spacing w:after="0"/>
              <w:rPr>
                <w:sz w:val="20"/>
                <w:szCs w:val="20"/>
                <w:color w:val="auto"/>
              </w:rPr>
            </w:pPr>
            <w:r>
              <w:rPr>
                <w:rFonts w:ascii="Arial" w:cs="Arial" w:eastAsia="Arial" w:hAnsi="Arial"/>
                <w:sz w:val="16"/>
                <w:szCs w:val="16"/>
                <w:color w:val="auto"/>
              </w:rPr>
              <w:t>82</w:t>
            </w:r>
          </w:p>
        </w:tc>
        <w:tc>
          <w:tcPr>
            <w:tcW w:w="420" w:type="dxa"/>
            <w:vAlign w:val="bottom"/>
          </w:tcPr>
          <w:p>
            <w:pPr>
              <w:spacing w:after="0"/>
              <w:rPr>
                <w:sz w:val="17"/>
                <w:szCs w:val="17"/>
                <w:color w:val="auto"/>
              </w:rPr>
            </w:pP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5"/>
        </w:trPr>
        <w:tc>
          <w:tcPr>
            <w:tcW w:w="32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Money management accounts</w:t>
            </w:r>
          </w:p>
        </w:tc>
        <w:tc>
          <w:tcPr>
            <w:tcW w:w="9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(2 )</w:t>
            </w:r>
          </w:p>
        </w:tc>
        <w:tc>
          <w:tcPr>
            <w:tcW w:w="5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2</w:t>
            </w:r>
          </w:p>
        </w:tc>
        <w:tc>
          <w:tcPr>
            <w:tcW w:w="54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(2 )</w:t>
            </w: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2</w:t>
            </w:r>
          </w:p>
        </w:tc>
        <w:tc>
          <w:tcPr>
            <w:tcW w:w="4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200" w:type="dxa"/>
            <w:vAlign w:val="bottom"/>
          </w:tcPr>
          <w:p>
            <w:pPr>
              <w:ind w:left="100"/>
              <w:spacing w:after="0"/>
              <w:rPr>
                <w:sz w:val="20"/>
                <w:szCs w:val="20"/>
                <w:color w:val="auto"/>
              </w:rPr>
            </w:pPr>
            <w:r>
              <w:rPr>
                <w:rFonts w:ascii="Arial" w:cs="Arial" w:eastAsia="Arial" w:hAnsi="Arial"/>
                <w:sz w:val="16"/>
                <w:szCs w:val="16"/>
                <w:color w:val="auto"/>
              </w:rPr>
              <w:t>MMDA accounts</w:t>
            </w:r>
          </w:p>
        </w:tc>
        <w:tc>
          <w:tcPr>
            <w:tcW w:w="9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(136 )</w:t>
            </w:r>
          </w:p>
        </w:tc>
        <w:tc>
          <w:tcPr>
            <w:tcW w:w="540" w:type="dxa"/>
            <w:vAlign w:val="bottom"/>
          </w:tcPr>
          <w:p>
            <w:pPr>
              <w:spacing w:after="0"/>
              <w:rPr>
                <w:sz w:val="17"/>
                <w:szCs w:val="17"/>
                <w:color w:val="auto"/>
              </w:rPr>
            </w:pP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1,446</w:t>
            </w:r>
          </w:p>
        </w:tc>
        <w:tc>
          <w:tcPr>
            <w:tcW w:w="540" w:type="dxa"/>
            <w:vAlign w:val="bottom"/>
          </w:tcPr>
          <w:p>
            <w:pPr>
              <w:spacing w:after="0"/>
              <w:rPr>
                <w:sz w:val="17"/>
                <w:szCs w:val="17"/>
                <w:color w:val="auto"/>
              </w:rPr>
            </w:pPr>
          </w:p>
        </w:tc>
        <w:tc>
          <w:tcPr>
            <w:tcW w:w="620" w:type="dxa"/>
            <w:vAlign w:val="bottom"/>
          </w:tcPr>
          <w:p>
            <w:pPr>
              <w:jc w:val="right"/>
              <w:ind w:right="102"/>
              <w:spacing w:after="0"/>
              <w:rPr>
                <w:sz w:val="20"/>
                <w:szCs w:val="20"/>
                <w:color w:val="auto"/>
              </w:rPr>
            </w:pPr>
            <w:r>
              <w:rPr>
                <w:rFonts w:ascii="Arial" w:cs="Arial" w:eastAsia="Arial" w:hAnsi="Arial"/>
                <w:sz w:val="16"/>
                <w:szCs w:val="16"/>
                <w:color w:val="auto"/>
              </w:rPr>
              <w:t>1,310</w:t>
            </w:r>
          </w:p>
        </w:tc>
        <w:tc>
          <w:tcPr>
            <w:tcW w:w="34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(54 )</w:t>
            </w:r>
          </w:p>
        </w:tc>
        <w:tc>
          <w:tcPr>
            <w:tcW w:w="320" w:type="dxa"/>
            <w:vAlign w:val="bottom"/>
          </w:tcPr>
          <w:p>
            <w:pPr>
              <w:spacing w:after="0"/>
              <w:rPr>
                <w:sz w:val="17"/>
                <w:szCs w:val="17"/>
                <w:color w:val="auto"/>
              </w:rPr>
            </w:pPr>
          </w:p>
        </w:tc>
        <w:tc>
          <w:tcPr>
            <w:tcW w:w="720" w:type="dxa"/>
            <w:vAlign w:val="bottom"/>
          </w:tcPr>
          <w:p>
            <w:pPr>
              <w:jc w:val="right"/>
              <w:ind w:right="102"/>
              <w:spacing w:after="0"/>
              <w:rPr>
                <w:sz w:val="20"/>
                <w:szCs w:val="20"/>
                <w:color w:val="auto"/>
              </w:rPr>
            </w:pPr>
            <w:r>
              <w:rPr>
                <w:rFonts w:ascii="Arial" w:cs="Arial" w:eastAsia="Arial" w:hAnsi="Arial"/>
                <w:sz w:val="16"/>
                <w:szCs w:val="16"/>
                <w:color w:val="auto"/>
              </w:rPr>
              <w:t>2,393</w:t>
            </w:r>
          </w:p>
        </w:tc>
        <w:tc>
          <w:tcPr>
            <w:tcW w:w="420" w:type="dxa"/>
            <w:vAlign w:val="bottom"/>
          </w:tcPr>
          <w:p>
            <w:pPr>
              <w:spacing w:after="0"/>
              <w:rPr>
                <w:sz w:val="17"/>
                <w:szCs w:val="17"/>
                <w:color w:val="auto"/>
              </w:rPr>
            </w:pP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2,339</w:t>
            </w:r>
          </w:p>
        </w:tc>
        <w:tc>
          <w:tcPr>
            <w:tcW w:w="0" w:type="dxa"/>
            <w:vAlign w:val="bottom"/>
          </w:tcPr>
          <w:p>
            <w:pPr>
              <w:spacing w:after="0"/>
              <w:rPr>
                <w:sz w:val="1"/>
                <w:szCs w:val="1"/>
                <w:color w:val="auto"/>
              </w:rPr>
            </w:pPr>
          </w:p>
        </w:tc>
      </w:tr>
      <w:tr>
        <w:trPr>
          <w:trHeight w:val="205"/>
        </w:trPr>
        <w:tc>
          <w:tcPr>
            <w:tcW w:w="32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Savings and club accounts</w:t>
            </w:r>
          </w:p>
        </w:tc>
        <w:tc>
          <w:tcPr>
            <w:tcW w:w="9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(28 )</w:t>
            </w:r>
          </w:p>
        </w:tc>
        <w:tc>
          <w:tcPr>
            <w:tcW w:w="5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45</w:t>
            </w:r>
          </w:p>
        </w:tc>
        <w:tc>
          <w:tcPr>
            <w:tcW w:w="54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17</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(18 )</w:t>
            </w: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51</w:t>
            </w:r>
          </w:p>
        </w:tc>
        <w:tc>
          <w:tcPr>
            <w:tcW w:w="4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3"/>
        </w:trPr>
        <w:tc>
          <w:tcPr>
            <w:tcW w:w="3200" w:type="dxa"/>
            <w:vAlign w:val="bottom"/>
          </w:tcPr>
          <w:p>
            <w:pPr>
              <w:ind w:left="100"/>
              <w:spacing w:after="0"/>
              <w:rPr>
                <w:sz w:val="20"/>
                <w:szCs w:val="20"/>
                <w:color w:val="auto"/>
              </w:rPr>
            </w:pPr>
            <w:r>
              <w:rPr>
                <w:rFonts w:ascii="Arial" w:cs="Arial" w:eastAsia="Arial" w:hAnsi="Arial"/>
                <w:sz w:val="16"/>
                <w:szCs w:val="16"/>
                <w:color w:val="auto"/>
              </w:rPr>
              <w:t>Time deposits</w:t>
            </w:r>
          </w:p>
        </w:tc>
        <w:tc>
          <w:tcPr>
            <w:tcW w:w="98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180</w:t>
            </w:r>
          </w:p>
        </w:tc>
        <w:tc>
          <w:tcPr>
            <w:tcW w:w="540" w:type="dxa"/>
            <w:vAlign w:val="bottom"/>
          </w:tcPr>
          <w:p>
            <w:pPr>
              <w:spacing w:after="0"/>
              <w:rPr>
                <w:sz w:val="17"/>
                <w:szCs w:val="17"/>
                <w:color w:val="auto"/>
              </w:rPr>
            </w:pP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2,962</w:t>
            </w:r>
          </w:p>
        </w:tc>
        <w:tc>
          <w:tcPr>
            <w:tcW w:w="540" w:type="dxa"/>
            <w:vAlign w:val="bottom"/>
          </w:tcPr>
          <w:p>
            <w:pPr>
              <w:spacing w:after="0"/>
              <w:rPr>
                <w:sz w:val="17"/>
                <w:szCs w:val="17"/>
                <w:color w:val="auto"/>
              </w:rPr>
            </w:pPr>
          </w:p>
        </w:tc>
        <w:tc>
          <w:tcPr>
            <w:tcW w:w="620" w:type="dxa"/>
            <w:vAlign w:val="bottom"/>
          </w:tcPr>
          <w:p>
            <w:pPr>
              <w:jc w:val="right"/>
              <w:ind w:right="102"/>
              <w:spacing w:after="0"/>
              <w:rPr>
                <w:sz w:val="20"/>
                <w:szCs w:val="20"/>
                <w:color w:val="auto"/>
              </w:rPr>
            </w:pPr>
            <w:r>
              <w:rPr>
                <w:rFonts w:ascii="Arial" w:cs="Arial" w:eastAsia="Arial" w:hAnsi="Arial"/>
                <w:sz w:val="16"/>
                <w:szCs w:val="16"/>
                <w:color w:val="auto"/>
              </w:rPr>
              <w:t>3,142</w:t>
            </w:r>
          </w:p>
        </w:tc>
        <w:tc>
          <w:tcPr>
            <w:tcW w:w="340" w:type="dxa"/>
            <w:vAlign w:val="bottom"/>
          </w:tcPr>
          <w:p>
            <w:pPr>
              <w:spacing w:after="0"/>
              <w:rPr>
                <w:sz w:val="17"/>
                <w:szCs w:val="17"/>
                <w:color w:val="auto"/>
              </w:rPr>
            </w:pPr>
          </w:p>
        </w:tc>
        <w:tc>
          <w:tcPr>
            <w:tcW w:w="880" w:type="dxa"/>
            <w:vAlign w:val="bottom"/>
          </w:tcPr>
          <w:p>
            <w:pPr>
              <w:jc w:val="right"/>
              <w:ind w:right="102"/>
              <w:spacing w:after="0"/>
              <w:rPr>
                <w:sz w:val="20"/>
                <w:szCs w:val="20"/>
                <w:color w:val="auto"/>
              </w:rPr>
            </w:pPr>
            <w:r>
              <w:rPr>
                <w:rFonts w:ascii="Arial" w:cs="Arial" w:eastAsia="Arial" w:hAnsi="Arial"/>
                <w:sz w:val="16"/>
                <w:szCs w:val="16"/>
                <w:color w:val="auto"/>
              </w:rPr>
              <w:t>324</w:t>
            </w:r>
          </w:p>
        </w:tc>
        <w:tc>
          <w:tcPr>
            <w:tcW w:w="320" w:type="dxa"/>
            <w:vAlign w:val="bottom"/>
          </w:tcPr>
          <w:p>
            <w:pPr>
              <w:spacing w:after="0"/>
              <w:rPr>
                <w:sz w:val="17"/>
                <w:szCs w:val="17"/>
                <w:color w:val="auto"/>
              </w:rPr>
            </w:pPr>
          </w:p>
        </w:tc>
        <w:tc>
          <w:tcPr>
            <w:tcW w:w="720" w:type="dxa"/>
            <w:vAlign w:val="bottom"/>
          </w:tcPr>
          <w:p>
            <w:pPr>
              <w:jc w:val="right"/>
              <w:ind w:right="102"/>
              <w:spacing w:after="0"/>
              <w:rPr>
                <w:sz w:val="20"/>
                <w:szCs w:val="20"/>
                <w:color w:val="auto"/>
              </w:rPr>
            </w:pPr>
            <w:r>
              <w:rPr>
                <w:rFonts w:ascii="Arial" w:cs="Arial" w:eastAsia="Arial" w:hAnsi="Arial"/>
                <w:sz w:val="16"/>
                <w:szCs w:val="16"/>
                <w:color w:val="auto"/>
              </w:rPr>
              <w:t>4,825</w:t>
            </w:r>
          </w:p>
        </w:tc>
        <w:tc>
          <w:tcPr>
            <w:tcW w:w="420" w:type="dxa"/>
            <w:vAlign w:val="bottom"/>
          </w:tcPr>
          <w:p>
            <w:pPr>
              <w:spacing w:after="0"/>
              <w:rPr>
                <w:sz w:val="17"/>
                <w:szCs w:val="17"/>
                <w:color w:val="auto"/>
              </w:rPr>
            </w:pP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5,149</w:t>
            </w:r>
          </w:p>
        </w:tc>
        <w:tc>
          <w:tcPr>
            <w:tcW w:w="0" w:type="dxa"/>
            <w:vAlign w:val="bottom"/>
          </w:tcPr>
          <w:p>
            <w:pPr>
              <w:spacing w:after="0"/>
              <w:rPr>
                <w:sz w:val="1"/>
                <w:szCs w:val="1"/>
                <w:color w:val="auto"/>
              </w:rPr>
            </w:pPr>
          </w:p>
        </w:tc>
      </w:tr>
      <w:tr>
        <w:trPr>
          <w:trHeight w:val="205"/>
        </w:trPr>
        <w:tc>
          <w:tcPr>
            <w:tcW w:w="32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Subordinated debt</w:t>
            </w:r>
          </w:p>
        </w:tc>
        <w:tc>
          <w:tcPr>
            <w:tcW w:w="9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w:t>
            </w:r>
          </w:p>
        </w:tc>
        <w:tc>
          <w:tcPr>
            <w:tcW w:w="5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50</w:t>
            </w:r>
          </w:p>
        </w:tc>
        <w:tc>
          <w:tcPr>
            <w:tcW w:w="54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53</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w:t>
            </w: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108</w:t>
            </w:r>
          </w:p>
        </w:tc>
        <w:tc>
          <w:tcPr>
            <w:tcW w:w="4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3"/>
        </w:trPr>
        <w:tc>
          <w:tcPr>
            <w:tcW w:w="3200" w:type="dxa"/>
            <w:vAlign w:val="bottom"/>
          </w:tcPr>
          <w:p>
            <w:pPr>
              <w:ind w:left="100"/>
              <w:spacing w:after="0"/>
              <w:rPr>
                <w:sz w:val="20"/>
                <w:szCs w:val="20"/>
                <w:color w:val="auto"/>
              </w:rPr>
            </w:pPr>
            <w:r>
              <w:rPr>
                <w:rFonts w:ascii="Arial" w:cs="Arial" w:eastAsia="Arial" w:hAnsi="Arial"/>
                <w:sz w:val="16"/>
                <w:szCs w:val="16"/>
                <w:color w:val="auto"/>
              </w:rPr>
              <w:t>Borrowings</w:t>
            </w:r>
          </w:p>
        </w:tc>
        <w:tc>
          <w:tcPr>
            <w:tcW w:w="980" w:type="dxa"/>
            <w:vAlign w:val="bottom"/>
          </w:tcPr>
          <w:p>
            <w:pPr>
              <w:spacing w:after="0"/>
              <w:rPr>
                <w:sz w:val="17"/>
                <w:szCs w:val="17"/>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90</w:t>
            </w:r>
          </w:p>
        </w:tc>
        <w:tc>
          <w:tcPr>
            <w:tcW w:w="540" w:type="dxa"/>
            <w:vAlign w:val="bottom"/>
          </w:tcPr>
          <w:p>
            <w:pPr>
              <w:spacing w:after="0"/>
              <w:rPr>
                <w:sz w:val="17"/>
                <w:szCs w:val="17"/>
                <w:color w:val="auto"/>
              </w:rPr>
            </w:pPr>
          </w:p>
        </w:tc>
        <w:tc>
          <w:tcPr>
            <w:tcW w:w="640" w:type="dxa"/>
            <w:vAlign w:val="bottom"/>
          </w:tcPr>
          <w:p>
            <w:pPr>
              <w:jc w:val="right"/>
              <w:ind w:right="102"/>
              <w:spacing w:after="0"/>
              <w:rPr>
                <w:sz w:val="20"/>
                <w:szCs w:val="20"/>
                <w:color w:val="auto"/>
              </w:rPr>
            </w:pPr>
            <w:r>
              <w:rPr>
                <w:rFonts w:ascii="Arial" w:cs="Arial" w:eastAsia="Arial" w:hAnsi="Arial"/>
                <w:sz w:val="16"/>
                <w:szCs w:val="16"/>
                <w:color w:val="auto"/>
              </w:rPr>
              <w:t>526</w:t>
            </w:r>
          </w:p>
        </w:tc>
        <w:tc>
          <w:tcPr>
            <w:tcW w:w="540" w:type="dxa"/>
            <w:vAlign w:val="bottom"/>
          </w:tcPr>
          <w:p>
            <w:pPr>
              <w:spacing w:after="0"/>
              <w:rPr>
                <w:sz w:val="17"/>
                <w:szCs w:val="17"/>
                <w:color w:val="auto"/>
              </w:rPr>
            </w:pPr>
          </w:p>
        </w:tc>
        <w:tc>
          <w:tcPr>
            <w:tcW w:w="620" w:type="dxa"/>
            <w:vAlign w:val="bottom"/>
          </w:tcPr>
          <w:p>
            <w:pPr>
              <w:jc w:val="right"/>
              <w:ind w:right="102"/>
              <w:spacing w:after="0"/>
              <w:rPr>
                <w:sz w:val="20"/>
                <w:szCs w:val="20"/>
                <w:color w:val="auto"/>
              </w:rPr>
            </w:pPr>
            <w:r>
              <w:rPr>
                <w:rFonts w:ascii="Arial" w:cs="Arial" w:eastAsia="Arial" w:hAnsi="Arial"/>
                <w:sz w:val="16"/>
                <w:szCs w:val="16"/>
                <w:color w:val="auto"/>
              </w:rPr>
              <w:t>616</w:t>
            </w:r>
          </w:p>
        </w:tc>
        <w:tc>
          <w:tcPr>
            <w:tcW w:w="340" w:type="dxa"/>
            <w:vAlign w:val="bottom"/>
          </w:tcPr>
          <w:p>
            <w:pPr>
              <w:spacing w:after="0"/>
              <w:rPr>
                <w:sz w:val="17"/>
                <w:szCs w:val="17"/>
                <w:color w:val="auto"/>
              </w:rPr>
            </w:pPr>
          </w:p>
        </w:tc>
        <w:tc>
          <w:tcPr>
            <w:tcW w:w="880" w:type="dxa"/>
            <w:vAlign w:val="bottom"/>
          </w:tcPr>
          <w:p>
            <w:pPr>
              <w:jc w:val="right"/>
              <w:ind w:right="102"/>
              <w:spacing w:after="0"/>
              <w:rPr>
                <w:sz w:val="20"/>
                <w:szCs w:val="20"/>
                <w:color w:val="auto"/>
              </w:rPr>
            </w:pPr>
            <w:r>
              <w:rPr>
                <w:rFonts w:ascii="Arial" w:cs="Arial" w:eastAsia="Arial" w:hAnsi="Arial"/>
                <w:sz w:val="16"/>
                <w:szCs w:val="16"/>
                <w:color w:val="auto"/>
              </w:rPr>
              <w:t>156</w:t>
            </w:r>
          </w:p>
        </w:tc>
        <w:tc>
          <w:tcPr>
            <w:tcW w:w="320" w:type="dxa"/>
            <w:vAlign w:val="bottom"/>
          </w:tcPr>
          <w:p>
            <w:pPr>
              <w:spacing w:after="0"/>
              <w:rPr>
                <w:sz w:val="17"/>
                <w:szCs w:val="17"/>
                <w:color w:val="auto"/>
              </w:rPr>
            </w:pPr>
          </w:p>
        </w:tc>
        <w:tc>
          <w:tcPr>
            <w:tcW w:w="720" w:type="dxa"/>
            <w:vAlign w:val="bottom"/>
          </w:tcPr>
          <w:p>
            <w:pPr>
              <w:jc w:val="right"/>
              <w:ind w:right="122"/>
              <w:spacing w:after="0"/>
              <w:rPr>
                <w:sz w:val="20"/>
                <w:szCs w:val="20"/>
                <w:color w:val="auto"/>
              </w:rPr>
            </w:pPr>
            <w:r>
              <w:rPr>
                <w:rFonts w:ascii="Arial" w:cs="Arial" w:eastAsia="Arial" w:hAnsi="Arial"/>
                <w:sz w:val="16"/>
                <w:szCs w:val="16"/>
                <w:color w:val="auto"/>
              </w:rPr>
              <w:t>888</w:t>
            </w:r>
          </w:p>
        </w:tc>
        <w:tc>
          <w:tcPr>
            <w:tcW w:w="420" w:type="dxa"/>
            <w:vAlign w:val="bottom"/>
          </w:tcPr>
          <w:p>
            <w:pPr>
              <w:spacing w:after="0"/>
              <w:rPr>
                <w:sz w:val="17"/>
                <w:szCs w:val="17"/>
                <w:color w:val="auto"/>
              </w:rPr>
            </w:pP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205"/>
        </w:trPr>
        <w:tc>
          <w:tcPr>
            <w:tcW w:w="32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Total interest expense</w:t>
            </w:r>
          </w:p>
        </w:tc>
        <w:tc>
          <w:tcPr>
            <w:tcW w:w="9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55</w:t>
            </w:r>
          </w:p>
        </w:tc>
        <w:tc>
          <w:tcPr>
            <w:tcW w:w="5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5,105</w:t>
            </w:r>
          </w:p>
        </w:tc>
        <w:tc>
          <w:tcPr>
            <w:tcW w:w="54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5,160</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371</w:t>
            </w: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8,349</w:t>
            </w:r>
          </w:p>
        </w:tc>
        <w:tc>
          <w:tcPr>
            <w:tcW w:w="4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8,720</w:t>
            </w: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change in net interest income</w:t>
            </w: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300</w:t>
            </w:r>
          </w:p>
        </w:tc>
        <w:tc>
          <w:tcPr>
            <w:tcW w:w="54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(545 )</w:t>
            </w:r>
          </w:p>
        </w:tc>
        <w:tc>
          <w:tcPr>
            <w:tcW w:w="5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(245 )</w:t>
            </w:r>
          </w:p>
        </w:tc>
        <w:tc>
          <w:tcPr>
            <w:tcW w:w="3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1,027</w:t>
            </w:r>
          </w:p>
        </w:tc>
        <w:tc>
          <w:tcPr>
            <w:tcW w:w="3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(771 )</w:t>
            </w:r>
          </w:p>
        </w:tc>
        <w:tc>
          <w:tcPr>
            <w:tcW w:w="4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58</w:t>
            </w:r>
            <w:r>
              <w:rPr>
                <w:rFonts w:ascii="Arial" w:cs="Arial" w:eastAsia="Arial" w:hAnsi="Arial"/>
                <w:sz w:val="16"/>
                <w:szCs w:val="16"/>
                <w:color w:val="auto"/>
              </w:rPr>
              <w:t xml:space="preserve"> -</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200" w:type="dxa"/>
            <w:vAlign w:val="bottom"/>
            <w:tcBorders>
              <w:bottom w:val="single" w:sz="8" w:color="EEEEEE"/>
            </w:tcBorders>
          </w:tcPr>
          <w:p>
            <w:pPr>
              <w:spacing w:after="0"/>
              <w:rPr>
                <w:sz w:val="7"/>
                <w:szCs w:val="7"/>
                <w:color w:val="auto"/>
              </w:rPr>
            </w:pPr>
          </w:p>
        </w:tc>
        <w:tc>
          <w:tcPr>
            <w:tcW w:w="980" w:type="dxa"/>
            <w:vAlign w:val="bottom"/>
            <w:tcBorders>
              <w:bottom w:val="single" w:sz="8" w:color="EEEEEE"/>
            </w:tcBorders>
          </w:tcPr>
          <w:p>
            <w:pPr>
              <w:spacing w:after="0"/>
              <w:rPr>
                <w:sz w:val="7"/>
                <w:szCs w:val="7"/>
                <w:color w:val="auto"/>
              </w:rPr>
            </w:pPr>
          </w:p>
        </w:tc>
        <w:tc>
          <w:tcPr>
            <w:tcW w:w="820" w:type="dxa"/>
            <w:vAlign w:val="bottom"/>
            <w:tcBorders>
              <w:bottom w:val="single" w:sz="8" w:color="EEEEEE"/>
            </w:tcBorders>
          </w:tcPr>
          <w:p>
            <w:pPr>
              <w:spacing w:after="0"/>
              <w:rPr>
                <w:sz w:val="7"/>
                <w:szCs w:val="7"/>
                <w:color w:val="auto"/>
              </w:rPr>
            </w:pPr>
          </w:p>
        </w:tc>
        <w:tc>
          <w:tcPr>
            <w:tcW w:w="540" w:type="dxa"/>
            <w:vAlign w:val="bottom"/>
            <w:tcBorders>
              <w:bottom w:val="single" w:sz="8" w:color="EEEEEE"/>
            </w:tcBorders>
          </w:tcPr>
          <w:p>
            <w:pPr>
              <w:spacing w:after="0"/>
              <w:rPr>
                <w:sz w:val="7"/>
                <w:szCs w:val="7"/>
                <w:color w:val="auto"/>
              </w:rPr>
            </w:pPr>
          </w:p>
        </w:tc>
        <w:tc>
          <w:tcPr>
            <w:tcW w:w="640" w:type="dxa"/>
            <w:vAlign w:val="bottom"/>
            <w:tcBorders>
              <w:bottom w:val="single" w:sz="8" w:color="EEEEEE"/>
            </w:tcBorders>
          </w:tcPr>
          <w:p>
            <w:pPr>
              <w:spacing w:after="0"/>
              <w:rPr>
                <w:sz w:val="7"/>
                <w:szCs w:val="7"/>
                <w:color w:val="auto"/>
              </w:rPr>
            </w:pPr>
          </w:p>
        </w:tc>
        <w:tc>
          <w:tcPr>
            <w:tcW w:w="540" w:type="dxa"/>
            <w:vAlign w:val="bottom"/>
            <w:tcBorders>
              <w:bottom w:val="single" w:sz="8" w:color="EEEEEE"/>
            </w:tcBorders>
          </w:tcPr>
          <w:p>
            <w:pPr>
              <w:spacing w:after="0"/>
              <w:rPr>
                <w:sz w:val="7"/>
                <w:szCs w:val="7"/>
                <w:color w:val="auto"/>
              </w:rPr>
            </w:pPr>
          </w:p>
        </w:tc>
        <w:tc>
          <w:tcPr>
            <w:tcW w:w="620" w:type="dxa"/>
            <w:vAlign w:val="bottom"/>
            <w:tcBorders>
              <w:bottom w:val="single" w:sz="8" w:color="EEEEEE"/>
            </w:tcBorders>
          </w:tcPr>
          <w:p>
            <w:pPr>
              <w:spacing w:after="0"/>
              <w:rPr>
                <w:sz w:val="7"/>
                <w:szCs w:val="7"/>
                <w:color w:val="auto"/>
              </w:rPr>
            </w:pPr>
          </w:p>
        </w:tc>
        <w:tc>
          <w:tcPr>
            <w:tcW w:w="340" w:type="dxa"/>
            <w:vAlign w:val="bottom"/>
            <w:tcBorders>
              <w:bottom w:val="single" w:sz="8" w:color="EEEEEE"/>
            </w:tcBorders>
          </w:tcPr>
          <w:p>
            <w:pPr>
              <w:spacing w:after="0"/>
              <w:rPr>
                <w:sz w:val="7"/>
                <w:szCs w:val="7"/>
                <w:color w:val="auto"/>
              </w:rPr>
            </w:pPr>
          </w:p>
        </w:tc>
        <w:tc>
          <w:tcPr>
            <w:tcW w:w="880" w:type="dxa"/>
            <w:vAlign w:val="bottom"/>
            <w:tcBorders>
              <w:bottom w:val="single" w:sz="8" w:color="EEEEEE"/>
            </w:tcBorders>
          </w:tcPr>
          <w:p>
            <w:pPr>
              <w:spacing w:after="0"/>
              <w:rPr>
                <w:sz w:val="7"/>
                <w:szCs w:val="7"/>
                <w:color w:val="auto"/>
              </w:rPr>
            </w:pPr>
          </w:p>
        </w:tc>
        <w:tc>
          <w:tcPr>
            <w:tcW w:w="320" w:type="dxa"/>
            <w:vAlign w:val="bottom"/>
            <w:tcBorders>
              <w:bottom w:val="single" w:sz="8" w:color="EEEEEE"/>
            </w:tcBorders>
          </w:tcPr>
          <w:p>
            <w:pPr>
              <w:spacing w:after="0"/>
              <w:rPr>
                <w:sz w:val="7"/>
                <w:szCs w:val="7"/>
                <w:color w:val="auto"/>
              </w:rPr>
            </w:pPr>
          </w:p>
        </w:tc>
        <w:tc>
          <w:tcPr>
            <w:tcW w:w="720" w:type="dxa"/>
            <w:vAlign w:val="bottom"/>
            <w:tcBorders>
              <w:bottom w:val="single" w:sz="8" w:color="EEEEEE"/>
            </w:tcBorders>
          </w:tcPr>
          <w:p>
            <w:pPr>
              <w:spacing w:after="0"/>
              <w:rPr>
                <w:sz w:val="7"/>
                <w:szCs w:val="7"/>
                <w:color w:val="auto"/>
              </w:rPr>
            </w:pPr>
          </w:p>
        </w:tc>
        <w:tc>
          <w:tcPr>
            <w:tcW w:w="420" w:type="dxa"/>
            <w:vAlign w:val="bottom"/>
            <w:tcBorders>
              <w:bottom w:val="single" w:sz="8" w:color="EEEEEE"/>
            </w:tcBorders>
          </w:tcPr>
          <w:p>
            <w:pPr>
              <w:spacing w:after="0"/>
              <w:rPr>
                <w:sz w:val="7"/>
                <w:szCs w:val="7"/>
                <w:color w:val="auto"/>
              </w:rPr>
            </w:pPr>
          </w:p>
        </w:tc>
        <w:tc>
          <w:tcPr>
            <w:tcW w:w="540" w:type="dxa"/>
            <w:vAlign w:val="bottom"/>
            <w:tcBorders>
              <w:bottom w:val="single" w:sz="8" w:color="EEEEEE"/>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59" w:right="680"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Provision for Credit Losses</w:t>
      </w:r>
    </w:p>
    <w:p>
      <w:pPr>
        <w:spacing w:after="0" w:line="18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establish a provision for credit losses, which is charged to operations, at a level management believes is appropriate to absorb expected credit losses in the loan portfolio. In evaluating the level of the allowance for credit losses, management considers historical loss experience, the types of loans and the amount of loans in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or as future events change. The provision for credit losses represents management’s estimate of the amount necessary to maintain the allowance for credit losses at an adequate level.</w:t>
      </w:r>
    </w:p>
    <w:p>
      <w:pPr>
        <w:spacing w:after="0" w:line="16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2016 -13,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Instruments—Credit Losses (Topic 326): Measurement of Credit Losses on Financial Instruments, </w:t>
      </w:r>
      <w:r>
        <w:rPr>
          <w:rFonts w:ascii="Arial" w:cs="Arial" w:eastAsia="Arial" w:hAnsi="Arial"/>
          <w:sz w:val="18"/>
          <w:szCs w:val="18"/>
          <w:color w:val="auto"/>
        </w:rPr>
        <w:t>requiring financial institutions,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the Bank, to adopt the Current Expected Credit Loss (“CECL”) methodology according to a specified implementation timeline. In order to meet this requirement, the Bank adopted the CECL methodology for calculating its Allowance for Credit Losses (“ACL”) on January 1, 2023. The amended guidance replaces the previously -required Allowance for Loan and Lease Losses (“ALLL”) calculated under what was known as the Incurred Loss Model. The ACL represents a valuation account that is deducted from the amortized cost basis of includable financial assets to present their net carrying value at the amount expected to be collected over the entire life of those assets. The income statement now reflects the measurement of credit losses for newly recognized financial assets as well as expected increases, or decreases, of expected credit losses that have taken place during the reporting period. When determining the ACL, expected credit losses over the expected term of the financial asset will be estimated considering relevant information about past events, current conditions, and reasonable and supportable forecasts that affect the future collectability of the reported amount. In addition, the amended guidance requires credit losses relating to assets such as held-to-maturity debt securities and open contractual funding commitments to be recorded through the ACL. Because the CECL methodology requires that reserves be established within the ACL for a broad range of financial assets, including all loans, through the entirety of their expected lives and also considers new items, such as open funding commitments, the initial ACL upon adoption would, in most cases, be expected to be greater than the ALLL that it replaced.</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recorded $1.1 million in provision for credit losses for the three month period ended June 30, 2023, as compared to $59,000 for the three month period ended June 30, 2022. The provisioning in the second quarter of 2023 and 2022 reflects management’s determination of the appropriate level of additions to reserves, the composition of the loan portfolio, changes in quantifiable econometric data statistically correlated to historical charge-off rates, subjective qualitative assessments of changes in a broad array of factors including changes to underwriting criteria, loan staffing and local market conditions. The $1.1 million increase in provision for credit losses in the second quarter of 2023, as compared to the same period in 2022, primarily reflected management's decision to downgrade certain loans within two specifically-identified commercial real estate and commercial loan credit relationships with an aggregate outstanding balance of $17.1 million. The Bank's credit sensitive portfolios continue to be carefully monitored, and the Bank will consistently apply its loan classification and reserve building methodologies to the analysis of these portfolios. Please refer to the asset quality section below for a further discussion of asset quality as it relates to the allowance for credit losses.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was an increase in the provision for credit losses in the first six months of 2023 to $1.8 million, an increase of $1.7 million from the same six months in 2022, which was $161,000. The Bank has two large credit relationships that are experiencing deterioration and are the primary impact of this provision, mitigating potential risk. The Lending Department, along with highly experienced specialists, are carefully managing these commercial relationships to the best possible outcome. We are currently working with the borrowers associated with these credit relationships on individual loan repayment plans and the liquidation of loan collateral, where appropriate. The company has adequately reserved for these loans at this time and expects to announce some charge-offs related to these relationships in the next quarter as a component of the final resolution of these troubled credits.</w:t>
      </w:r>
    </w:p>
    <w:p>
      <w:pPr>
        <w:spacing w:after="0" w:line="19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transition to CECL also required that new reserves be created in the amounts of $450,000 and $552,000, related to held -to-maturity investments and unfunded commitments, respectively. Including the $1.9 million CECL transition adjustment related to loans, described above, the total CECL transition adjustment was $2.9 million on January 1, 2023, which was charged to retained earnings on that date.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59</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973" w:right="700" w:bottom="1440" w:gutter="0" w:footer="0" w:header="0"/>
        </w:sectPr>
      </w:pPr>
    </w:p>
    <w:bookmarkStart w:id="59" w:name="page60"/>
    <w:bookmarkEnd w:id="59"/>
    <w:p>
      <w:pPr>
        <w:ind w:right="100"/>
        <w:spacing w:after="0" w:line="256" w:lineRule="auto"/>
        <w:rPr>
          <w:sz w:val="20"/>
          <w:szCs w:val="20"/>
          <w:color w:val="auto"/>
        </w:rPr>
      </w:pPr>
      <w:r>
        <w:rPr>
          <w:rFonts w:ascii="Arial" w:cs="Arial" w:eastAsia="Arial" w:hAnsi="Arial"/>
          <w:sz w:val="18"/>
          <w:szCs w:val="18"/>
          <w:color w:val="auto"/>
        </w:rPr>
        <w:t>The total PCL for the three and six months ended June 30, 2023 was $1.1 million and $1.8 million, respectively, of which $1.2 million and $1.9 million related to the Company's loan portfolio for the three and six months ended June 30, 2023, respectively. The ACL related to loans was therefore $18.8 million at June 30, 2023. In addition, during the second quarter of 2023, the Company recorded modestly negative PCL charges of $29,000 and $16,000 for reserves related to held-to-maturity securities and unfunded commitments, respectively.</w:t>
      </w:r>
    </w:p>
    <w:p>
      <w:pPr>
        <w:spacing w:after="0" w:line="14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measures delinquency based on the amount of past due loans as a percentage of total loans. The ratio of delinquent loans to total loans increased to 3.55% at June 30, 2023 as compared to 2.89% at December 31, 2022. Delinquent loans (numerator) increased $5,700 while total loan balances (denominator) decreased $6.4 million at June 30, 2023, as compared to December 31, 2022. The increase in past due loans was driven by a decrease of $5.6 million in loans delinquent 30 -59 days, and a decrease of $262,000 in loans delinquent 60-89 days, offset by a $11.5 million increase in loans delinquent 90 days and over past due at June 30, 2023, as compared to December 31, 2022. The increase of $11.5 million primarily consisted of increases in commercial real estate, commercial lines of credit and commercial loans.</w:t>
      </w:r>
    </w:p>
    <w:p>
      <w:pPr>
        <w:spacing w:after="0" w:line="19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June 30, 2023, there were $31.6 million in loans past due including $7.4 million in loans 30-59 days past due, $4.0 million in loans 60-89 days past due and $20.1 million in loans 90 or more days past due. At December 31, 2022, there were $26.0 million in loans past due including $13.0 million in loans 30-59 days past due, $4.3 million in loans 60-89 days past due and $8.7 million in loans 90 or more days past due.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Income</w:t>
      </w:r>
    </w:p>
    <w:p>
      <w:pPr>
        <w:spacing w:after="0" w:line="187"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color w:val="auto"/>
        </w:rPr>
        <w:t>The Company's noninterest income is primarily comprised of fees on deposit account balances and transactions, loan servicing, commissions, including insurance agency commissions, and net gains on sales of securities, loans, and foreclosed real estate.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on noninterest income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60" w:type="dxa"/>
            <w:vAlign w:val="bottom"/>
            <w:gridSpan w:val="4"/>
          </w:tcPr>
          <w:p>
            <w:pPr>
              <w:ind w:left="80"/>
              <w:spacing w:after="0"/>
              <w:rPr>
                <w:sz w:val="20"/>
                <w:szCs w:val="20"/>
                <w:color w:val="auto"/>
              </w:rPr>
            </w:pPr>
            <w:r>
              <w:rPr>
                <w:rFonts w:ascii="Arial" w:cs="Arial" w:eastAsia="Arial" w:hAnsi="Arial"/>
                <w:sz w:val="14"/>
                <w:szCs w:val="14"/>
                <w:color w:val="auto"/>
              </w:rPr>
              <w:t>For the three months ended</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60" w:type="dxa"/>
            <w:vAlign w:val="bottom"/>
            <w:gridSpan w:val="4"/>
          </w:tcPr>
          <w:p>
            <w:pPr>
              <w:jc w:val="right"/>
              <w:ind w:right="328"/>
              <w:spacing w:after="0"/>
              <w:rPr>
                <w:sz w:val="20"/>
                <w:szCs w:val="20"/>
                <w:color w:val="auto"/>
              </w:rPr>
            </w:pPr>
            <w:r>
              <w:rPr>
                <w:rFonts w:ascii="Arial" w:cs="Arial" w:eastAsia="Arial" w:hAnsi="Arial"/>
                <w:sz w:val="14"/>
                <w:szCs w:val="14"/>
                <w:color w:val="auto"/>
              </w:rPr>
              <w:t>For the six months ended</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2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June 30,</w:t>
            </w:r>
          </w:p>
        </w:tc>
        <w:tc>
          <w:tcPr>
            <w:tcW w:w="180" w:type="dxa"/>
            <w:vAlign w:val="bottom"/>
          </w:tcPr>
          <w:p>
            <w:pPr>
              <w:spacing w:after="0"/>
              <w:rPr>
                <w:sz w:val="14"/>
                <w:szCs w:val="1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June 30,</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June 30,</w:t>
            </w:r>
          </w:p>
        </w:tc>
        <w:tc>
          <w:tcPr>
            <w:tcW w:w="2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June 30,</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2023</w:t>
            </w:r>
          </w:p>
        </w:tc>
        <w:tc>
          <w:tcPr>
            <w:tcW w:w="18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2022</w:t>
            </w:r>
          </w:p>
        </w:tc>
        <w:tc>
          <w:tcPr>
            <w:tcW w:w="28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Change</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2023</w:t>
            </w:r>
          </w:p>
        </w:tc>
        <w:tc>
          <w:tcPr>
            <w:tcW w:w="220" w:type="dxa"/>
            <w:vAlign w:val="bottom"/>
          </w:tcPr>
          <w:p>
            <w:pPr>
              <w:spacing w:after="0"/>
              <w:rPr>
                <w:sz w:val="15"/>
                <w:szCs w:val="15"/>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2022</w:t>
            </w:r>
          </w:p>
        </w:tc>
        <w:tc>
          <w:tcPr>
            <w:tcW w:w="30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Change</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240" w:type="dxa"/>
            <w:vAlign w:val="bottom"/>
          </w:tcPr>
          <w:p>
            <w:pPr>
              <w:ind w:left="20"/>
              <w:spacing w:after="0"/>
              <w:rPr>
                <w:sz w:val="20"/>
                <w:szCs w:val="20"/>
                <w:color w:val="auto"/>
              </w:rPr>
            </w:pPr>
            <w:r>
              <w:rPr>
                <w:rFonts w:ascii="Arial" w:cs="Arial" w:eastAsia="Arial" w:hAnsi="Arial"/>
                <w:sz w:val="14"/>
                <w:szCs w:val="14"/>
                <w:color w:val="auto"/>
              </w:rPr>
              <w:t>Service charges on deposit accounts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303</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283</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68"/>
              <w:spacing w:after="0"/>
              <w:rPr>
                <w:sz w:val="20"/>
                <w:szCs w:val="20"/>
                <w:color w:val="auto"/>
              </w:rPr>
            </w:pPr>
            <w:r>
              <w:rPr>
                <w:rFonts w:ascii="Arial" w:cs="Arial" w:eastAsia="Arial" w:hAnsi="Arial"/>
                <w:sz w:val="14"/>
                <w:szCs w:val="14"/>
                <w:color w:val="auto"/>
              </w:rPr>
              <w:t>20</w:t>
            </w:r>
          </w:p>
        </w:tc>
        <w:tc>
          <w:tcPr>
            <w:tcW w:w="680" w:type="dxa"/>
            <w:vAlign w:val="bottom"/>
          </w:tcPr>
          <w:p>
            <w:pPr>
              <w:jc w:val="right"/>
              <w:spacing w:after="0"/>
              <w:rPr>
                <w:sz w:val="20"/>
                <w:szCs w:val="20"/>
                <w:color w:val="auto"/>
              </w:rPr>
            </w:pPr>
            <w:r>
              <w:rPr>
                <w:rFonts w:ascii="Arial" w:cs="Arial" w:eastAsia="Arial" w:hAnsi="Arial"/>
                <w:sz w:val="14"/>
                <w:szCs w:val="14"/>
                <w:color w:val="auto"/>
              </w:rPr>
              <w:t>7.1 %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570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542</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08"/>
              <w:spacing w:after="0"/>
              <w:rPr>
                <w:sz w:val="20"/>
                <w:szCs w:val="20"/>
                <w:color w:val="auto"/>
              </w:rPr>
            </w:pPr>
            <w:r>
              <w:rPr>
                <w:rFonts w:ascii="Arial" w:cs="Arial" w:eastAsia="Arial" w:hAnsi="Arial"/>
                <w:sz w:val="14"/>
                <w:szCs w:val="14"/>
                <w:color w:val="auto"/>
              </w:rPr>
              <w:t>28</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5.2 %</w:t>
            </w:r>
          </w:p>
        </w:tc>
        <w:tc>
          <w:tcPr>
            <w:tcW w:w="0" w:type="dxa"/>
            <w:vAlign w:val="bottom"/>
          </w:tcPr>
          <w:p>
            <w:pPr>
              <w:spacing w:after="0"/>
              <w:rPr>
                <w:sz w:val="1"/>
                <w:szCs w:val="1"/>
                <w:color w:val="auto"/>
              </w:rPr>
            </w:pPr>
          </w:p>
        </w:tc>
      </w:tr>
      <w:tr>
        <w:trPr>
          <w:trHeight w:val="192"/>
        </w:trPr>
        <w:tc>
          <w:tcPr>
            <w:tcW w:w="3240" w:type="dxa"/>
            <w:vAlign w:val="bottom"/>
          </w:tcPr>
          <w:p>
            <w:pPr>
              <w:ind w:left="20"/>
              <w:spacing w:after="0"/>
              <w:rPr>
                <w:sz w:val="20"/>
                <w:szCs w:val="20"/>
                <w:color w:val="auto"/>
              </w:rPr>
            </w:pPr>
            <w:r>
              <w:rPr>
                <w:rFonts w:ascii="Arial" w:cs="Arial" w:eastAsia="Arial" w:hAnsi="Arial"/>
                <w:sz w:val="14"/>
                <w:szCs w:val="14"/>
                <w:color w:val="auto"/>
              </w:rPr>
              <w:t>Earnings and gain on bank owned life insurance</w:t>
            </w:r>
          </w:p>
        </w:tc>
        <w:tc>
          <w:tcPr>
            <w:tcW w:w="24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143</w:t>
            </w:r>
          </w:p>
        </w:tc>
        <w:tc>
          <w:tcPr>
            <w:tcW w:w="18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123</w:t>
            </w:r>
          </w:p>
        </w:tc>
        <w:tc>
          <w:tcPr>
            <w:tcW w:w="280" w:type="dxa"/>
            <w:vAlign w:val="bottom"/>
          </w:tcPr>
          <w:p>
            <w:pPr>
              <w:spacing w:after="0"/>
              <w:rPr>
                <w:sz w:val="16"/>
                <w:szCs w:val="16"/>
                <w:color w:val="auto"/>
              </w:rPr>
            </w:pPr>
          </w:p>
        </w:tc>
        <w:tc>
          <w:tcPr>
            <w:tcW w:w="1060" w:type="dxa"/>
            <w:vAlign w:val="bottom"/>
          </w:tcPr>
          <w:p>
            <w:pPr>
              <w:jc w:val="right"/>
              <w:ind w:right="568"/>
              <w:spacing w:after="0"/>
              <w:rPr>
                <w:sz w:val="20"/>
                <w:szCs w:val="20"/>
                <w:color w:val="auto"/>
              </w:rPr>
            </w:pPr>
            <w:r>
              <w:rPr>
                <w:rFonts w:ascii="Arial" w:cs="Arial" w:eastAsia="Arial" w:hAnsi="Arial"/>
                <w:sz w:val="14"/>
                <w:szCs w:val="14"/>
                <w:color w:val="auto"/>
              </w:rPr>
              <w:t>20</w:t>
            </w:r>
          </w:p>
        </w:tc>
        <w:tc>
          <w:tcPr>
            <w:tcW w:w="680" w:type="dxa"/>
            <w:vAlign w:val="bottom"/>
          </w:tcPr>
          <w:p>
            <w:pPr>
              <w:jc w:val="right"/>
              <w:spacing w:after="0"/>
              <w:rPr>
                <w:sz w:val="20"/>
                <w:szCs w:val="20"/>
                <w:color w:val="auto"/>
              </w:rPr>
            </w:pPr>
            <w:r>
              <w:rPr>
                <w:rFonts w:ascii="Arial" w:cs="Arial" w:eastAsia="Arial" w:hAnsi="Arial"/>
                <w:sz w:val="14"/>
                <w:szCs w:val="14"/>
                <w:color w:val="auto"/>
              </w:rPr>
              <w:t>16.3 %</w:t>
            </w:r>
          </w:p>
        </w:tc>
        <w:tc>
          <w:tcPr>
            <w:tcW w:w="1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301</w:t>
            </w:r>
          </w:p>
        </w:tc>
        <w:tc>
          <w:tcPr>
            <w:tcW w:w="2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285</w:t>
            </w:r>
          </w:p>
        </w:tc>
        <w:tc>
          <w:tcPr>
            <w:tcW w:w="300" w:type="dxa"/>
            <w:vAlign w:val="bottom"/>
          </w:tcPr>
          <w:p>
            <w:pPr>
              <w:spacing w:after="0"/>
              <w:rPr>
                <w:sz w:val="16"/>
                <w:szCs w:val="16"/>
                <w:color w:val="auto"/>
              </w:rPr>
            </w:pPr>
          </w:p>
        </w:tc>
        <w:tc>
          <w:tcPr>
            <w:tcW w:w="880" w:type="dxa"/>
            <w:vAlign w:val="bottom"/>
          </w:tcPr>
          <w:p>
            <w:pPr>
              <w:jc w:val="right"/>
              <w:ind w:right="408"/>
              <w:spacing w:after="0"/>
              <w:rPr>
                <w:sz w:val="20"/>
                <w:szCs w:val="20"/>
                <w:color w:val="auto"/>
              </w:rPr>
            </w:pPr>
            <w:r>
              <w:rPr>
                <w:rFonts w:ascii="Arial" w:cs="Arial" w:eastAsia="Arial" w:hAnsi="Arial"/>
                <w:sz w:val="14"/>
                <w:szCs w:val="14"/>
                <w:color w:val="auto"/>
              </w:rPr>
              <w:t>16</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5.6 %</w:t>
            </w:r>
          </w:p>
        </w:tc>
        <w:tc>
          <w:tcPr>
            <w:tcW w:w="0" w:type="dxa"/>
            <w:vAlign w:val="bottom"/>
          </w:tcPr>
          <w:p>
            <w:pPr>
              <w:spacing w:after="0"/>
              <w:rPr>
                <w:sz w:val="1"/>
                <w:szCs w:val="1"/>
                <w:color w:val="auto"/>
              </w:rPr>
            </w:pPr>
          </w:p>
        </w:tc>
      </w:tr>
      <w:tr>
        <w:trPr>
          <w:trHeight w:val="192"/>
        </w:trPr>
        <w:tc>
          <w:tcPr>
            <w:tcW w:w="3240" w:type="dxa"/>
            <w:vAlign w:val="bottom"/>
          </w:tcPr>
          <w:p>
            <w:pPr>
              <w:ind w:left="20"/>
              <w:spacing w:after="0"/>
              <w:rPr>
                <w:sz w:val="20"/>
                <w:szCs w:val="20"/>
                <w:color w:val="auto"/>
              </w:rPr>
            </w:pPr>
            <w:r>
              <w:rPr>
                <w:rFonts w:ascii="Arial" w:cs="Arial" w:eastAsia="Arial" w:hAnsi="Arial"/>
                <w:sz w:val="14"/>
                <w:szCs w:val="14"/>
                <w:color w:val="auto"/>
              </w:rPr>
              <w:t>Loan servicing fees</w:t>
            </w:r>
          </w:p>
        </w:tc>
        <w:tc>
          <w:tcPr>
            <w:tcW w:w="24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67</w:t>
            </w:r>
          </w:p>
        </w:tc>
        <w:tc>
          <w:tcPr>
            <w:tcW w:w="18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69</w:t>
            </w:r>
          </w:p>
        </w:tc>
        <w:tc>
          <w:tcPr>
            <w:tcW w:w="280" w:type="dxa"/>
            <w:vAlign w:val="bottom"/>
          </w:tcPr>
          <w:p>
            <w:pPr>
              <w:spacing w:after="0"/>
              <w:rPr>
                <w:sz w:val="16"/>
                <w:szCs w:val="16"/>
                <w:color w:val="auto"/>
              </w:rPr>
            </w:pPr>
          </w:p>
        </w:tc>
        <w:tc>
          <w:tcPr>
            <w:tcW w:w="1060" w:type="dxa"/>
            <w:vAlign w:val="bottom"/>
          </w:tcPr>
          <w:p>
            <w:pPr>
              <w:jc w:val="right"/>
              <w:ind w:right="508"/>
              <w:spacing w:after="0"/>
              <w:rPr>
                <w:sz w:val="20"/>
                <w:szCs w:val="20"/>
                <w:color w:val="auto"/>
              </w:rPr>
            </w:pPr>
            <w:r>
              <w:rPr>
                <w:rFonts w:ascii="Arial" w:cs="Arial" w:eastAsia="Arial" w:hAnsi="Arial"/>
                <w:sz w:val="14"/>
                <w:szCs w:val="14"/>
                <w:color w:val="auto"/>
              </w:rPr>
              <w:t>(2 )</w:t>
            </w:r>
          </w:p>
        </w:tc>
        <w:tc>
          <w:tcPr>
            <w:tcW w:w="680" w:type="dxa"/>
            <w:vAlign w:val="bottom"/>
          </w:tcPr>
          <w:p>
            <w:pPr>
              <w:jc w:val="right"/>
              <w:spacing w:after="0"/>
              <w:rPr>
                <w:sz w:val="20"/>
                <w:szCs w:val="20"/>
                <w:color w:val="auto"/>
              </w:rPr>
            </w:pPr>
            <w:r>
              <w:rPr>
                <w:rFonts w:ascii="Arial" w:cs="Arial" w:eastAsia="Arial" w:hAnsi="Arial"/>
                <w:sz w:val="14"/>
                <w:szCs w:val="14"/>
                <w:color w:val="auto"/>
              </w:rPr>
              <w:t>-2.9 %</w:t>
            </w:r>
          </w:p>
        </w:tc>
        <w:tc>
          <w:tcPr>
            <w:tcW w:w="1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139</w:t>
            </w:r>
          </w:p>
        </w:tc>
        <w:tc>
          <w:tcPr>
            <w:tcW w:w="2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186</w:t>
            </w:r>
          </w:p>
        </w:tc>
        <w:tc>
          <w:tcPr>
            <w:tcW w:w="300" w:type="dxa"/>
            <w:vAlign w:val="bottom"/>
          </w:tcPr>
          <w:p>
            <w:pPr>
              <w:spacing w:after="0"/>
              <w:rPr>
                <w:sz w:val="16"/>
                <w:szCs w:val="16"/>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color w:val="auto"/>
              </w:rPr>
              <w:t>(47 )</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-25.3 %</w:t>
            </w:r>
          </w:p>
        </w:tc>
        <w:tc>
          <w:tcPr>
            <w:tcW w:w="0" w:type="dxa"/>
            <w:vAlign w:val="bottom"/>
          </w:tcPr>
          <w:p>
            <w:pPr>
              <w:spacing w:after="0"/>
              <w:rPr>
                <w:sz w:val="1"/>
                <w:szCs w:val="1"/>
                <w:color w:val="auto"/>
              </w:rPr>
            </w:pPr>
          </w:p>
        </w:tc>
      </w:tr>
      <w:tr>
        <w:trPr>
          <w:trHeight w:val="192"/>
        </w:trPr>
        <w:tc>
          <w:tcPr>
            <w:tcW w:w="3240" w:type="dxa"/>
            <w:vAlign w:val="bottom"/>
          </w:tcPr>
          <w:p>
            <w:pPr>
              <w:ind w:left="20"/>
              <w:spacing w:after="0"/>
              <w:rPr>
                <w:sz w:val="20"/>
                <w:szCs w:val="20"/>
                <w:color w:val="auto"/>
              </w:rPr>
            </w:pPr>
            <w:r>
              <w:rPr>
                <w:rFonts w:ascii="Arial" w:cs="Arial" w:eastAsia="Arial" w:hAnsi="Arial"/>
                <w:sz w:val="14"/>
                <w:szCs w:val="14"/>
                <w:color w:val="auto"/>
              </w:rPr>
              <w:t>Debit card interchange fees</w:t>
            </w:r>
          </w:p>
        </w:tc>
        <w:tc>
          <w:tcPr>
            <w:tcW w:w="24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112</w:t>
            </w:r>
          </w:p>
        </w:tc>
        <w:tc>
          <w:tcPr>
            <w:tcW w:w="18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231</w:t>
            </w:r>
          </w:p>
        </w:tc>
        <w:tc>
          <w:tcPr>
            <w:tcW w:w="280" w:type="dxa"/>
            <w:vAlign w:val="bottom"/>
          </w:tcPr>
          <w:p>
            <w:pPr>
              <w:spacing w:after="0"/>
              <w:rPr>
                <w:sz w:val="16"/>
                <w:szCs w:val="16"/>
                <w:color w:val="auto"/>
              </w:rPr>
            </w:pPr>
          </w:p>
        </w:tc>
        <w:tc>
          <w:tcPr>
            <w:tcW w:w="1060" w:type="dxa"/>
            <w:vAlign w:val="bottom"/>
          </w:tcPr>
          <w:p>
            <w:pPr>
              <w:jc w:val="right"/>
              <w:ind w:right="508"/>
              <w:spacing w:after="0"/>
              <w:rPr>
                <w:sz w:val="20"/>
                <w:szCs w:val="20"/>
                <w:color w:val="auto"/>
              </w:rPr>
            </w:pPr>
            <w:r>
              <w:rPr>
                <w:rFonts w:ascii="Arial" w:cs="Arial" w:eastAsia="Arial" w:hAnsi="Arial"/>
                <w:sz w:val="14"/>
                <w:szCs w:val="14"/>
                <w:color w:val="auto"/>
              </w:rPr>
              <w:t>(119 )</w:t>
            </w:r>
          </w:p>
        </w:tc>
        <w:tc>
          <w:tcPr>
            <w:tcW w:w="680" w:type="dxa"/>
            <w:vAlign w:val="bottom"/>
          </w:tcPr>
          <w:p>
            <w:pPr>
              <w:jc w:val="right"/>
              <w:spacing w:after="0"/>
              <w:rPr>
                <w:sz w:val="20"/>
                <w:szCs w:val="20"/>
                <w:color w:val="auto"/>
              </w:rPr>
            </w:pPr>
            <w:r>
              <w:rPr>
                <w:rFonts w:ascii="Arial" w:cs="Arial" w:eastAsia="Arial" w:hAnsi="Arial"/>
                <w:sz w:val="14"/>
                <w:szCs w:val="14"/>
                <w:color w:val="auto"/>
              </w:rPr>
              <w:t>-51.5 %</w:t>
            </w:r>
          </w:p>
        </w:tc>
        <w:tc>
          <w:tcPr>
            <w:tcW w:w="1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433</w:t>
            </w:r>
          </w:p>
        </w:tc>
        <w:tc>
          <w:tcPr>
            <w:tcW w:w="2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459</w:t>
            </w:r>
          </w:p>
        </w:tc>
        <w:tc>
          <w:tcPr>
            <w:tcW w:w="300" w:type="dxa"/>
            <w:vAlign w:val="bottom"/>
          </w:tcPr>
          <w:p>
            <w:pPr>
              <w:spacing w:after="0"/>
              <w:rPr>
                <w:sz w:val="16"/>
                <w:szCs w:val="16"/>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color w:val="auto"/>
              </w:rPr>
              <w:t>(26 )</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-5.7 %</w:t>
            </w:r>
          </w:p>
        </w:tc>
        <w:tc>
          <w:tcPr>
            <w:tcW w:w="0" w:type="dxa"/>
            <w:vAlign w:val="bottom"/>
          </w:tcPr>
          <w:p>
            <w:pPr>
              <w:spacing w:after="0"/>
              <w:rPr>
                <w:sz w:val="1"/>
                <w:szCs w:val="1"/>
                <w:color w:val="auto"/>
              </w:rPr>
            </w:pPr>
          </w:p>
        </w:tc>
      </w:tr>
      <w:tr>
        <w:trPr>
          <w:trHeight w:val="192"/>
        </w:trPr>
        <w:tc>
          <w:tcPr>
            <w:tcW w:w="3240" w:type="dxa"/>
            <w:vAlign w:val="bottom"/>
          </w:tcPr>
          <w:p>
            <w:pPr>
              <w:ind w:left="20"/>
              <w:spacing w:after="0"/>
              <w:rPr>
                <w:sz w:val="20"/>
                <w:szCs w:val="20"/>
                <w:color w:val="auto"/>
              </w:rPr>
            </w:pPr>
            <w:r>
              <w:rPr>
                <w:rFonts w:ascii="Arial" w:cs="Arial" w:eastAsia="Arial" w:hAnsi="Arial"/>
                <w:sz w:val="14"/>
                <w:szCs w:val="14"/>
                <w:color w:val="auto"/>
              </w:rPr>
              <w:t>Insurance agency revenue</w:t>
            </w:r>
          </w:p>
        </w:tc>
        <w:tc>
          <w:tcPr>
            <w:tcW w:w="24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271</w:t>
            </w:r>
          </w:p>
        </w:tc>
        <w:tc>
          <w:tcPr>
            <w:tcW w:w="18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292</w:t>
            </w:r>
          </w:p>
        </w:tc>
        <w:tc>
          <w:tcPr>
            <w:tcW w:w="280" w:type="dxa"/>
            <w:vAlign w:val="bottom"/>
          </w:tcPr>
          <w:p>
            <w:pPr>
              <w:spacing w:after="0"/>
              <w:rPr>
                <w:sz w:val="16"/>
                <w:szCs w:val="16"/>
                <w:color w:val="auto"/>
              </w:rPr>
            </w:pPr>
          </w:p>
        </w:tc>
        <w:tc>
          <w:tcPr>
            <w:tcW w:w="1060" w:type="dxa"/>
            <w:vAlign w:val="bottom"/>
          </w:tcPr>
          <w:p>
            <w:pPr>
              <w:jc w:val="right"/>
              <w:ind w:right="508"/>
              <w:spacing w:after="0"/>
              <w:rPr>
                <w:sz w:val="20"/>
                <w:szCs w:val="20"/>
                <w:color w:val="auto"/>
              </w:rPr>
            </w:pPr>
            <w:r>
              <w:rPr>
                <w:rFonts w:ascii="Arial" w:cs="Arial" w:eastAsia="Arial" w:hAnsi="Arial"/>
                <w:sz w:val="14"/>
                <w:szCs w:val="14"/>
                <w:color w:val="auto"/>
              </w:rPr>
              <w:t>(21 )</w:t>
            </w:r>
          </w:p>
        </w:tc>
        <w:tc>
          <w:tcPr>
            <w:tcW w:w="680" w:type="dxa"/>
            <w:vAlign w:val="bottom"/>
          </w:tcPr>
          <w:p>
            <w:pPr>
              <w:jc w:val="right"/>
              <w:spacing w:after="0"/>
              <w:rPr>
                <w:sz w:val="20"/>
                <w:szCs w:val="20"/>
                <w:color w:val="auto"/>
              </w:rPr>
            </w:pPr>
            <w:r>
              <w:rPr>
                <w:rFonts w:ascii="Arial" w:cs="Arial" w:eastAsia="Arial" w:hAnsi="Arial"/>
                <w:sz w:val="14"/>
                <w:szCs w:val="14"/>
                <w:color w:val="auto"/>
              </w:rPr>
              <w:t>-7.2 %</w:t>
            </w:r>
          </w:p>
        </w:tc>
        <w:tc>
          <w:tcPr>
            <w:tcW w:w="1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691</w:t>
            </w:r>
          </w:p>
        </w:tc>
        <w:tc>
          <w:tcPr>
            <w:tcW w:w="2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591</w:t>
            </w:r>
          </w:p>
        </w:tc>
        <w:tc>
          <w:tcPr>
            <w:tcW w:w="300" w:type="dxa"/>
            <w:vAlign w:val="bottom"/>
          </w:tcPr>
          <w:p>
            <w:pPr>
              <w:spacing w:after="0"/>
              <w:rPr>
                <w:sz w:val="16"/>
                <w:szCs w:val="16"/>
                <w:color w:val="auto"/>
              </w:rPr>
            </w:pPr>
          </w:p>
        </w:tc>
        <w:tc>
          <w:tcPr>
            <w:tcW w:w="880" w:type="dxa"/>
            <w:vAlign w:val="bottom"/>
          </w:tcPr>
          <w:p>
            <w:pPr>
              <w:jc w:val="right"/>
              <w:ind w:right="408"/>
              <w:spacing w:after="0"/>
              <w:rPr>
                <w:sz w:val="20"/>
                <w:szCs w:val="20"/>
                <w:color w:val="auto"/>
              </w:rPr>
            </w:pPr>
            <w:r>
              <w:rPr>
                <w:rFonts w:ascii="Arial" w:cs="Arial" w:eastAsia="Arial" w:hAnsi="Arial"/>
                <w:sz w:val="14"/>
                <w:szCs w:val="14"/>
                <w:color w:val="auto"/>
              </w:rPr>
              <w:t>100</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16.9 %</w:t>
            </w:r>
          </w:p>
        </w:tc>
        <w:tc>
          <w:tcPr>
            <w:tcW w:w="0" w:type="dxa"/>
            <w:vAlign w:val="bottom"/>
          </w:tcPr>
          <w:p>
            <w:pPr>
              <w:spacing w:after="0"/>
              <w:rPr>
                <w:sz w:val="1"/>
                <w:szCs w:val="1"/>
                <w:color w:val="auto"/>
              </w:rPr>
            </w:pPr>
          </w:p>
        </w:tc>
      </w:tr>
      <w:tr>
        <w:trPr>
          <w:trHeight w:val="192"/>
        </w:trPr>
        <w:tc>
          <w:tcPr>
            <w:tcW w:w="3240" w:type="dxa"/>
            <w:vAlign w:val="bottom"/>
          </w:tcPr>
          <w:p>
            <w:pPr>
              <w:ind w:left="20"/>
              <w:spacing w:after="0"/>
              <w:rPr>
                <w:sz w:val="20"/>
                <w:szCs w:val="20"/>
                <w:color w:val="auto"/>
              </w:rPr>
            </w:pPr>
            <w:r>
              <w:rPr>
                <w:rFonts w:ascii="Arial" w:cs="Arial" w:eastAsia="Arial" w:hAnsi="Arial"/>
                <w:sz w:val="14"/>
                <w:szCs w:val="14"/>
                <w:color w:val="auto"/>
              </w:rPr>
              <w:t>Other charges, commissions and fees</w:t>
            </w:r>
          </w:p>
        </w:tc>
        <w:tc>
          <w:tcPr>
            <w:tcW w:w="24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243</w:t>
            </w:r>
          </w:p>
        </w:tc>
        <w:tc>
          <w:tcPr>
            <w:tcW w:w="18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279</w:t>
            </w:r>
          </w:p>
        </w:tc>
        <w:tc>
          <w:tcPr>
            <w:tcW w:w="280" w:type="dxa"/>
            <w:vAlign w:val="bottom"/>
          </w:tcPr>
          <w:p>
            <w:pPr>
              <w:spacing w:after="0"/>
              <w:rPr>
                <w:sz w:val="16"/>
                <w:szCs w:val="16"/>
                <w:color w:val="auto"/>
              </w:rPr>
            </w:pPr>
          </w:p>
        </w:tc>
        <w:tc>
          <w:tcPr>
            <w:tcW w:w="1060" w:type="dxa"/>
            <w:vAlign w:val="bottom"/>
          </w:tcPr>
          <w:p>
            <w:pPr>
              <w:jc w:val="right"/>
              <w:ind w:right="508"/>
              <w:spacing w:after="0"/>
              <w:rPr>
                <w:sz w:val="20"/>
                <w:szCs w:val="20"/>
                <w:color w:val="auto"/>
              </w:rPr>
            </w:pPr>
            <w:r>
              <w:rPr>
                <w:rFonts w:ascii="Arial" w:cs="Arial" w:eastAsia="Arial" w:hAnsi="Arial"/>
                <w:sz w:val="14"/>
                <w:szCs w:val="14"/>
                <w:color w:val="auto"/>
              </w:rPr>
              <w:t>(36 )</w:t>
            </w:r>
          </w:p>
        </w:tc>
        <w:tc>
          <w:tcPr>
            <w:tcW w:w="680" w:type="dxa"/>
            <w:vAlign w:val="bottom"/>
          </w:tcPr>
          <w:p>
            <w:pPr>
              <w:jc w:val="right"/>
              <w:spacing w:after="0"/>
              <w:rPr>
                <w:sz w:val="20"/>
                <w:szCs w:val="20"/>
                <w:color w:val="auto"/>
              </w:rPr>
            </w:pPr>
            <w:r>
              <w:rPr>
                <w:rFonts w:ascii="Arial" w:cs="Arial" w:eastAsia="Arial" w:hAnsi="Arial"/>
                <w:sz w:val="14"/>
                <w:szCs w:val="14"/>
                <w:color w:val="auto"/>
              </w:rPr>
              <w:t>-12.9 %</w:t>
            </w:r>
          </w:p>
        </w:tc>
        <w:tc>
          <w:tcPr>
            <w:tcW w:w="1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499</w:t>
            </w:r>
          </w:p>
        </w:tc>
        <w:tc>
          <w:tcPr>
            <w:tcW w:w="2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516</w:t>
            </w:r>
          </w:p>
        </w:tc>
        <w:tc>
          <w:tcPr>
            <w:tcW w:w="300" w:type="dxa"/>
            <w:vAlign w:val="bottom"/>
          </w:tcPr>
          <w:p>
            <w:pPr>
              <w:spacing w:after="0"/>
              <w:rPr>
                <w:sz w:val="16"/>
                <w:szCs w:val="16"/>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color w:val="auto"/>
              </w:rPr>
              <w:t>(17 )</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-3.3 %</w:t>
            </w:r>
          </w:p>
        </w:tc>
        <w:tc>
          <w:tcPr>
            <w:tcW w:w="0" w:type="dxa"/>
            <w:vAlign w:val="bottom"/>
          </w:tcPr>
          <w:p>
            <w:pPr>
              <w:spacing w:after="0"/>
              <w:rPr>
                <w:sz w:val="1"/>
                <w:szCs w:val="1"/>
                <w:color w:val="auto"/>
              </w:rPr>
            </w:pPr>
          </w:p>
        </w:tc>
      </w:tr>
      <w:tr>
        <w:trPr>
          <w:trHeight w:val="192"/>
        </w:trPr>
        <w:tc>
          <w:tcPr>
            <w:tcW w:w="3240" w:type="dxa"/>
            <w:vAlign w:val="bottom"/>
          </w:tcPr>
          <w:p>
            <w:pPr>
              <w:ind w:left="20"/>
              <w:spacing w:after="0"/>
              <w:rPr>
                <w:sz w:val="20"/>
                <w:szCs w:val="20"/>
                <w:color w:val="auto"/>
              </w:rPr>
            </w:pPr>
            <w:r>
              <w:rPr>
                <w:rFonts w:ascii="Arial" w:cs="Arial" w:eastAsia="Arial" w:hAnsi="Arial"/>
                <w:sz w:val="14"/>
                <w:szCs w:val="14"/>
                <w:color w:val="auto"/>
              </w:rPr>
              <w:t>Noninterest income before gains</w:t>
            </w:r>
          </w:p>
        </w:tc>
        <w:tc>
          <w:tcPr>
            <w:tcW w:w="24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1,139</w:t>
            </w:r>
          </w:p>
        </w:tc>
        <w:tc>
          <w:tcPr>
            <w:tcW w:w="18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1,277</w:t>
            </w:r>
          </w:p>
        </w:tc>
        <w:tc>
          <w:tcPr>
            <w:tcW w:w="280" w:type="dxa"/>
            <w:vAlign w:val="bottom"/>
          </w:tcPr>
          <w:p>
            <w:pPr>
              <w:spacing w:after="0"/>
              <w:rPr>
                <w:sz w:val="16"/>
                <w:szCs w:val="16"/>
                <w:color w:val="auto"/>
              </w:rPr>
            </w:pPr>
          </w:p>
        </w:tc>
        <w:tc>
          <w:tcPr>
            <w:tcW w:w="1060" w:type="dxa"/>
            <w:vAlign w:val="bottom"/>
          </w:tcPr>
          <w:p>
            <w:pPr>
              <w:jc w:val="right"/>
              <w:ind w:right="508"/>
              <w:spacing w:after="0"/>
              <w:rPr>
                <w:sz w:val="20"/>
                <w:szCs w:val="20"/>
                <w:color w:val="auto"/>
              </w:rPr>
            </w:pPr>
            <w:r>
              <w:rPr>
                <w:rFonts w:ascii="Arial" w:cs="Arial" w:eastAsia="Arial" w:hAnsi="Arial"/>
                <w:sz w:val="14"/>
                <w:szCs w:val="14"/>
                <w:color w:val="auto"/>
              </w:rPr>
              <w:t>(138 )</w:t>
            </w:r>
          </w:p>
        </w:tc>
        <w:tc>
          <w:tcPr>
            <w:tcW w:w="680" w:type="dxa"/>
            <w:vAlign w:val="bottom"/>
          </w:tcPr>
          <w:p>
            <w:pPr>
              <w:jc w:val="right"/>
              <w:spacing w:after="0"/>
              <w:rPr>
                <w:sz w:val="20"/>
                <w:szCs w:val="20"/>
                <w:color w:val="auto"/>
              </w:rPr>
            </w:pPr>
            <w:r>
              <w:rPr>
                <w:rFonts w:ascii="Arial" w:cs="Arial" w:eastAsia="Arial" w:hAnsi="Arial"/>
                <w:sz w:val="14"/>
                <w:szCs w:val="14"/>
                <w:color w:val="auto"/>
              </w:rPr>
              <w:t>-10.8 %</w:t>
            </w:r>
          </w:p>
        </w:tc>
        <w:tc>
          <w:tcPr>
            <w:tcW w:w="1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2,633</w:t>
            </w:r>
          </w:p>
        </w:tc>
        <w:tc>
          <w:tcPr>
            <w:tcW w:w="2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2,579</w:t>
            </w:r>
          </w:p>
        </w:tc>
        <w:tc>
          <w:tcPr>
            <w:tcW w:w="300" w:type="dxa"/>
            <w:vAlign w:val="bottom"/>
          </w:tcPr>
          <w:p>
            <w:pPr>
              <w:spacing w:after="0"/>
              <w:rPr>
                <w:sz w:val="16"/>
                <w:szCs w:val="16"/>
                <w:color w:val="auto"/>
              </w:rPr>
            </w:pPr>
          </w:p>
        </w:tc>
        <w:tc>
          <w:tcPr>
            <w:tcW w:w="880" w:type="dxa"/>
            <w:vAlign w:val="bottom"/>
          </w:tcPr>
          <w:p>
            <w:pPr>
              <w:jc w:val="right"/>
              <w:ind w:right="408"/>
              <w:spacing w:after="0"/>
              <w:rPr>
                <w:sz w:val="20"/>
                <w:szCs w:val="20"/>
                <w:color w:val="auto"/>
              </w:rPr>
            </w:pPr>
            <w:r>
              <w:rPr>
                <w:rFonts w:ascii="Arial" w:cs="Arial" w:eastAsia="Arial" w:hAnsi="Arial"/>
                <w:sz w:val="14"/>
                <w:szCs w:val="14"/>
                <w:color w:val="auto"/>
              </w:rPr>
              <w:t>54</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178"/>
        </w:trPr>
        <w:tc>
          <w:tcPr>
            <w:tcW w:w="3240" w:type="dxa"/>
            <w:vAlign w:val="bottom"/>
          </w:tcPr>
          <w:p>
            <w:pPr>
              <w:ind w:left="20"/>
              <w:spacing w:after="0"/>
              <w:rPr>
                <w:sz w:val="20"/>
                <w:szCs w:val="20"/>
                <w:color w:val="auto"/>
              </w:rPr>
            </w:pPr>
            <w:r>
              <w:rPr>
                <w:rFonts w:ascii="Arial" w:cs="Arial" w:eastAsia="Arial" w:hAnsi="Arial"/>
                <w:sz w:val="14"/>
                <w:szCs w:val="14"/>
                <w:color w:val="auto"/>
              </w:rPr>
              <w:t>Net gains on sales of securities, loans and</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foreclosed real estate</w:t>
            </w:r>
          </w:p>
        </w:tc>
        <w:tc>
          <w:tcPr>
            <w:tcW w:w="240" w:type="dxa"/>
            <w:vAlign w:val="bottom"/>
          </w:tcPr>
          <w:p>
            <w:pPr>
              <w:spacing w:after="0"/>
              <w:rPr>
                <w:sz w:val="15"/>
                <w:szCs w:val="15"/>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117</w:t>
            </w:r>
          </w:p>
        </w:tc>
        <w:tc>
          <w:tcPr>
            <w:tcW w:w="180" w:type="dxa"/>
            <w:vAlign w:val="bottom"/>
          </w:tcPr>
          <w:p>
            <w:pPr>
              <w:spacing w:after="0"/>
              <w:rPr>
                <w:sz w:val="15"/>
                <w:szCs w:val="15"/>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48</w:t>
            </w:r>
          </w:p>
        </w:tc>
        <w:tc>
          <w:tcPr>
            <w:tcW w:w="280" w:type="dxa"/>
            <w:vAlign w:val="bottom"/>
          </w:tcPr>
          <w:p>
            <w:pPr>
              <w:spacing w:after="0"/>
              <w:rPr>
                <w:sz w:val="15"/>
                <w:szCs w:val="15"/>
                <w:color w:val="auto"/>
              </w:rPr>
            </w:pPr>
          </w:p>
        </w:tc>
        <w:tc>
          <w:tcPr>
            <w:tcW w:w="1060" w:type="dxa"/>
            <w:vAlign w:val="bottom"/>
          </w:tcPr>
          <w:p>
            <w:pPr>
              <w:jc w:val="right"/>
              <w:ind w:right="568"/>
              <w:spacing w:after="0"/>
              <w:rPr>
                <w:sz w:val="20"/>
                <w:szCs w:val="20"/>
                <w:color w:val="auto"/>
              </w:rPr>
            </w:pPr>
            <w:r>
              <w:rPr>
                <w:rFonts w:ascii="Arial" w:cs="Arial" w:eastAsia="Arial" w:hAnsi="Arial"/>
                <w:sz w:val="14"/>
                <w:szCs w:val="14"/>
                <w:color w:val="auto"/>
              </w:rPr>
              <w:t>69</w:t>
            </w:r>
          </w:p>
        </w:tc>
        <w:tc>
          <w:tcPr>
            <w:tcW w:w="680" w:type="dxa"/>
            <w:vAlign w:val="bottom"/>
          </w:tcPr>
          <w:p>
            <w:pPr>
              <w:jc w:val="right"/>
              <w:spacing w:after="0"/>
              <w:rPr>
                <w:sz w:val="20"/>
                <w:szCs w:val="20"/>
                <w:color w:val="auto"/>
              </w:rPr>
            </w:pPr>
            <w:r>
              <w:rPr>
                <w:rFonts w:ascii="Arial" w:cs="Arial" w:eastAsia="Arial" w:hAnsi="Arial"/>
                <w:sz w:val="14"/>
                <w:szCs w:val="14"/>
                <w:color w:val="auto"/>
              </w:rPr>
              <w:t>143.8 %</w:t>
            </w:r>
          </w:p>
        </w:tc>
        <w:tc>
          <w:tcPr>
            <w:tcW w:w="14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215</w:t>
            </w:r>
          </w:p>
        </w:tc>
        <w:tc>
          <w:tcPr>
            <w:tcW w:w="220" w:type="dxa"/>
            <w:vAlign w:val="bottom"/>
          </w:tcPr>
          <w:p>
            <w:pPr>
              <w:spacing w:after="0"/>
              <w:rPr>
                <w:sz w:val="15"/>
                <w:szCs w:val="15"/>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281</w:t>
            </w:r>
          </w:p>
        </w:tc>
        <w:tc>
          <w:tcPr>
            <w:tcW w:w="300" w:type="dxa"/>
            <w:vAlign w:val="bottom"/>
          </w:tcPr>
          <w:p>
            <w:pPr>
              <w:spacing w:after="0"/>
              <w:rPr>
                <w:sz w:val="15"/>
                <w:szCs w:val="15"/>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color w:val="auto"/>
              </w:rPr>
              <w:t>(66 )</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-23.5 %</w:t>
            </w:r>
          </w:p>
        </w:tc>
        <w:tc>
          <w:tcPr>
            <w:tcW w:w="0" w:type="dxa"/>
            <w:vAlign w:val="bottom"/>
          </w:tcPr>
          <w:p>
            <w:pPr>
              <w:spacing w:after="0"/>
              <w:rPr>
                <w:sz w:val="1"/>
                <w:szCs w:val="1"/>
                <w:color w:val="auto"/>
              </w:rPr>
            </w:pPr>
          </w:p>
        </w:tc>
      </w:tr>
      <w:tr>
        <w:trPr>
          <w:trHeight w:val="192"/>
        </w:trPr>
        <w:tc>
          <w:tcPr>
            <w:tcW w:w="3240" w:type="dxa"/>
            <w:vAlign w:val="bottom"/>
          </w:tcPr>
          <w:p>
            <w:pPr>
              <w:ind w:left="20"/>
              <w:spacing w:after="0"/>
              <w:rPr>
                <w:sz w:val="20"/>
                <w:szCs w:val="20"/>
                <w:color w:val="auto"/>
              </w:rPr>
            </w:pPr>
            <w:r>
              <w:rPr>
                <w:rFonts w:ascii="Arial" w:cs="Arial" w:eastAsia="Arial" w:hAnsi="Arial"/>
                <w:sz w:val="14"/>
                <w:szCs w:val="14"/>
                <w:color w:val="auto"/>
              </w:rPr>
              <w:t>(Losses) gains on marketable equity securities</w:t>
            </w:r>
          </w:p>
        </w:tc>
        <w:tc>
          <w:tcPr>
            <w:tcW w:w="2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(169 )</w:t>
            </w:r>
          </w:p>
        </w:tc>
        <w:tc>
          <w:tcPr>
            <w:tcW w:w="18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(29 )</w:t>
            </w:r>
          </w:p>
        </w:tc>
        <w:tc>
          <w:tcPr>
            <w:tcW w:w="280" w:type="dxa"/>
            <w:vAlign w:val="bottom"/>
          </w:tcPr>
          <w:p>
            <w:pPr>
              <w:spacing w:after="0"/>
              <w:rPr>
                <w:sz w:val="16"/>
                <w:szCs w:val="16"/>
                <w:color w:val="auto"/>
              </w:rPr>
            </w:pPr>
          </w:p>
        </w:tc>
        <w:tc>
          <w:tcPr>
            <w:tcW w:w="1060" w:type="dxa"/>
            <w:vAlign w:val="bottom"/>
          </w:tcPr>
          <w:p>
            <w:pPr>
              <w:jc w:val="right"/>
              <w:ind w:right="508"/>
              <w:spacing w:after="0"/>
              <w:rPr>
                <w:sz w:val="20"/>
                <w:szCs w:val="20"/>
                <w:color w:val="auto"/>
              </w:rPr>
            </w:pPr>
            <w:r>
              <w:rPr>
                <w:rFonts w:ascii="Arial" w:cs="Arial" w:eastAsia="Arial" w:hAnsi="Arial"/>
                <w:sz w:val="14"/>
                <w:szCs w:val="14"/>
                <w:color w:val="auto"/>
              </w:rPr>
              <w:t>(140 )</w:t>
            </w:r>
          </w:p>
        </w:tc>
        <w:tc>
          <w:tcPr>
            <w:tcW w:w="680" w:type="dxa"/>
            <w:vAlign w:val="bottom"/>
          </w:tcPr>
          <w:p>
            <w:pPr>
              <w:jc w:val="right"/>
              <w:spacing w:after="0"/>
              <w:rPr>
                <w:sz w:val="20"/>
                <w:szCs w:val="20"/>
                <w:color w:val="auto"/>
              </w:rPr>
            </w:pPr>
            <w:r>
              <w:rPr>
                <w:rFonts w:ascii="Arial" w:cs="Arial" w:eastAsia="Arial" w:hAnsi="Arial"/>
                <w:sz w:val="14"/>
                <w:szCs w:val="14"/>
                <w:color w:val="auto"/>
              </w:rPr>
              <w:t>482.8 %</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(169 )</w:t>
            </w:r>
          </w:p>
        </w:tc>
        <w:tc>
          <w:tcPr>
            <w:tcW w:w="22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300" w:type="dxa"/>
            <w:vAlign w:val="bottom"/>
          </w:tcPr>
          <w:p>
            <w:pPr>
              <w:spacing w:after="0"/>
              <w:rPr>
                <w:sz w:val="16"/>
                <w:szCs w:val="16"/>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color w:val="auto"/>
              </w:rPr>
              <w:t>(208 )</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533.3 %</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Arial" w:cs="Arial" w:eastAsia="Arial" w:hAnsi="Arial"/>
                <w:sz w:val="14"/>
                <w:szCs w:val="14"/>
                <w:color w:val="auto"/>
              </w:rPr>
              <w:t>Total noninterest income</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1,087</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1,296</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08"/>
              <w:spacing w:after="0"/>
              <w:rPr>
                <w:sz w:val="20"/>
                <w:szCs w:val="20"/>
                <w:color w:val="auto"/>
              </w:rPr>
            </w:pPr>
            <w:r>
              <w:rPr>
                <w:rFonts w:ascii="Arial" w:cs="Arial" w:eastAsia="Arial" w:hAnsi="Arial"/>
                <w:sz w:val="14"/>
                <w:szCs w:val="14"/>
                <w:color w:val="auto"/>
              </w:rPr>
              <w:t>(209 )</w:t>
            </w:r>
          </w:p>
        </w:tc>
        <w:tc>
          <w:tcPr>
            <w:tcW w:w="680" w:type="dxa"/>
            <w:vAlign w:val="bottom"/>
          </w:tcPr>
          <w:p>
            <w:pPr>
              <w:jc w:val="right"/>
              <w:spacing w:after="0"/>
              <w:rPr>
                <w:sz w:val="20"/>
                <w:szCs w:val="20"/>
                <w:color w:val="auto"/>
              </w:rPr>
            </w:pPr>
            <w:r>
              <w:rPr>
                <w:rFonts w:ascii="Arial" w:cs="Arial" w:eastAsia="Arial" w:hAnsi="Arial"/>
                <w:sz w:val="14"/>
                <w:szCs w:val="14"/>
                <w:color w:val="auto"/>
              </w:rPr>
              <w:t>-16.1 %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2,679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2,899</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28"/>
              <w:spacing w:after="0"/>
              <w:rPr>
                <w:sz w:val="20"/>
                <w:szCs w:val="20"/>
                <w:color w:val="auto"/>
              </w:rPr>
            </w:pPr>
            <w:r>
              <w:rPr>
                <w:rFonts w:ascii="Arial" w:cs="Arial" w:eastAsia="Arial" w:hAnsi="Arial"/>
                <w:sz w:val="14"/>
                <w:szCs w:val="14"/>
                <w:color w:val="auto"/>
              </w:rPr>
              <w:t>(220 )</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-7.6 %</w:t>
            </w:r>
          </w:p>
        </w:tc>
        <w:tc>
          <w:tcPr>
            <w:tcW w:w="0" w:type="dxa"/>
            <w:vAlign w:val="bottom"/>
          </w:tcPr>
          <w:p>
            <w:pPr>
              <w:spacing w:after="0"/>
              <w:rPr>
                <w:sz w:val="1"/>
                <w:szCs w:val="1"/>
                <w:color w:val="auto"/>
              </w:rPr>
            </w:pPr>
          </w:p>
        </w:tc>
      </w:tr>
      <w:tr>
        <w:trPr>
          <w:trHeight w:val="20"/>
        </w:trPr>
        <w:tc>
          <w:tcPr>
            <w:tcW w:w="3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-1348740</wp:posOffset>
            </wp:positionV>
            <wp:extent cx="6707505" cy="1219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-1104265</wp:posOffset>
            </wp:positionV>
            <wp:extent cx="6707505" cy="1219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-860425</wp:posOffset>
            </wp:positionV>
            <wp:extent cx="6707505" cy="1219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-616585</wp:posOffset>
            </wp:positionV>
            <wp:extent cx="6707505" cy="1219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-266065</wp:posOffset>
            </wp:positionV>
            <wp:extent cx="6707505" cy="1219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07505" cy="121920"/>
                    </a:xfrm>
                    <a:prstGeom prst="rect">
                      <a:avLst/>
                    </a:prstGeom>
                    <a:noFill/>
                  </pic:spPr>
                </pic:pic>
              </a:graphicData>
            </a:graphic>
          </wp:anchor>
        </w:drawing>
      </w:r>
    </w:p>
    <w:p>
      <w:pPr>
        <w:spacing w:after="0" w:line="35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Second quarter noninterest income was $1.1 million, a decrease of $211,000, or 16.3% compared to $1.3 million for the same three month period in 2022. The decrease in noninterest income when compared to the same quarter of the previous year was primarily due to (1) a decrease in the debit card interchange fees in the 2023 second quarter of $119,000 compared to the second quarter of 2022, (2) a loss on marketable equity securities of $169,000, compared to the loss of $29,000 recorded in the second quarter of 2022, and (3) an aggregate decrease of $61,000 in loan servicing fees, insurance agency revenue, and other charges commissions and fees when compared to the same three month period in 2022.</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For the six months ended June 30, 2023 noninterest income was $2.7 million, a decrease of $222,000, or 7.7%, compared to $2.9 million for the same six month period in 2022. The decrease in noninterest income, as compared to the six month period of the previous year, was primarily due to (1) a loss on marketable equity securities of $ 169,000, compared to the gain of $39,000 recorded in the same six month period of 2022, (2) a $195,000 decrease in other charges, commissions, and fees compared to the same six month period in 2022, and (3) an aggregate $73,000 decrease in loan servicing fees and debit card interchange fees when compared to the same six month period in 2022. These reductions were partially offset by</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60</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887" w:right="620" w:bottom="1440" w:gutter="0" w:footer="0" w:header="0"/>
        </w:sectPr>
      </w:pPr>
    </w:p>
    <w:bookmarkStart w:id="60" w:name="page61"/>
    <w:bookmarkEnd w:id="60"/>
    <w:p>
      <w:pPr>
        <w:ind w:right="100"/>
        <w:spacing w:after="0" w:line="275" w:lineRule="auto"/>
        <w:rPr>
          <w:sz w:val="20"/>
          <w:szCs w:val="20"/>
          <w:color w:val="auto"/>
        </w:rPr>
      </w:pPr>
      <w:r>
        <w:rPr>
          <w:rFonts w:ascii="Arial" w:cs="Arial" w:eastAsia="Arial" w:hAnsi="Arial"/>
          <w:sz w:val="18"/>
          <w:szCs w:val="18"/>
          <w:color w:val="auto"/>
        </w:rPr>
        <w:t>increases in services charges on deposit accounts, earnings and gain on bank owned life insurance, insurance agency revenue, and net gains on the sale of securities, loans, and foreclosed real estate.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on noninterest expense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Unaudited</w:t>
            </w: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320" w:type="dxa"/>
            <w:vAlign w:val="bottom"/>
            <w:gridSpan w:val="4"/>
          </w:tcPr>
          <w:p>
            <w:pPr>
              <w:ind w:left="120"/>
              <w:spacing w:after="0"/>
              <w:rPr>
                <w:sz w:val="20"/>
                <w:szCs w:val="20"/>
                <w:color w:val="auto"/>
              </w:rPr>
            </w:pPr>
            <w:r>
              <w:rPr>
                <w:rFonts w:ascii="Arial" w:cs="Arial" w:eastAsia="Arial" w:hAnsi="Arial"/>
                <w:sz w:val="14"/>
                <w:szCs w:val="14"/>
                <w:color w:val="auto"/>
              </w:rPr>
              <w:t>For the three months ended</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120" w:type="dxa"/>
            <w:vAlign w:val="bottom"/>
            <w:gridSpan w:val="4"/>
          </w:tcPr>
          <w:p>
            <w:pPr>
              <w:jc w:val="right"/>
              <w:ind w:right="348"/>
              <w:spacing w:after="0"/>
              <w:rPr>
                <w:sz w:val="20"/>
                <w:szCs w:val="20"/>
                <w:color w:val="auto"/>
              </w:rPr>
            </w:pPr>
            <w:r>
              <w:rPr>
                <w:rFonts w:ascii="Arial" w:cs="Arial" w:eastAsia="Arial" w:hAnsi="Arial"/>
                <w:sz w:val="14"/>
                <w:szCs w:val="14"/>
                <w:color w:val="auto"/>
              </w:rPr>
              <w:t>For the six months ended</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7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June 30,</w:t>
            </w:r>
          </w:p>
        </w:tc>
        <w:tc>
          <w:tcPr>
            <w:tcW w:w="2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June 30,</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June 30,</w:t>
            </w:r>
          </w:p>
        </w:tc>
        <w:tc>
          <w:tcPr>
            <w:tcW w:w="2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June 30,</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4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2023</w:t>
            </w:r>
          </w:p>
        </w:tc>
        <w:tc>
          <w:tcPr>
            <w:tcW w:w="22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2022</w:t>
            </w:r>
          </w:p>
        </w:tc>
        <w:tc>
          <w:tcPr>
            <w:tcW w:w="32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Change</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2023</w:t>
            </w:r>
          </w:p>
        </w:tc>
        <w:tc>
          <w:tcPr>
            <w:tcW w:w="260" w:type="dxa"/>
            <w:vAlign w:val="bottom"/>
          </w:tcPr>
          <w:p>
            <w:pPr>
              <w:spacing w:after="0"/>
              <w:rPr>
                <w:sz w:val="15"/>
                <w:szCs w:val="15"/>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2022</w:t>
            </w:r>
          </w:p>
        </w:tc>
        <w:tc>
          <w:tcPr>
            <w:tcW w:w="30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Change</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4"/>
                <w:szCs w:val="14"/>
                <w:color w:val="auto"/>
              </w:rPr>
              <w:t>Salaries and employee benefits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3,906</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3,785</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588"/>
              <w:spacing w:after="0"/>
              <w:rPr>
                <w:sz w:val="20"/>
                <w:szCs w:val="20"/>
                <w:color w:val="auto"/>
              </w:rPr>
            </w:pPr>
            <w:r>
              <w:rPr>
                <w:rFonts w:ascii="Arial" w:cs="Arial" w:eastAsia="Arial" w:hAnsi="Arial"/>
                <w:sz w:val="14"/>
                <w:szCs w:val="14"/>
                <w:color w:val="auto"/>
              </w:rPr>
              <w:t>121</w:t>
            </w:r>
          </w:p>
        </w:tc>
        <w:tc>
          <w:tcPr>
            <w:tcW w:w="660" w:type="dxa"/>
            <w:vAlign w:val="bottom"/>
          </w:tcPr>
          <w:p>
            <w:pPr>
              <w:jc w:val="right"/>
              <w:spacing w:after="0"/>
              <w:rPr>
                <w:sz w:val="20"/>
                <w:szCs w:val="20"/>
                <w:color w:val="auto"/>
              </w:rPr>
            </w:pPr>
            <w:r>
              <w:rPr>
                <w:rFonts w:ascii="Arial" w:cs="Arial" w:eastAsia="Arial" w:hAnsi="Arial"/>
                <w:sz w:val="14"/>
                <w:szCs w:val="14"/>
                <w:color w:val="auto"/>
              </w:rPr>
              <w:t>3.2 %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8,089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7,834</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28"/>
              <w:spacing w:after="0"/>
              <w:rPr>
                <w:sz w:val="20"/>
                <w:szCs w:val="20"/>
                <w:color w:val="auto"/>
              </w:rPr>
            </w:pPr>
            <w:r>
              <w:rPr>
                <w:rFonts w:ascii="Arial" w:cs="Arial" w:eastAsia="Arial" w:hAnsi="Arial"/>
                <w:sz w:val="14"/>
                <w:szCs w:val="14"/>
                <w:color w:val="auto"/>
              </w:rPr>
              <w:t>255</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3.3 %</w:t>
            </w: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4"/>
                <w:szCs w:val="14"/>
                <w:color w:val="auto"/>
              </w:rPr>
              <w:t>Building and occupancy</w:t>
            </w:r>
          </w:p>
        </w:tc>
        <w:tc>
          <w:tcPr>
            <w:tcW w:w="7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979</w:t>
            </w: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830</w:t>
            </w:r>
          </w:p>
        </w:tc>
        <w:tc>
          <w:tcPr>
            <w:tcW w:w="320" w:type="dxa"/>
            <w:vAlign w:val="bottom"/>
          </w:tcPr>
          <w:p>
            <w:pPr>
              <w:spacing w:after="0"/>
              <w:rPr>
                <w:sz w:val="16"/>
                <w:szCs w:val="16"/>
                <w:color w:val="auto"/>
              </w:rPr>
            </w:pPr>
          </w:p>
        </w:tc>
        <w:tc>
          <w:tcPr>
            <w:tcW w:w="1080" w:type="dxa"/>
            <w:vAlign w:val="bottom"/>
          </w:tcPr>
          <w:p>
            <w:pPr>
              <w:jc w:val="right"/>
              <w:ind w:right="588"/>
              <w:spacing w:after="0"/>
              <w:rPr>
                <w:sz w:val="20"/>
                <w:szCs w:val="20"/>
                <w:color w:val="auto"/>
              </w:rPr>
            </w:pPr>
            <w:r>
              <w:rPr>
                <w:rFonts w:ascii="Arial" w:cs="Arial" w:eastAsia="Arial" w:hAnsi="Arial"/>
                <w:sz w:val="14"/>
                <w:szCs w:val="14"/>
                <w:color w:val="auto"/>
              </w:rPr>
              <w:t>149</w:t>
            </w:r>
          </w:p>
        </w:tc>
        <w:tc>
          <w:tcPr>
            <w:tcW w:w="660" w:type="dxa"/>
            <w:vAlign w:val="bottom"/>
          </w:tcPr>
          <w:p>
            <w:pPr>
              <w:jc w:val="right"/>
              <w:spacing w:after="0"/>
              <w:rPr>
                <w:sz w:val="20"/>
                <w:szCs w:val="20"/>
                <w:color w:val="auto"/>
              </w:rPr>
            </w:pPr>
            <w:r>
              <w:rPr>
                <w:rFonts w:ascii="Arial" w:cs="Arial" w:eastAsia="Arial" w:hAnsi="Arial"/>
                <w:sz w:val="14"/>
                <w:szCs w:val="14"/>
                <w:color w:val="auto"/>
              </w:rPr>
              <w:t>18.0 %</w:t>
            </w:r>
          </w:p>
        </w:tc>
        <w:tc>
          <w:tcPr>
            <w:tcW w:w="1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1,831</w:t>
            </w:r>
          </w:p>
        </w:tc>
        <w:tc>
          <w:tcPr>
            <w:tcW w:w="26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1,656</w:t>
            </w:r>
          </w:p>
        </w:tc>
        <w:tc>
          <w:tcPr>
            <w:tcW w:w="300" w:type="dxa"/>
            <w:vAlign w:val="bottom"/>
          </w:tcPr>
          <w:p>
            <w:pPr>
              <w:spacing w:after="0"/>
              <w:rPr>
                <w:sz w:val="16"/>
                <w:szCs w:val="16"/>
                <w:color w:val="auto"/>
              </w:rPr>
            </w:pPr>
          </w:p>
        </w:tc>
        <w:tc>
          <w:tcPr>
            <w:tcW w:w="900" w:type="dxa"/>
            <w:vAlign w:val="bottom"/>
          </w:tcPr>
          <w:p>
            <w:pPr>
              <w:jc w:val="right"/>
              <w:ind w:right="428"/>
              <w:spacing w:after="0"/>
              <w:rPr>
                <w:sz w:val="20"/>
                <w:szCs w:val="20"/>
                <w:color w:val="auto"/>
              </w:rPr>
            </w:pPr>
            <w:r>
              <w:rPr>
                <w:rFonts w:ascii="Arial" w:cs="Arial" w:eastAsia="Arial" w:hAnsi="Arial"/>
                <w:sz w:val="14"/>
                <w:szCs w:val="14"/>
                <w:color w:val="auto"/>
              </w:rPr>
              <w:t>175</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10.6 %</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4"/>
                <w:szCs w:val="14"/>
                <w:color w:val="auto"/>
              </w:rPr>
              <w:t>Data processing</w:t>
            </w:r>
          </w:p>
        </w:tc>
        <w:tc>
          <w:tcPr>
            <w:tcW w:w="74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483</w:t>
            </w:r>
          </w:p>
        </w:tc>
        <w:tc>
          <w:tcPr>
            <w:tcW w:w="22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517</w:t>
            </w:r>
          </w:p>
        </w:tc>
        <w:tc>
          <w:tcPr>
            <w:tcW w:w="320" w:type="dxa"/>
            <w:vAlign w:val="bottom"/>
          </w:tcPr>
          <w:p>
            <w:pPr>
              <w:spacing w:after="0"/>
              <w:rPr>
                <w:sz w:val="18"/>
                <w:szCs w:val="18"/>
                <w:color w:val="auto"/>
              </w:rPr>
            </w:pPr>
          </w:p>
        </w:tc>
        <w:tc>
          <w:tcPr>
            <w:tcW w:w="1080" w:type="dxa"/>
            <w:vAlign w:val="bottom"/>
          </w:tcPr>
          <w:p>
            <w:pPr>
              <w:jc w:val="right"/>
              <w:ind w:right="528"/>
              <w:spacing w:after="0"/>
              <w:rPr>
                <w:sz w:val="20"/>
                <w:szCs w:val="20"/>
                <w:color w:val="auto"/>
              </w:rPr>
            </w:pPr>
            <w:r>
              <w:rPr>
                <w:rFonts w:ascii="Arial" w:cs="Arial" w:eastAsia="Arial" w:hAnsi="Arial"/>
                <w:sz w:val="14"/>
                <w:szCs w:val="14"/>
                <w:color w:val="auto"/>
              </w:rPr>
              <w:t>(34 )</w:t>
            </w:r>
          </w:p>
        </w:tc>
        <w:tc>
          <w:tcPr>
            <w:tcW w:w="660" w:type="dxa"/>
            <w:vAlign w:val="bottom"/>
          </w:tcPr>
          <w:p>
            <w:pPr>
              <w:jc w:val="right"/>
              <w:spacing w:after="0"/>
              <w:rPr>
                <w:sz w:val="20"/>
                <w:szCs w:val="20"/>
                <w:color w:val="auto"/>
              </w:rPr>
            </w:pPr>
            <w:r>
              <w:rPr>
                <w:rFonts w:ascii="Arial" w:cs="Arial" w:eastAsia="Arial" w:hAnsi="Arial"/>
                <w:sz w:val="14"/>
                <w:szCs w:val="14"/>
                <w:color w:val="auto"/>
              </w:rPr>
              <w:t>-6.6 %</w:t>
            </w:r>
          </w:p>
        </w:tc>
        <w:tc>
          <w:tcPr>
            <w:tcW w:w="14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1,036</w:t>
            </w:r>
          </w:p>
        </w:tc>
        <w:tc>
          <w:tcPr>
            <w:tcW w:w="260" w:type="dxa"/>
            <w:vAlign w:val="bottom"/>
          </w:tcPr>
          <w:p>
            <w:pPr>
              <w:spacing w:after="0"/>
              <w:rPr>
                <w:sz w:val="18"/>
                <w:szCs w:val="18"/>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1,067</w:t>
            </w:r>
          </w:p>
        </w:tc>
        <w:tc>
          <w:tcPr>
            <w:tcW w:w="300" w:type="dxa"/>
            <w:vAlign w:val="bottom"/>
          </w:tcPr>
          <w:p>
            <w:pPr>
              <w:spacing w:after="0"/>
              <w:rPr>
                <w:sz w:val="18"/>
                <w:szCs w:val="18"/>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(31 )</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4"/>
                <w:szCs w:val="14"/>
                <w:color w:val="auto"/>
              </w:rPr>
              <w:t>Professional and other services</w:t>
            </w:r>
          </w:p>
        </w:tc>
        <w:tc>
          <w:tcPr>
            <w:tcW w:w="7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503</w:t>
            </w: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452</w:t>
            </w:r>
          </w:p>
        </w:tc>
        <w:tc>
          <w:tcPr>
            <w:tcW w:w="320" w:type="dxa"/>
            <w:vAlign w:val="bottom"/>
          </w:tcPr>
          <w:p>
            <w:pPr>
              <w:spacing w:after="0"/>
              <w:rPr>
                <w:sz w:val="16"/>
                <w:szCs w:val="16"/>
                <w:color w:val="auto"/>
              </w:rPr>
            </w:pPr>
          </w:p>
        </w:tc>
        <w:tc>
          <w:tcPr>
            <w:tcW w:w="1080" w:type="dxa"/>
            <w:vAlign w:val="bottom"/>
          </w:tcPr>
          <w:p>
            <w:pPr>
              <w:jc w:val="right"/>
              <w:ind w:right="588"/>
              <w:spacing w:after="0"/>
              <w:rPr>
                <w:sz w:val="20"/>
                <w:szCs w:val="20"/>
                <w:color w:val="auto"/>
              </w:rPr>
            </w:pPr>
            <w:r>
              <w:rPr>
                <w:rFonts w:ascii="Arial" w:cs="Arial" w:eastAsia="Arial" w:hAnsi="Arial"/>
                <w:sz w:val="14"/>
                <w:szCs w:val="14"/>
                <w:color w:val="auto"/>
              </w:rPr>
              <w:t>51</w:t>
            </w:r>
          </w:p>
        </w:tc>
        <w:tc>
          <w:tcPr>
            <w:tcW w:w="660" w:type="dxa"/>
            <w:vAlign w:val="bottom"/>
          </w:tcPr>
          <w:p>
            <w:pPr>
              <w:jc w:val="right"/>
              <w:spacing w:after="0"/>
              <w:rPr>
                <w:sz w:val="20"/>
                <w:szCs w:val="20"/>
                <w:color w:val="auto"/>
              </w:rPr>
            </w:pPr>
            <w:r>
              <w:rPr>
                <w:rFonts w:ascii="Arial" w:cs="Arial" w:eastAsia="Arial" w:hAnsi="Arial"/>
                <w:sz w:val="14"/>
                <w:szCs w:val="14"/>
                <w:color w:val="auto"/>
              </w:rPr>
              <w:t>11.3 %</w:t>
            </w:r>
          </w:p>
        </w:tc>
        <w:tc>
          <w:tcPr>
            <w:tcW w:w="1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1,039</w:t>
            </w:r>
          </w:p>
        </w:tc>
        <w:tc>
          <w:tcPr>
            <w:tcW w:w="26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845</w:t>
            </w:r>
          </w:p>
        </w:tc>
        <w:tc>
          <w:tcPr>
            <w:tcW w:w="300" w:type="dxa"/>
            <w:vAlign w:val="bottom"/>
          </w:tcPr>
          <w:p>
            <w:pPr>
              <w:spacing w:after="0"/>
              <w:rPr>
                <w:sz w:val="16"/>
                <w:szCs w:val="16"/>
                <w:color w:val="auto"/>
              </w:rPr>
            </w:pPr>
          </w:p>
        </w:tc>
        <w:tc>
          <w:tcPr>
            <w:tcW w:w="900" w:type="dxa"/>
            <w:vAlign w:val="bottom"/>
          </w:tcPr>
          <w:p>
            <w:pPr>
              <w:jc w:val="right"/>
              <w:ind w:right="428"/>
              <w:spacing w:after="0"/>
              <w:rPr>
                <w:sz w:val="20"/>
                <w:szCs w:val="20"/>
                <w:color w:val="auto"/>
              </w:rPr>
            </w:pPr>
            <w:r>
              <w:rPr>
                <w:rFonts w:ascii="Arial" w:cs="Arial" w:eastAsia="Arial" w:hAnsi="Arial"/>
                <w:sz w:val="14"/>
                <w:szCs w:val="14"/>
                <w:color w:val="auto"/>
              </w:rPr>
              <w:t>194</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23.0 %</w:t>
            </w: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4"/>
                <w:szCs w:val="14"/>
                <w:color w:val="auto"/>
              </w:rPr>
              <w:t>Advertising</w:t>
            </w:r>
          </w:p>
        </w:tc>
        <w:tc>
          <w:tcPr>
            <w:tcW w:w="7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166</w:t>
            </w: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235</w:t>
            </w:r>
          </w:p>
        </w:tc>
        <w:tc>
          <w:tcPr>
            <w:tcW w:w="320" w:type="dxa"/>
            <w:vAlign w:val="bottom"/>
          </w:tcPr>
          <w:p>
            <w:pPr>
              <w:spacing w:after="0"/>
              <w:rPr>
                <w:sz w:val="16"/>
                <w:szCs w:val="16"/>
                <w:color w:val="auto"/>
              </w:rPr>
            </w:pPr>
          </w:p>
        </w:tc>
        <w:tc>
          <w:tcPr>
            <w:tcW w:w="1080" w:type="dxa"/>
            <w:vAlign w:val="bottom"/>
          </w:tcPr>
          <w:p>
            <w:pPr>
              <w:jc w:val="right"/>
              <w:ind w:right="528"/>
              <w:spacing w:after="0"/>
              <w:rPr>
                <w:sz w:val="20"/>
                <w:szCs w:val="20"/>
                <w:color w:val="auto"/>
              </w:rPr>
            </w:pPr>
            <w:r>
              <w:rPr>
                <w:rFonts w:ascii="Arial" w:cs="Arial" w:eastAsia="Arial" w:hAnsi="Arial"/>
                <w:sz w:val="14"/>
                <w:szCs w:val="14"/>
                <w:color w:val="auto"/>
              </w:rPr>
              <w:t>(69 )</w:t>
            </w:r>
          </w:p>
        </w:tc>
        <w:tc>
          <w:tcPr>
            <w:tcW w:w="660" w:type="dxa"/>
            <w:vAlign w:val="bottom"/>
          </w:tcPr>
          <w:p>
            <w:pPr>
              <w:jc w:val="right"/>
              <w:spacing w:after="0"/>
              <w:rPr>
                <w:sz w:val="20"/>
                <w:szCs w:val="20"/>
                <w:color w:val="auto"/>
              </w:rPr>
            </w:pPr>
            <w:r>
              <w:rPr>
                <w:rFonts w:ascii="Arial" w:cs="Arial" w:eastAsia="Arial" w:hAnsi="Arial"/>
                <w:sz w:val="14"/>
                <w:szCs w:val="14"/>
                <w:color w:val="auto"/>
              </w:rPr>
              <w:t>-29.4 %</w:t>
            </w:r>
          </w:p>
        </w:tc>
        <w:tc>
          <w:tcPr>
            <w:tcW w:w="1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372</w:t>
            </w:r>
          </w:p>
        </w:tc>
        <w:tc>
          <w:tcPr>
            <w:tcW w:w="26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422</w:t>
            </w:r>
          </w:p>
        </w:tc>
        <w:tc>
          <w:tcPr>
            <w:tcW w:w="300" w:type="dxa"/>
            <w:vAlign w:val="bottom"/>
          </w:tcPr>
          <w:p>
            <w:pPr>
              <w:spacing w:after="0"/>
              <w:rPr>
                <w:sz w:val="16"/>
                <w:szCs w:val="16"/>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(50 )</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-11.8 %</w:t>
            </w: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4"/>
                <w:szCs w:val="14"/>
                <w:color w:val="auto"/>
              </w:rPr>
              <w:t>FDIC assessments</w:t>
            </w:r>
          </w:p>
        </w:tc>
        <w:tc>
          <w:tcPr>
            <w:tcW w:w="7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222</w:t>
            </w: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222</w:t>
            </w:r>
          </w:p>
        </w:tc>
        <w:tc>
          <w:tcPr>
            <w:tcW w:w="320" w:type="dxa"/>
            <w:vAlign w:val="bottom"/>
          </w:tcPr>
          <w:p>
            <w:pPr>
              <w:spacing w:after="0"/>
              <w:rPr>
                <w:sz w:val="16"/>
                <w:szCs w:val="16"/>
                <w:color w:val="auto"/>
              </w:rPr>
            </w:pPr>
          </w:p>
        </w:tc>
        <w:tc>
          <w:tcPr>
            <w:tcW w:w="108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0.0 %</w:t>
            </w:r>
          </w:p>
        </w:tc>
        <w:tc>
          <w:tcPr>
            <w:tcW w:w="1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441</w:t>
            </w:r>
          </w:p>
        </w:tc>
        <w:tc>
          <w:tcPr>
            <w:tcW w:w="26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444</w:t>
            </w:r>
          </w:p>
        </w:tc>
        <w:tc>
          <w:tcPr>
            <w:tcW w:w="300" w:type="dxa"/>
            <w:vAlign w:val="bottom"/>
          </w:tcPr>
          <w:p>
            <w:pPr>
              <w:spacing w:after="0"/>
              <w:rPr>
                <w:sz w:val="16"/>
                <w:szCs w:val="16"/>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(3 )</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-0.7 %</w:t>
            </w: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4"/>
                <w:szCs w:val="14"/>
                <w:color w:val="auto"/>
              </w:rPr>
              <w:t>Audits and exams</w:t>
            </w:r>
          </w:p>
        </w:tc>
        <w:tc>
          <w:tcPr>
            <w:tcW w:w="7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142</w:t>
            </w:r>
          </w:p>
        </w:tc>
        <w:tc>
          <w:tcPr>
            <w:tcW w:w="320" w:type="dxa"/>
            <w:vAlign w:val="bottom"/>
          </w:tcPr>
          <w:p>
            <w:pPr>
              <w:spacing w:after="0"/>
              <w:rPr>
                <w:sz w:val="16"/>
                <w:szCs w:val="16"/>
                <w:color w:val="auto"/>
              </w:rPr>
            </w:pPr>
          </w:p>
        </w:tc>
        <w:tc>
          <w:tcPr>
            <w:tcW w:w="1080" w:type="dxa"/>
            <w:vAlign w:val="bottom"/>
          </w:tcPr>
          <w:p>
            <w:pPr>
              <w:jc w:val="right"/>
              <w:ind w:right="588"/>
              <w:spacing w:after="0"/>
              <w:rPr>
                <w:sz w:val="20"/>
                <w:szCs w:val="20"/>
                <w:color w:val="auto"/>
              </w:rPr>
            </w:pPr>
            <w:r>
              <w:rPr>
                <w:rFonts w:ascii="Arial" w:cs="Arial" w:eastAsia="Arial" w:hAnsi="Arial"/>
                <w:sz w:val="14"/>
                <w:szCs w:val="14"/>
                <w:color w:val="auto"/>
              </w:rPr>
              <w:t>16</w:t>
            </w:r>
          </w:p>
        </w:tc>
        <w:tc>
          <w:tcPr>
            <w:tcW w:w="660" w:type="dxa"/>
            <w:vAlign w:val="bottom"/>
          </w:tcPr>
          <w:p>
            <w:pPr>
              <w:jc w:val="right"/>
              <w:spacing w:after="0"/>
              <w:rPr>
                <w:sz w:val="20"/>
                <w:szCs w:val="20"/>
                <w:color w:val="auto"/>
              </w:rPr>
            </w:pPr>
            <w:r>
              <w:rPr>
                <w:rFonts w:ascii="Arial" w:cs="Arial" w:eastAsia="Arial" w:hAnsi="Arial"/>
                <w:sz w:val="14"/>
                <w:szCs w:val="14"/>
                <w:color w:val="auto"/>
              </w:rPr>
              <w:t>11.3 %</w:t>
            </w:r>
          </w:p>
        </w:tc>
        <w:tc>
          <w:tcPr>
            <w:tcW w:w="1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317</w:t>
            </w:r>
          </w:p>
        </w:tc>
        <w:tc>
          <w:tcPr>
            <w:tcW w:w="26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283</w:t>
            </w:r>
          </w:p>
        </w:tc>
        <w:tc>
          <w:tcPr>
            <w:tcW w:w="300" w:type="dxa"/>
            <w:vAlign w:val="bottom"/>
          </w:tcPr>
          <w:p>
            <w:pPr>
              <w:spacing w:after="0"/>
              <w:rPr>
                <w:sz w:val="16"/>
                <w:szCs w:val="16"/>
                <w:color w:val="auto"/>
              </w:rPr>
            </w:pPr>
          </w:p>
        </w:tc>
        <w:tc>
          <w:tcPr>
            <w:tcW w:w="900" w:type="dxa"/>
            <w:vAlign w:val="bottom"/>
          </w:tcPr>
          <w:p>
            <w:pPr>
              <w:jc w:val="right"/>
              <w:ind w:right="428"/>
              <w:spacing w:after="0"/>
              <w:rPr>
                <w:sz w:val="20"/>
                <w:szCs w:val="20"/>
                <w:color w:val="auto"/>
              </w:rPr>
            </w:pPr>
            <w:r>
              <w:rPr>
                <w:rFonts w:ascii="Arial" w:cs="Arial" w:eastAsia="Arial" w:hAnsi="Arial"/>
                <w:sz w:val="14"/>
                <w:szCs w:val="14"/>
                <w:color w:val="auto"/>
              </w:rPr>
              <w:t>34</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12.0 %</w:t>
            </w: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4"/>
                <w:szCs w:val="14"/>
                <w:color w:val="auto"/>
              </w:rPr>
              <w:t>Insurance agency expense</w:t>
            </w:r>
          </w:p>
        </w:tc>
        <w:tc>
          <w:tcPr>
            <w:tcW w:w="7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283</w:t>
            </w: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254</w:t>
            </w:r>
          </w:p>
        </w:tc>
        <w:tc>
          <w:tcPr>
            <w:tcW w:w="320" w:type="dxa"/>
            <w:vAlign w:val="bottom"/>
          </w:tcPr>
          <w:p>
            <w:pPr>
              <w:spacing w:after="0"/>
              <w:rPr>
                <w:sz w:val="16"/>
                <w:szCs w:val="16"/>
                <w:color w:val="auto"/>
              </w:rPr>
            </w:pPr>
          </w:p>
        </w:tc>
        <w:tc>
          <w:tcPr>
            <w:tcW w:w="1080" w:type="dxa"/>
            <w:vAlign w:val="bottom"/>
          </w:tcPr>
          <w:p>
            <w:pPr>
              <w:jc w:val="right"/>
              <w:ind w:right="588"/>
              <w:spacing w:after="0"/>
              <w:rPr>
                <w:sz w:val="20"/>
                <w:szCs w:val="20"/>
                <w:color w:val="auto"/>
              </w:rPr>
            </w:pPr>
            <w:r>
              <w:rPr>
                <w:rFonts w:ascii="Arial" w:cs="Arial" w:eastAsia="Arial" w:hAnsi="Arial"/>
                <w:sz w:val="14"/>
                <w:szCs w:val="14"/>
                <w:color w:val="auto"/>
              </w:rPr>
              <w:t>29</w:t>
            </w:r>
          </w:p>
        </w:tc>
        <w:tc>
          <w:tcPr>
            <w:tcW w:w="660" w:type="dxa"/>
            <w:vAlign w:val="bottom"/>
          </w:tcPr>
          <w:p>
            <w:pPr>
              <w:jc w:val="right"/>
              <w:spacing w:after="0"/>
              <w:rPr>
                <w:sz w:val="20"/>
                <w:szCs w:val="20"/>
                <w:color w:val="auto"/>
              </w:rPr>
            </w:pPr>
            <w:r>
              <w:rPr>
                <w:rFonts w:ascii="Arial" w:cs="Arial" w:eastAsia="Arial" w:hAnsi="Arial"/>
                <w:sz w:val="14"/>
                <w:szCs w:val="14"/>
                <w:color w:val="auto"/>
              </w:rPr>
              <w:t>11.4 %</w:t>
            </w:r>
          </w:p>
        </w:tc>
        <w:tc>
          <w:tcPr>
            <w:tcW w:w="1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544</w:t>
            </w:r>
          </w:p>
        </w:tc>
        <w:tc>
          <w:tcPr>
            <w:tcW w:w="26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458</w:t>
            </w:r>
          </w:p>
        </w:tc>
        <w:tc>
          <w:tcPr>
            <w:tcW w:w="300" w:type="dxa"/>
            <w:vAlign w:val="bottom"/>
          </w:tcPr>
          <w:p>
            <w:pPr>
              <w:spacing w:after="0"/>
              <w:rPr>
                <w:sz w:val="16"/>
                <w:szCs w:val="16"/>
                <w:color w:val="auto"/>
              </w:rPr>
            </w:pPr>
          </w:p>
        </w:tc>
        <w:tc>
          <w:tcPr>
            <w:tcW w:w="900" w:type="dxa"/>
            <w:vAlign w:val="bottom"/>
          </w:tcPr>
          <w:p>
            <w:pPr>
              <w:jc w:val="right"/>
              <w:ind w:right="428"/>
              <w:spacing w:after="0"/>
              <w:rPr>
                <w:sz w:val="20"/>
                <w:szCs w:val="20"/>
                <w:color w:val="auto"/>
              </w:rPr>
            </w:pPr>
            <w:r>
              <w:rPr>
                <w:rFonts w:ascii="Arial" w:cs="Arial" w:eastAsia="Arial" w:hAnsi="Arial"/>
                <w:sz w:val="14"/>
                <w:szCs w:val="14"/>
                <w:color w:val="auto"/>
              </w:rPr>
              <w:t>86</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18.8 %</w:t>
            </w: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4"/>
                <w:szCs w:val="14"/>
                <w:color w:val="auto"/>
              </w:rPr>
              <w:t>Community service activities</w:t>
            </w:r>
          </w:p>
        </w:tc>
        <w:tc>
          <w:tcPr>
            <w:tcW w:w="7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66</w:t>
            </w: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320" w:type="dxa"/>
            <w:vAlign w:val="bottom"/>
          </w:tcPr>
          <w:p>
            <w:pPr>
              <w:spacing w:after="0"/>
              <w:rPr>
                <w:sz w:val="16"/>
                <w:szCs w:val="16"/>
                <w:color w:val="auto"/>
              </w:rPr>
            </w:pPr>
          </w:p>
        </w:tc>
        <w:tc>
          <w:tcPr>
            <w:tcW w:w="1080" w:type="dxa"/>
            <w:vAlign w:val="bottom"/>
          </w:tcPr>
          <w:p>
            <w:pPr>
              <w:jc w:val="right"/>
              <w:ind w:right="528"/>
              <w:spacing w:after="0"/>
              <w:rPr>
                <w:sz w:val="20"/>
                <w:szCs w:val="20"/>
                <w:color w:val="auto"/>
              </w:rPr>
            </w:pPr>
            <w:r>
              <w:rPr>
                <w:rFonts w:ascii="Arial" w:cs="Arial" w:eastAsia="Arial" w:hAnsi="Arial"/>
                <w:sz w:val="14"/>
                <w:szCs w:val="14"/>
                <w:color w:val="auto"/>
              </w:rPr>
              <w:t>(7 )</w:t>
            </w:r>
          </w:p>
        </w:tc>
        <w:tc>
          <w:tcPr>
            <w:tcW w:w="660" w:type="dxa"/>
            <w:vAlign w:val="bottom"/>
          </w:tcPr>
          <w:p>
            <w:pPr>
              <w:jc w:val="right"/>
              <w:spacing w:after="0"/>
              <w:rPr>
                <w:sz w:val="20"/>
                <w:szCs w:val="20"/>
                <w:color w:val="auto"/>
              </w:rPr>
            </w:pPr>
            <w:r>
              <w:rPr>
                <w:rFonts w:ascii="Arial" w:cs="Arial" w:eastAsia="Arial" w:hAnsi="Arial"/>
                <w:sz w:val="14"/>
                <w:szCs w:val="14"/>
                <w:color w:val="auto"/>
              </w:rPr>
              <w:t>-9.6 %</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96</w:t>
            </w:r>
          </w:p>
        </w:tc>
        <w:tc>
          <w:tcPr>
            <w:tcW w:w="26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135</w:t>
            </w:r>
          </w:p>
        </w:tc>
        <w:tc>
          <w:tcPr>
            <w:tcW w:w="300" w:type="dxa"/>
            <w:vAlign w:val="bottom"/>
          </w:tcPr>
          <w:p>
            <w:pPr>
              <w:spacing w:after="0"/>
              <w:rPr>
                <w:sz w:val="16"/>
                <w:szCs w:val="16"/>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(39 )</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-28.9 %</w:t>
            </w: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4"/>
                <w:szCs w:val="14"/>
                <w:color w:val="auto"/>
              </w:rPr>
              <w:t>Foreclosed real estate expenses</w:t>
            </w:r>
          </w:p>
        </w:tc>
        <w:tc>
          <w:tcPr>
            <w:tcW w:w="7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320" w:type="dxa"/>
            <w:vAlign w:val="bottom"/>
          </w:tcPr>
          <w:p>
            <w:pPr>
              <w:spacing w:after="0"/>
              <w:rPr>
                <w:sz w:val="16"/>
                <w:szCs w:val="16"/>
                <w:color w:val="auto"/>
              </w:rPr>
            </w:pPr>
          </w:p>
        </w:tc>
        <w:tc>
          <w:tcPr>
            <w:tcW w:w="1080" w:type="dxa"/>
            <w:vAlign w:val="bottom"/>
          </w:tcPr>
          <w:p>
            <w:pPr>
              <w:jc w:val="right"/>
              <w:ind w:right="528"/>
              <w:spacing w:after="0"/>
              <w:rPr>
                <w:sz w:val="20"/>
                <w:szCs w:val="20"/>
                <w:color w:val="auto"/>
              </w:rPr>
            </w:pPr>
            <w:r>
              <w:rPr>
                <w:rFonts w:ascii="Arial" w:cs="Arial" w:eastAsia="Arial" w:hAnsi="Arial"/>
                <w:sz w:val="14"/>
                <w:szCs w:val="14"/>
                <w:color w:val="auto"/>
              </w:rPr>
              <w:t>(9 )</w:t>
            </w:r>
          </w:p>
        </w:tc>
        <w:tc>
          <w:tcPr>
            <w:tcW w:w="660" w:type="dxa"/>
            <w:vAlign w:val="bottom"/>
          </w:tcPr>
          <w:p>
            <w:pPr>
              <w:jc w:val="right"/>
              <w:spacing w:after="0"/>
              <w:rPr>
                <w:sz w:val="20"/>
                <w:szCs w:val="20"/>
                <w:color w:val="auto"/>
              </w:rPr>
            </w:pPr>
            <w:r>
              <w:rPr>
                <w:rFonts w:ascii="Arial" w:cs="Arial" w:eastAsia="Arial" w:hAnsi="Arial"/>
                <w:sz w:val="14"/>
                <w:szCs w:val="14"/>
                <w:color w:val="auto"/>
              </w:rPr>
              <w:t>-33.3 %</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w:t>
            </w:r>
          </w:p>
        </w:tc>
        <w:tc>
          <w:tcPr>
            <w:tcW w:w="26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300" w:type="dxa"/>
            <w:vAlign w:val="bottom"/>
          </w:tcPr>
          <w:p>
            <w:pPr>
              <w:spacing w:after="0"/>
              <w:rPr>
                <w:sz w:val="16"/>
                <w:szCs w:val="16"/>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(8 )</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-20.0 %</w:t>
            </w:r>
          </w:p>
        </w:tc>
        <w:tc>
          <w:tcPr>
            <w:tcW w:w="0" w:type="dxa"/>
            <w:vAlign w:val="bottom"/>
          </w:tcPr>
          <w:p>
            <w:pPr>
              <w:spacing w:after="0"/>
              <w:rPr>
                <w:sz w:val="1"/>
                <w:szCs w:val="1"/>
                <w:color w:val="auto"/>
              </w:rPr>
            </w:pPr>
          </w:p>
        </w:tc>
      </w:tr>
      <w:tr>
        <w:trPr>
          <w:trHeight w:val="192"/>
        </w:trPr>
        <w:tc>
          <w:tcPr>
            <w:tcW w:w="2740" w:type="dxa"/>
            <w:vAlign w:val="bottom"/>
          </w:tcPr>
          <w:p>
            <w:pPr>
              <w:ind w:left="20"/>
              <w:spacing w:after="0"/>
              <w:rPr>
                <w:sz w:val="20"/>
                <w:szCs w:val="20"/>
                <w:color w:val="auto"/>
              </w:rPr>
            </w:pPr>
            <w:r>
              <w:rPr>
                <w:rFonts w:ascii="Arial" w:cs="Arial" w:eastAsia="Arial" w:hAnsi="Arial"/>
                <w:sz w:val="14"/>
                <w:szCs w:val="14"/>
                <w:color w:val="auto"/>
              </w:rPr>
              <w:t>Other expenses</w:t>
            </w:r>
          </w:p>
        </w:tc>
        <w:tc>
          <w:tcPr>
            <w:tcW w:w="7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390</w:t>
            </w:r>
          </w:p>
        </w:tc>
        <w:tc>
          <w:tcPr>
            <w:tcW w:w="2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609</w:t>
            </w:r>
          </w:p>
        </w:tc>
        <w:tc>
          <w:tcPr>
            <w:tcW w:w="320" w:type="dxa"/>
            <w:vAlign w:val="bottom"/>
          </w:tcPr>
          <w:p>
            <w:pPr>
              <w:spacing w:after="0"/>
              <w:rPr>
                <w:sz w:val="16"/>
                <w:szCs w:val="16"/>
                <w:color w:val="auto"/>
              </w:rPr>
            </w:pPr>
          </w:p>
        </w:tc>
        <w:tc>
          <w:tcPr>
            <w:tcW w:w="1080" w:type="dxa"/>
            <w:vAlign w:val="bottom"/>
          </w:tcPr>
          <w:p>
            <w:pPr>
              <w:jc w:val="right"/>
              <w:ind w:right="528"/>
              <w:spacing w:after="0"/>
              <w:rPr>
                <w:sz w:val="20"/>
                <w:szCs w:val="20"/>
                <w:color w:val="auto"/>
              </w:rPr>
            </w:pPr>
            <w:r>
              <w:rPr>
                <w:rFonts w:ascii="Arial" w:cs="Arial" w:eastAsia="Arial" w:hAnsi="Arial"/>
                <w:sz w:val="14"/>
                <w:szCs w:val="14"/>
                <w:color w:val="auto"/>
              </w:rPr>
              <w:t>(219 )</w:t>
            </w:r>
          </w:p>
        </w:tc>
        <w:tc>
          <w:tcPr>
            <w:tcW w:w="660" w:type="dxa"/>
            <w:vAlign w:val="bottom"/>
          </w:tcPr>
          <w:p>
            <w:pPr>
              <w:jc w:val="right"/>
              <w:spacing w:after="0"/>
              <w:rPr>
                <w:sz w:val="20"/>
                <w:szCs w:val="20"/>
                <w:color w:val="auto"/>
              </w:rPr>
            </w:pPr>
            <w:r>
              <w:rPr>
                <w:rFonts w:ascii="Arial" w:cs="Arial" w:eastAsia="Arial" w:hAnsi="Arial"/>
                <w:sz w:val="14"/>
                <w:szCs w:val="14"/>
                <w:color w:val="auto"/>
              </w:rPr>
              <w:t>-36.0 %</w:t>
            </w:r>
          </w:p>
        </w:tc>
        <w:tc>
          <w:tcPr>
            <w:tcW w:w="1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901</w:t>
            </w:r>
          </w:p>
        </w:tc>
        <w:tc>
          <w:tcPr>
            <w:tcW w:w="260" w:type="dxa"/>
            <w:vAlign w:val="bottom"/>
          </w:tcPr>
          <w:p>
            <w:pPr>
              <w:spacing w:after="0"/>
              <w:rPr>
                <w:sz w:val="16"/>
                <w:szCs w:val="16"/>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1,214</w:t>
            </w:r>
          </w:p>
        </w:tc>
        <w:tc>
          <w:tcPr>
            <w:tcW w:w="300" w:type="dxa"/>
            <w:vAlign w:val="bottom"/>
          </w:tcPr>
          <w:p>
            <w:pPr>
              <w:spacing w:after="0"/>
              <w:rPr>
                <w:sz w:val="16"/>
                <w:szCs w:val="16"/>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(313 )</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-25.8 %</w:t>
            </w:r>
          </w:p>
        </w:tc>
        <w:tc>
          <w:tcPr>
            <w:tcW w:w="0" w:type="dxa"/>
            <w:vAlign w:val="bottom"/>
          </w:tcPr>
          <w:p>
            <w:pPr>
              <w:spacing w:after="0"/>
              <w:rPr>
                <w:sz w:val="1"/>
                <w:szCs w:val="1"/>
                <w:color w:val="auto"/>
              </w:rPr>
            </w:pPr>
          </w:p>
        </w:tc>
      </w:tr>
      <w:tr>
        <w:trPr>
          <w:trHeight w:val="195"/>
        </w:trPr>
        <w:tc>
          <w:tcPr>
            <w:tcW w:w="2740" w:type="dxa"/>
            <w:vAlign w:val="bottom"/>
          </w:tcPr>
          <w:p>
            <w:pPr>
              <w:ind w:left="20"/>
              <w:spacing w:after="0"/>
              <w:rPr>
                <w:sz w:val="20"/>
                <w:szCs w:val="20"/>
                <w:color w:val="auto"/>
              </w:rPr>
            </w:pPr>
            <w:r>
              <w:rPr>
                <w:rFonts w:ascii="Arial" w:cs="Arial" w:eastAsia="Arial" w:hAnsi="Arial"/>
                <w:sz w:val="14"/>
                <w:szCs w:val="14"/>
                <w:color w:val="auto"/>
              </w:rPr>
              <w:t>Total noninterest expenses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7,174</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7,146</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588"/>
              <w:spacing w:after="0"/>
              <w:rPr>
                <w:sz w:val="20"/>
                <w:szCs w:val="20"/>
                <w:color w:val="auto"/>
              </w:rPr>
            </w:pPr>
            <w:r>
              <w:rPr>
                <w:rFonts w:ascii="Arial" w:cs="Arial" w:eastAsia="Arial" w:hAnsi="Arial"/>
                <w:sz w:val="14"/>
                <w:szCs w:val="14"/>
                <w:color w:val="auto"/>
              </w:rPr>
              <w:t>28</w:t>
            </w:r>
          </w:p>
        </w:tc>
        <w:tc>
          <w:tcPr>
            <w:tcW w:w="660" w:type="dxa"/>
            <w:vAlign w:val="bottom"/>
          </w:tcPr>
          <w:p>
            <w:pPr>
              <w:jc w:val="right"/>
              <w:spacing w:after="0"/>
              <w:rPr>
                <w:sz w:val="20"/>
                <w:szCs w:val="20"/>
                <w:color w:val="auto"/>
              </w:rPr>
            </w:pPr>
            <w:r>
              <w:rPr>
                <w:rFonts w:ascii="Arial" w:cs="Arial" w:eastAsia="Arial" w:hAnsi="Arial"/>
                <w:sz w:val="14"/>
                <w:szCs w:val="14"/>
                <w:color w:val="auto"/>
              </w:rPr>
              <w:t>0.4 %</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14,698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14,398</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28"/>
              <w:spacing w:after="0"/>
              <w:rPr>
                <w:sz w:val="20"/>
                <w:szCs w:val="20"/>
                <w:color w:val="auto"/>
              </w:rPr>
            </w:pPr>
            <w:r>
              <w:rPr>
                <w:rFonts w:ascii="Arial" w:cs="Arial" w:eastAsia="Arial" w:hAnsi="Arial"/>
                <w:sz w:val="14"/>
                <w:szCs w:val="14"/>
                <w:color w:val="auto"/>
              </w:rPr>
              <w:t>300</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20"/>
        </w:trPr>
        <w:tc>
          <w:tcPr>
            <w:tcW w:w="2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-1501140</wp:posOffset>
            </wp:positionV>
            <wp:extent cx="6707505" cy="1219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-1257300</wp:posOffset>
            </wp:positionV>
            <wp:extent cx="670750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07505" cy="1371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-997585</wp:posOffset>
            </wp:positionV>
            <wp:extent cx="6707505" cy="1219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-753745</wp:posOffset>
            </wp:positionV>
            <wp:extent cx="6707505" cy="1219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-509905</wp:posOffset>
            </wp:positionV>
            <wp:extent cx="6707505" cy="1219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07505" cy="1219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-266065</wp:posOffset>
            </wp:positionV>
            <wp:extent cx="6707505" cy="1219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07505" cy="121920"/>
                    </a:xfrm>
                    <a:prstGeom prst="rect">
                      <a:avLst/>
                    </a:prstGeom>
                    <a:noFill/>
                  </pic:spPr>
                </pic:pic>
              </a:graphicData>
            </a:graphic>
          </wp:anchor>
        </w:drawing>
      </w:r>
    </w:p>
    <w:p>
      <w:pPr>
        <w:spacing w:after="0" w:line="35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Total noninterest expense for the second quarter of 2023 was $7.2 million, an increase of $28,000, or 0.4%, compared to the same three month period in 2022. Noninterest expense for the second quarter of 2023, in comparison to the same quarter in the previous year, was driven by increases in salaries and benefits expense of $121,000, building and occupancy of $149,000, professional and other services of $ 51,000, audits and exams of $ 16,000, and insurance agency expense of $29,000. These increases were significantly offset by a decrease of $ 219,000, or 36%, in other expenses when compared to the same period in 2022. The decline in other expenses is primarily related to the reclassification of certain issuer fees related to brokered deposit funding from noninterest expense to interest expense during the second quarter of 2023. This reclassification had no effect on overall net income.</w:t>
      </w:r>
    </w:p>
    <w:p>
      <w:pPr>
        <w:spacing w:after="0" w:line="147"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Total noninterest expense for the first six month period of 2023 was $14.7 million, an increase of $300,000, or 2.1%, compared with $14.4 million for the same six month period in 2022. The increase was primarily a result of higher salaries and employee benefits expense of $255,000, building and occupancy expense of $175,000, professional and other services of $194,000, audits and exams of $34,000, and insurance agency expense of $86,000. These increases were significantly offset by a decrease of $313,000, or</w:t>
      </w:r>
    </w:p>
    <w:p>
      <w:pPr>
        <w:spacing w:after="0" w:line="3"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25.8%, in other expenses when compared to the same period in 2022. The decline in other expenses is primarily related to the reclassification of certain issuer fees related to brokered deposit funding from noninterest expense to interest expense during the second quarter of 2023. This reclassification had no effect on overall net income.</w:t>
      </w:r>
    </w:p>
    <w:p>
      <w:pPr>
        <w:spacing w:after="0" w:line="14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$255,000 and $121,000 increase in salaries and benefits expense for the three and six months ended June 30, 2023, as compared to the same six month periods in 2022, was primarily due to increases in individual staff salaries and certain commissions paid related to insurance and investment services activities. Staffing increases in the Bank's branch system were made as a result of the opening of the Bank's eleventh branch in November 2022. During the first quarter of 2023, the Company increased its salary structure where it was deemed appropriate in order to effectively respond to inflationary and competitive pressures within our marketplace to recruit and retain talent. Further increases within the Company’s personnel expenses are anticipated throughout the remainder of 2023 as certain position vacancies are filled and further compensation adjustments, in a limited number of areas are realized. The Bank's decision to invest in its workforce demonstrates its dedication to building a strong, skilled, and satisfied team of professionals, which is viewed by management as vital for maintaining a competitive edge in the ever-evolving banking sector.</w:t>
      </w:r>
    </w:p>
    <w:p>
      <w:pPr>
        <w:spacing w:after="0" w:line="133"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Building and occupancy expenses increased by $149,000, or 18.0%, from $830,000 fora the second quarter of 2022 to $979,000 during the second quarter of 2023. These expenses increased by $175,000, or 10.6%, from $1.7 million for the six months ended June 30, 2022 to $1.8 million during the six months ended June 30, 2023. This increase was mostly due to costs related to the opening of the Bank's eleventh full-service branch in November 2022.</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61</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887" w:right="620" w:bottom="1440" w:gutter="0" w:footer="0" w:header="0"/>
        </w:sectPr>
      </w:pPr>
    </w:p>
    <w:bookmarkStart w:id="61" w:name="page62"/>
    <w:bookmarkEnd w:id="61"/>
    <w:p>
      <w:pPr>
        <w:ind w:right="100"/>
        <w:spacing w:after="0" w:line="275" w:lineRule="auto"/>
        <w:rPr>
          <w:sz w:val="20"/>
          <w:szCs w:val="20"/>
          <w:color w:val="auto"/>
        </w:rPr>
      </w:pPr>
      <w:r>
        <w:rPr>
          <w:rFonts w:ascii="Arial" w:cs="Arial" w:eastAsia="Arial" w:hAnsi="Arial"/>
          <w:sz w:val="17"/>
          <w:szCs w:val="17"/>
          <w:color w:val="auto"/>
        </w:rPr>
        <w:t>Professional and other service fees increased during the three months ended June 30, 2023 by $51,000, or 11.3%, to $503,000 as compared to $452,000 during the same quarterly period in 2022. During the six months ended June 30, 2023, these expenses increased by $194,000, or 23.0%, to $1.0 million as compared to $ 845,000 during the six months ended June 30, 2022. These increases, when comparing both three and six month periods, can be attributed to an increase in costs for software programs during June 2023. The additional increase when comparing the six month periods was mostly due to nonrecurring incurred legal fees.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Income tax expense decreased $250,000 to $530,000, with an effective tax rate of 21.2%, for the quarter ended June 30, 2023, as compared to $780,000 with an effective tax rate of 19.2% for the same three month period in 2022. The decrease in income tax expense for the quarter ended June 30, 2023, as compared to the same quarter in 2022, was primarily driven by a decrease of $1.6 million in income before taxes. The effective income tax rate increased 2.0% to 21.2% for the three months ended June 30, 2023 as compared to 19.2% for the same three month period in 2022. The increase in the tax rate in the second quarter of 2023, as compared to the same quarter in 2022, was primarily related to the reversal of a deferred tax asset valuation allowance in the quarter ended June 30, 2022, and a decrease in other permanent tax differences for the quarter ended June 30, 2023 as compared to the quarter ended June 30, 2022.</w:t>
      </w:r>
    </w:p>
    <w:p>
      <w:pPr>
        <w:spacing w:after="0" w:line="192"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Income tax expense decreased $302,000 to $1.2 million, with an effective tax rate of 20.5%, for the six months ended June 30, 2022, as compared to $ 1.5 million with an effective tax rate of 19.3%, for the same six month period in 2022. The decrease in income tax expense for the six months ended June 30, 2023, as compared to the same six month period in 2022, was primarily driven by the year-over- year decrease in income before taxes. The effective income tax rate increased 1.2% to 20.5% for the six months ended June 30, 2023 as compared to 19.3% for the same six month period in 2022. The increase in the tax rate in the second quarter of 2023, as compared to the same quarter in 2022, was primarily related to the reversal of a deferred tax asset valuation allowance in the quarter ended June 30, 2022, and a decrease in other permanent tax differences for the quarter ended June 30, 2023 as compared to the quarter ended June 30, 2022.</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tax liability is a function of the 21% statutory federal tax rate, the level of pretax income, the varying effects of New York State income taxes, and is partially reduced by tax -exempt income from specific types of investment securities and loans, bank owned life insurance, and, to a much lesser degree, the utilization of low income housing tax credits. In addition, the tax effects of certain incentive stock option activity may reduce the Company’s effective tax rate on a sporadic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Basic and diluted earnings per Voting share were $0.32 per share for the second quarter of 2023, as compared to $0.54 per basic and diluted Voting share for the same quarter of 2022. Basic and diluted earnings per Series A Non-Voting share were $0.32 per share for the second quarter of 2023, as compared to $0.54 per basic and diluted Series A Non-Voting share for the same quarter of 2022.</w:t>
      </w:r>
    </w:p>
    <w:p>
      <w:pPr>
        <w:spacing w:after="0" w:line="13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Basic and diluted earnings per Voting and Series A Non-Voting share were $0.75 for the six month period ended June 30, 2023, as compared to $1.03 for the same prior year period. The decrease in earnings per share between these two periods was due to the decrease in net income between these two time periods. Further information on earnings per share can be found in Note 3 of this Form 10-Q.</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Total assets decreased $7.6 million, or 0.5%, to $1.39 billion at June 30, 2023 as compared to $1.40 billion at December 31, 2022.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This decrease was due primarily to decreases in loans and investment securities.</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Loans totaled $891.1 million at June 30, 2023, a decrease of $6.6 million, or 0.7%, compared to $897.7 million at December 31, 2022, mostly due to decreases of $8.2 million in total consumer loans, and $4.1 million in total residential mortgage loans. Investment securities, including investment in FHLB-NY stock, decreased $3.8 million, or 1.0%, to $390.2 million</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62</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959" w:right="660" w:bottom="1440" w:gutter="0" w:footer="0" w:header="0"/>
        </w:sectPr>
      </w:pPr>
    </w:p>
    <w:bookmarkStart w:id="62" w:name="page63"/>
    <w:bookmarkEnd w:id="62"/>
    <w:p>
      <w:pPr>
        <w:ind w:right="200"/>
        <w:spacing w:after="0" w:line="263" w:lineRule="auto"/>
        <w:rPr>
          <w:sz w:val="20"/>
          <w:szCs w:val="20"/>
          <w:color w:val="auto"/>
        </w:rPr>
      </w:pPr>
      <w:r>
        <w:rPr>
          <w:rFonts w:ascii="Arial" w:cs="Arial" w:eastAsia="Arial" w:hAnsi="Arial"/>
          <w:sz w:val="18"/>
          <w:szCs w:val="18"/>
          <w:color w:val="auto"/>
        </w:rPr>
        <w:t>at June 30, 2023, as compared to $394.0 million at December 31, 2022. This was due to a decrease of $5.9 million in available-for-sale securities, offset by increases in held-to-maturity securities, marketable equity securities, and FHLB-NY stock totaling $2.1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3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Total liabilities decreased $10.4 million, or 0.8%, to $1.28 billion at June 30, 2023 as compared to $1.29 billion at December 31, 2022. This decrease was due primarily a decrease in total deposits of $24.3 million, or 2.2%, to $1.10 billion at June 30, 2023, compared to $1.13 billion at December 31, 2022, which consists of a $16.8 million decrease in noninterest-bearing deposits, and a $7.5 million decrease in interest-bearing deposits.</w:t>
      </w:r>
    </w:p>
    <w:p>
      <w:pPr>
        <w:spacing w:after="0" w:line="187"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Borrowed funds balances from the FHLB-NY increased by $13.5 million, or 11.6%, to $129.5 million at June 30, 2023, from $116.0 million at December 31, 2022, which partially offset the decrease in total liabilities during this period.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1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Shareholders' equity increased by $2.8 million, or 2.5%, from $111.0 million at December 31, 2022, to $113.8 million on June 30, 2023. This increase was primarily due to the Company’s recorded net income of $4.6 million, partially reduced by declared dividends to shareholders of $1.1 million. Additionally, on January 1, 2023, the Company adopted the CECL methodology for computing its ACL and related provision for credit losses. This adoption resulted in the recognition of a one-time transitional adjustment that reduced the Company’s retained earnings by $2.1 million on that date. In total therefore, retained earnings increased by $1.3 million in the six months ended June 30, 2023. The increase in shareholders' equity was also due to a decrease in accumulated other comprehensive loss of $802,000, and an increase in all other components of shareholders' equity totaling $634,000.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Capital adequacy is evaluated primarily by the use of ratios which measure capital against total assets, as well as against total assets that are weighted based on defined risk characteristics. The Company’s goal is to maintain a strong capital position, consistent with the risk profile of its banking operations. This strong capital position serves to support growth and expansion activities while at the same time exceeding regulatory standards. At June 30, 2023, the Bank met the regulatory definition of a “well-capitalized” institution, i.e. a leverage capital ratio exceeding 5%, a Tier 1 risk-based capital ratio exceeding 8%, Tier 1 common equity exceeding 6.5%, and a total risk-based capital ratio exceeding 10%.</w:t>
      </w:r>
    </w:p>
    <w:p>
      <w:pPr>
        <w:spacing w:after="0" w:line="14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to establishing the minimum regulatory capital requirements, the regulations limit capital distributions and certain discretionary bonus payments to management if the institution does not hold a “capital conservation buffer” consisting of 2.5% of common equity Tier 1 capital to risk-weighted assets above the amount necessary to meet its minimum risk-based capital requirements. The buffer is separate from the capital ratios required under the Prompt Corrective Actions (“PCA”) standards. In order to avoid these restrictions, the capital conservation buffer effectively increases the minimum levels of the following capital to risk-weighted assets ratios: (1) Core Capital, (2) Total Capital and (3) Common Equity. At June 30, 2023, the Bank exceeded all regulatory required minimum capital ratios, including the capital buffer requirements.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63</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959" w:right="640"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Pathfinder Bank’s capital amounts and ratios as of the indicated dates are presented in the following table: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194"/>
              <w:spacing w:after="0"/>
              <w:rPr>
                <w:sz w:val="20"/>
                <w:szCs w:val="20"/>
                <w:color w:val="auto"/>
              </w:rPr>
            </w:pPr>
            <w:r>
              <w:rPr>
                <w:rFonts w:ascii="Arial" w:cs="Arial" w:eastAsia="Arial" w:hAnsi="Arial"/>
                <w:sz w:val="13"/>
                <w:szCs w:val="13"/>
                <w:color w:val="auto"/>
              </w:rPr>
              <w:t>Minimum To Be</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center"/>
              <w:ind w:right="194"/>
              <w:spacing w:after="0"/>
              <w:rPr>
                <w:sz w:val="20"/>
                <w:szCs w:val="20"/>
                <w:color w:val="auto"/>
              </w:rPr>
            </w:pPr>
            <w:r>
              <w:rPr>
                <w:rFonts w:ascii="Arial" w:cs="Arial" w:eastAsia="Arial" w:hAnsi="Arial"/>
                <w:sz w:val="13"/>
                <w:szCs w:val="13"/>
                <w:color w:val="auto"/>
              </w:rPr>
              <w:t>Minimum For</w:t>
            </w:r>
          </w:p>
        </w:tc>
        <w:tc>
          <w:tcPr>
            <w:tcW w:w="140" w:type="dxa"/>
            <w:vAlign w:val="bottom"/>
          </w:tcPr>
          <w:p>
            <w:pPr>
              <w:spacing w:after="0"/>
              <w:rPr>
                <w:sz w:val="13"/>
                <w:szCs w:val="13"/>
                <w:color w:val="auto"/>
              </w:rPr>
            </w:pPr>
          </w:p>
        </w:tc>
        <w:tc>
          <w:tcPr>
            <w:tcW w:w="1540" w:type="dxa"/>
            <w:vAlign w:val="bottom"/>
            <w:gridSpan w:val="2"/>
          </w:tcPr>
          <w:p>
            <w:pPr>
              <w:jc w:val="center"/>
              <w:ind w:right="194"/>
              <w:spacing w:after="0"/>
              <w:rPr>
                <w:sz w:val="20"/>
                <w:szCs w:val="20"/>
                <w:color w:val="auto"/>
              </w:rPr>
            </w:pPr>
            <w:r>
              <w:rPr>
                <w:rFonts w:ascii="Arial" w:cs="Arial" w:eastAsia="Arial" w:hAnsi="Arial"/>
                <w:sz w:val="13"/>
                <w:szCs w:val="13"/>
                <w:color w:val="auto"/>
              </w:rPr>
              <w:t>"Well-Capitalized"</w:t>
            </w:r>
          </w:p>
        </w:tc>
        <w:tc>
          <w:tcPr>
            <w:tcW w:w="140" w:type="dxa"/>
            <w:vAlign w:val="bottom"/>
          </w:tcPr>
          <w:p>
            <w:pPr>
              <w:spacing w:after="0"/>
              <w:rPr>
                <w:sz w:val="13"/>
                <w:szCs w:val="13"/>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3"/>
                <w:szCs w:val="13"/>
                <w:color w:val="auto"/>
              </w:rPr>
              <w:t>Minimum For</w:t>
            </w: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ind w:left="140"/>
              <w:spacing w:after="0"/>
              <w:rPr>
                <w:sz w:val="20"/>
                <w:szCs w:val="20"/>
                <w:color w:val="auto"/>
              </w:rPr>
            </w:pPr>
            <w:r>
              <w:rPr>
                <w:rFonts w:ascii="Arial" w:cs="Arial" w:eastAsia="Arial" w:hAnsi="Arial"/>
                <w:sz w:val="13"/>
                <w:szCs w:val="13"/>
                <w:color w:val="auto"/>
              </w:rPr>
              <w:t>Capital Adequacy</w:t>
            </w:r>
          </w:p>
        </w:tc>
        <w:tc>
          <w:tcPr>
            <w:tcW w:w="140" w:type="dxa"/>
            <w:vAlign w:val="bottom"/>
          </w:tcPr>
          <w:p>
            <w:pPr>
              <w:spacing w:after="0"/>
              <w:rPr>
                <w:sz w:val="13"/>
                <w:szCs w:val="13"/>
                <w:color w:val="auto"/>
              </w:rPr>
            </w:pPr>
          </w:p>
        </w:tc>
        <w:tc>
          <w:tcPr>
            <w:tcW w:w="1540" w:type="dxa"/>
            <w:vAlign w:val="bottom"/>
            <w:gridSpan w:val="2"/>
          </w:tcPr>
          <w:p>
            <w:pPr>
              <w:jc w:val="center"/>
              <w:ind w:right="174"/>
              <w:spacing w:after="0"/>
              <w:rPr>
                <w:sz w:val="20"/>
                <w:szCs w:val="20"/>
                <w:color w:val="auto"/>
              </w:rPr>
            </w:pPr>
            <w:r>
              <w:rPr>
                <w:rFonts w:ascii="Arial" w:cs="Arial" w:eastAsia="Arial" w:hAnsi="Arial"/>
                <w:sz w:val="13"/>
                <w:szCs w:val="13"/>
                <w:color w:val="auto"/>
              </w:rPr>
              <w:t>Under Prompt</w:t>
            </w:r>
          </w:p>
        </w:tc>
        <w:tc>
          <w:tcPr>
            <w:tcW w:w="140" w:type="dxa"/>
            <w:vAlign w:val="bottom"/>
          </w:tcPr>
          <w:p>
            <w:pPr>
              <w:spacing w:after="0"/>
              <w:rPr>
                <w:sz w:val="13"/>
                <w:szCs w:val="13"/>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3"/>
                <w:szCs w:val="13"/>
                <w:color w:val="auto"/>
              </w:rPr>
              <w:t>Capital Adequacy</w:t>
            </w:r>
          </w:p>
        </w:tc>
      </w:tr>
      <w:tr>
        <w:trPr>
          <w:trHeight w:val="165"/>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jc w:val="right"/>
              <w:ind w:right="14"/>
              <w:spacing w:after="0"/>
              <w:rPr>
                <w:sz w:val="20"/>
                <w:szCs w:val="20"/>
                <w:color w:val="auto"/>
              </w:rPr>
            </w:pPr>
            <w:r>
              <w:rPr>
                <w:rFonts w:ascii="Arial" w:cs="Arial" w:eastAsia="Arial" w:hAnsi="Arial"/>
                <w:sz w:val="13"/>
                <w:szCs w:val="13"/>
                <w:color w:val="auto"/>
              </w:rPr>
              <w:t>Actual</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94"/>
              <w:spacing w:after="0"/>
              <w:rPr>
                <w:sz w:val="20"/>
                <w:szCs w:val="20"/>
                <w:color w:val="auto"/>
              </w:rPr>
            </w:pPr>
            <w:r>
              <w:rPr>
                <w:rFonts w:ascii="Arial" w:cs="Arial" w:eastAsia="Arial" w:hAnsi="Arial"/>
                <w:sz w:val="13"/>
                <w:szCs w:val="13"/>
                <w:color w:val="auto"/>
              </w:rPr>
              <w:t>Purposes</w:t>
            </w:r>
          </w:p>
        </w:tc>
        <w:tc>
          <w:tcPr>
            <w:tcW w:w="140" w:type="dxa"/>
            <w:vAlign w:val="bottom"/>
          </w:tcPr>
          <w:p>
            <w:pPr>
              <w:spacing w:after="0"/>
              <w:rPr>
                <w:sz w:val="14"/>
                <w:szCs w:val="14"/>
                <w:color w:val="auto"/>
              </w:rPr>
            </w:pPr>
          </w:p>
        </w:tc>
        <w:tc>
          <w:tcPr>
            <w:tcW w:w="1540" w:type="dxa"/>
            <w:vAlign w:val="bottom"/>
            <w:gridSpan w:val="2"/>
          </w:tcPr>
          <w:p>
            <w:pPr>
              <w:jc w:val="center"/>
              <w:ind w:right="194"/>
              <w:spacing w:after="0"/>
              <w:rPr>
                <w:sz w:val="20"/>
                <w:szCs w:val="20"/>
                <w:color w:val="auto"/>
              </w:rPr>
            </w:pPr>
            <w:r>
              <w:rPr>
                <w:rFonts w:ascii="Arial" w:cs="Arial" w:eastAsia="Arial" w:hAnsi="Arial"/>
                <w:sz w:val="13"/>
                <w:szCs w:val="13"/>
                <w:color w:val="auto"/>
              </w:rPr>
              <w:t>Corrective Provisions</w:t>
            </w:r>
          </w:p>
        </w:tc>
        <w:tc>
          <w:tcPr>
            <w:tcW w:w="140" w:type="dxa"/>
            <w:vAlign w:val="bottom"/>
          </w:tcPr>
          <w:p>
            <w:pPr>
              <w:spacing w:after="0"/>
              <w:rPr>
                <w:sz w:val="14"/>
                <w:szCs w:val="14"/>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3"/>
                <w:szCs w:val="13"/>
                <w:color w:val="auto"/>
              </w:rPr>
              <w:t>with Buffer</w:t>
            </w:r>
          </w:p>
        </w:tc>
      </w:tr>
      <w:tr>
        <w:trPr>
          <w:trHeight w:val="185"/>
        </w:trPr>
        <w:tc>
          <w:tcPr>
            <w:tcW w:w="3400" w:type="dxa"/>
            <w:vAlign w:val="bottom"/>
            <w:gridSpan w:val="6"/>
          </w:tcPr>
          <w:p>
            <w:pPr>
              <w:ind w:left="20"/>
              <w:spacing w:after="0"/>
              <w:rPr>
                <w:sz w:val="20"/>
                <w:szCs w:val="20"/>
                <w:color w:val="auto"/>
              </w:rPr>
            </w:pPr>
            <w:r>
              <w:rPr>
                <w:rFonts w:ascii="Arial" w:cs="Arial" w:eastAsia="Arial" w:hAnsi="Arial"/>
                <w:sz w:val="13"/>
                <w:szCs w:val="13"/>
                <w:i w:val="1"/>
                <w:iCs w:val="1"/>
                <w:color w:val="auto"/>
              </w:rPr>
              <w:t>(In thousands)</w:t>
            </w:r>
          </w:p>
        </w:tc>
        <w:tc>
          <w:tcPr>
            <w:tcW w:w="560" w:type="dxa"/>
            <w:vAlign w:val="bottom"/>
          </w:tcPr>
          <w:p>
            <w:pPr>
              <w:spacing w:after="0"/>
              <w:rPr>
                <w:sz w:val="16"/>
                <w:szCs w:val="16"/>
                <w:color w:val="auto"/>
              </w:rPr>
            </w:pPr>
          </w:p>
        </w:tc>
        <w:tc>
          <w:tcPr>
            <w:tcW w:w="980" w:type="dxa"/>
            <w:vAlign w:val="bottom"/>
          </w:tcPr>
          <w:p>
            <w:pPr>
              <w:jc w:val="right"/>
              <w:ind w:right="434"/>
              <w:spacing w:after="0"/>
              <w:rPr>
                <w:sz w:val="20"/>
                <w:szCs w:val="20"/>
                <w:color w:val="auto"/>
              </w:rPr>
            </w:pPr>
            <w:r>
              <w:rPr>
                <w:rFonts w:ascii="Arial" w:cs="Arial" w:eastAsia="Arial" w:hAnsi="Arial"/>
                <w:sz w:val="13"/>
                <w:szCs w:val="13"/>
                <w:color w:val="auto"/>
              </w:rPr>
              <w:t>Amount</w:t>
            </w:r>
          </w:p>
        </w:tc>
        <w:tc>
          <w:tcPr>
            <w:tcW w:w="780" w:type="dxa"/>
            <w:vAlign w:val="bottom"/>
          </w:tcPr>
          <w:p>
            <w:pPr>
              <w:jc w:val="right"/>
              <w:ind w:right="334"/>
              <w:spacing w:after="0"/>
              <w:rPr>
                <w:sz w:val="20"/>
                <w:szCs w:val="20"/>
                <w:color w:val="auto"/>
              </w:rPr>
            </w:pPr>
            <w:r>
              <w:rPr>
                <w:rFonts w:ascii="Arial" w:cs="Arial" w:eastAsia="Arial" w:hAnsi="Arial"/>
                <w:sz w:val="13"/>
                <w:szCs w:val="13"/>
                <w:color w:val="auto"/>
              </w:rPr>
              <w:t>Ratio</w:t>
            </w:r>
          </w:p>
        </w:tc>
        <w:tc>
          <w:tcPr>
            <w:tcW w:w="12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Arial" w:cs="Arial" w:eastAsia="Arial" w:hAnsi="Arial"/>
                <w:sz w:val="13"/>
                <w:szCs w:val="13"/>
                <w:color w:val="auto"/>
              </w:rPr>
              <w:t>Amount</w:t>
            </w:r>
          </w:p>
        </w:tc>
        <w:tc>
          <w:tcPr>
            <w:tcW w:w="840" w:type="dxa"/>
            <w:vAlign w:val="bottom"/>
          </w:tcPr>
          <w:p>
            <w:pPr>
              <w:jc w:val="right"/>
              <w:ind w:right="274"/>
              <w:spacing w:after="0"/>
              <w:rPr>
                <w:sz w:val="20"/>
                <w:szCs w:val="20"/>
                <w:color w:val="auto"/>
              </w:rPr>
            </w:pPr>
            <w:r>
              <w:rPr>
                <w:rFonts w:ascii="Arial" w:cs="Arial" w:eastAsia="Arial" w:hAnsi="Arial"/>
                <w:sz w:val="13"/>
                <w:szCs w:val="13"/>
                <w:color w:val="auto"/>
              </w:rPr>
              <w:t>Ratio</w:t>
            </w:r>
          </w:p>
        </w:tc>
        <w:tc>
          <w:tcPr>
            <w:tcW w:w="140" w:type="dxa"/>
            <w:vAlign w:val="bottom"/>
          </w:tcPr>
          <w:p>
            <w:pPr>
              <w:spacing w:after="0"/>
              <w:rPr>
                <w:sz w:val="16"/>
                <w:szCs w:val="16"/>
                <w:color w:val="auto"/>
              </w:rPr>
            </w:pPr>
          </w:p>
        </w:tc>
        <w:tc>
          <w:tcPr>
            <w:tcW w:w="740" w:type="dxa"/>
            <w:vAlign w:val="bottom"/>
          </w:tcPr>
          <w:p>
            <w:pPr>
              <w:jc w:val="right"/>
              <w:ind w:right="214"/>
              <w:spacing w:after="0"/>
              <w:rPr>
                <w:sz w:val="20"/>
                <w:szCs w:val="20"/>
                <w:color w:val="auto"/>
              </w:rPr>
            </w:pPr>
            <w:r>
              <w:rPr>
                <w:rFonts w:ascii="Arial" w:cs="Arial" w:eastAsia="Arial" w:hAnsi="Arial"/>
                <w:sz w:val="13"/>
                <w:szCs w:val="13"/>
                <w:color w:val="auto"/>
                <w:w w:val="98"/>
              </w:rPr>
              <w:t>Amount</w:t>
            </w:r>
          </w:p>
        </w:tc>
        <w:tc>
          <w:tcPr>
            <w:tcW w:w="800" w:type="dxa"/>
            <w:vAlign w:val="bottom"/>
          </w:tcPr>
          <w:p>
            <w:pPr>
              <w:jc w:val="right"/>
              <w:ind w:right="234"/>
              <w:spacing w:after="0"/>
              <w:rPr>
                <w:sz w:val="20"/>
                <w:szCs w:val="20"/>
                <w:color w:val="auto"/>
              </w:rPr>
            </w:pPr>
            <w:r>
              <w:rPr>
                <w:rFonts w:ascii="Arial" w:cs="Arial" w:eastAsia="Arial" w:hAnsi="Arial"/>
                <w:sz w:val="13"/>
                <w:szCs w:val="13"/>
                <w:color w:val="auto"/>
              </w:rPr>
              <w:t>Ratio</w:t>
            </w:r>
          </w:p>
        </w:tc>
        <w:tc>
          <w:tcPr>
            <w:tcW w:w="760" w:type="dxa"/>
            <w:vAlign w:val="bottom"/>
            <w:gridSpan w:val="2"/>
          </w:tcPr>
          <w:p>
            <w:pPr>
              <w:jc w:val="right"/>
              <w:ind w:right="154"/>
              <w:spacing w:after="0"/>
              <w:rPr>
                <w:sz w:val="20"/>
                <w:szCs w:val="20"/>
                <w:color w:val="auto"/>
              </w:rPr>
            </w:pPr>
            <w:r>
              <w:rPr>
                <w:rFonts w:ascii="Arial" w:cs="Arial" w:eastAsia="Arial" w:hAnsi="Arial"/>
                <w:sz w:val="13"/>
                <w:szCs w:val="13"/>
                <w:color w:val="auto"/>
              </w:rPr>
              <w:t>Amount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Ratio</w:t>
            </w:r>
          </w:p>
        </w:tc>
      </w:tr>
      <w:tr>
        <w:trPr>
          <w:trHeight w:val="165"/>
        </w:trPr>
        <w:tc>
          <w:tcPr>
            <w:tcW w:w="3400" w:type="dxa"/>
            <w:vAlign w:val="bottom"/>
            <w:gridSpan w:val="6"/>
            <w:shd w:val="clear" w:color="auto" w:fill="CFF0FC"/>
          </w:tcPr>
          <w:p>
            <w:pPr>
              <w:ind w:left="20"/>
              <w:spacing w:after="0"/>
              <w:rPr>
                <w:sz w:val="20"/>
                <w:szCs w:val="20"/>
                <w:color w:val="auto"/>
              </w:rPr>
            </w:pPr>
            <w:r>
              <w:rPr>
                <w:rFonts w:ascii="Arial" w:cs="Arial" w:eastAsia="Arial" w:hAnsi="Arial"/>
                <w:sz w:val="13"/>
                <w:szCs w:val="13"/>
                <w:color w:val="auto"/>
              </w:rPr>
              <w:t>As of June 30, 2023:</w:t>
            </w:r>
          </w:p>
        </w:tc>
        <w:tc>
          <w:tcPr>
            <w:tcW w:w="5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r>
      <w:tr>
        <w:trPr>
          <w:trHeight w:val="161"/>
        </w:trPr>
        <w:tc>
          <w:tcPr>
            <w:tcW w:w="2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20" w:type="dxa"/>
            <w:vAlign w:val="bottom"/>
            <w:tcBorders>
              <w:top w:val="single" w:sz="8" w:color="CFF0FC"/>
            </w:tcBorders>
          </w:tcPr>
          <w:p>
            <w:pPr>
              <w:spacing w:after="0"/>
              <w:rPr>
                <w:sz w:val="13"/>
                <w:szCs w:val="13"/>
                <w:color w:val="auto"/>
              </w:rPr>
            </w:pPr>
          </w:p>
        </w:tc>
        <w:tc>
          <w:tcPr>
            <w:tcW w:w="1840" w:type="dxa"/>
            <w:vAlign w:val="bottom"/>
            <w:tcBorders>
              <w:top w:val="single" w:sz="8" w:color="CFF0FC"/>
            </w:tcBorders>
          </w:tcPr>
          <w:p>
            <w:pPr>
              <w:spacing w:after="0"/>
              <w:rPr>
                <w:sz w:val="13"/>
                <w:szCs w:val="13"/>
                <w:color w:val="auto"/>
              </w:rPr>
            </w:pPr>
          </w:p>
        </w:tc>
        <w:tc>
          <w:tcPr>
            <w:tcW w:w="560" w:type="dxa"/>
            <w:vAlign w:val="bottom"/>
            <w:tcBorders>
              <w:top w:val="single" w:sz="8" w:color="CFF0FC"/>
            </w:tcBorders>
          </w:tcPr>
          <w:p>
            <w:pPr>
              <w:spacing w:after="0"/>
              <w:rPr>
                <w:sz w:val="13"/>
                <w:szCs w:val="13"/>
                <w:color w:val="auto"/>
              </w:rPr>
            </w:pPr>
          </w:p>
        </w:tc>
        <w:tc>
          <w:tcPr>
            <w:tcW w:w="980" w:type="dxa"/>
            <w:vAlign w:val="bottom"/>
            <w:tcBorders>
              <w:top w:val="single" w:sz="8" w:color="CFF0FC"/>
            </w:tcBorders>
          </w:tcPr>
          <w:p>
            <w:pPr>
              <w:spacing w:after="0"/>
              <w:rPr>
                <w:sz w:val="13"/>
                <w:szCs w:val="13"/>
                <w:color w:val="auto"/>
              </w:rPr>
            </w:pPr>
          </w:p>
        </w:tc>
        <w:tc>
          <w:tcPr>
            <w:tcW w:w="78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740" w:type="dxa"/>
            <w:vAlign w:val="bottom"/>
            <w:tcBorders>
              <w:top w:val="single" w:sz="8" w:color="CFF0FC"/>
            </w:tcBorders>
          </w:tcPr>
          <w:p>
            <w:pPr>
              <w:spacing w:after="0"/>
              <w:rPr>
                <w:sz w:val="13"/>
                <w:szCs w:val="13"/>
                <w:color w:val="auto"/>
              </w:rPr>
            </w:pPr>
          </w:p>
        </w:tc>
        <w:tc>
          <w:tcPr>
            <w:tcW w:w="84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740" w:type="dxa"/>
            <w:vAlign w:val="bottom"/>
            <w:tcBorders>
              <w:top w:val="single" w:sz="8" w:color="CFF0FC"/>
            </w:tcBorders>
          </w:tcPr>
          <w:p>
            <w:pPr>
              <w:spacing w:after="0"/>
              <w:rPr>
                <w:sz w:val="13"/>
                <w:szCs w:val="13"/>
                <w:color w:val="auto"/>
              </w:rPr>
            </w:pPr>
          </w:p>
        </w:tc>
        <w:tc>
          <w:tcPr>
            <w:tcW w:w="80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620" w:type="dxa"/>
            <w:vAlign w:val="bottom"/>
            <w:tcBorders>
              <w:top w:val="single" w:sz="8" w:color="CFF0FC"/>
            </w:tcBorders>
          </w:tcPr>
          <w:p>
            <w:pPr>
              <w:jc w:val="right"/>
              <w:ind w:right="114"/>
              <w:spacing w:after="0"/>
              <w:rPr>
                <w:sz w:val="20"/>
                <w:szCs w:val="20"/>
                <w:color w:val="auto"/>
              </w:rPr>
            </w:pPr>
            <w:r>
              <w:rPr>
                <w:rFonts w:ascii="Arial" w:cs="Arial" w:eastAsia="Arial" w:hAnsi="Arial"/>
                <w:sz w:val="13"/>
                <w:szCs w:val="13"/>
                <w:color w:val="auto"/>
              </w:rPr>
              <w:t>101,85</w:t>
            </w:r>
          </w:p>
        </w:tc>
        <w:tc>
          <w:tcPr>
            <w:tcW w:w="700" w:type="dxa"/>
            <w:vAlign w:val="bottom"/>
            <w:tcBorders>
              <w:top w:val="single" w:sz="8" w:color="CFF0FC"/>
            </w:tcBorders>
          </w:tcPr>
          <w:p>
            <w:pPr>
              <w:spacing w:after="0"/>
              <w:rPr>
                <w:sz w:val="13"/>
                <w:szCs w:val="13"/>
                <w:color w:val="auto"/>
              </w:rPr>
            </w:pPr>
          </w:p>
        </w:tc>
        <w:tc>
          <w:tcPr>
            <w:tcW w:w="4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3380" w:type="dxa"/>
            <w:vAlign w:val="bottom"/>
            <w:gridSpan w:val="5"/>
          </w:tcPr>
          <w:p>
            <w:pPr>
              <w:ind w:left="80"/>
              <w:spacing w:after="0"/>
              <w:rPr>
                <w:sz w:val="20"/>
                <w:szCs w:val="20"/>
                <w:color w:val="auto"/>
              </w:rPr>
            </w:pPr>
            <w:r>
              <w:rPr>
                <w:rFonts w:ascii="Arial" w:cs="Arial" w:eastAsia="Arial" w:hAnsi="Arial"/>
                <w:sz w:val="13"/>
                <w:szCs w:val="13"/>
                <w:color w:val="auto"/>
              </w:rPr>
              <w:t>Total Core Capital (to Risk-Weighted Assets)</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149,533</w:t>
            </w:r>
          </w:p>
        </w:tc>
        <w:tc>
          <w:tcPr>
            <w:tcW w:w="780" w:type="dxa"/>
            <w:vAlign w:val="bottom"/>
          </w:tcPr>
          <w:p>
            <w:pPr>
              <w:jc w:val="right"/>
              <w:spacing w:after="0"/>
              <w:rPr>
                <w:sz w:val="20"/>
                <w:szCs w:val="20"/>
                <w:color w:val="auto"/>
              </w:rPr>
            </w:pPr>
            <w:r>
              <w:rPr>
                <w:rFonts w:ascii="Arial" w:cs="Arial" w:eastAsia="Arial" w:hAnsi="Arial"/>
                <w:sz w:val="13"/>
                <w:szCs w:val="13"/>
                <w:color w:val="auto"/>
              </w:rPr>
              <w:t>15.42 %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140"/>
              <w:spacing w:after="0"/>
              <w:rPr>
                <w:sz w:val="20"/>
                <w:szCs w:val="20"/>
                <w:color w:val="auto"/>
              </w:rPr>
            </w:pPr>
            <w:r>
              <w:rPr>
                <w:rFonts w:ascii="Arial" w:cs="Arial" w:eastAsia="Arial" w:hAnsi="Arial"/>
                <w:sz w:val="13"/>
                <w:szCs w:val="13"/>
                <w:color w:val="auto"/>
              </w:rPr>
              <w:t>77,601</w:t>
            </w:r>
          </w:p>
        </w:tc>
        <w:tc>
          <w:tcPr>
            <w:tcW w:w="840" w:type="dxa"/>
            <w:vAlign w:val="bottom"/>
          </w:tcPr>
          <w:p>
            <w:pPr>
              <w:jc w:val="right"/>
              <w:spacing w:after="0"/>
              <w:rPr>
                <w:sz w:val="20"/>
                <w:szCs w:val="20"/>
                <w:color w:val="auto"/>
              </w:rPr>
            </w:pPr>
            <w:r>
              <w:rPr>
                <w:rFonts w:ascii="Arial" w:cs="Arial" w:eastAsia="Arial" w:hAnsi="Arial"/>
                <w:sz w:val="13"/>
                <w:szCs w:val="13"/>
                <w:color w:val="auto"/>
              </w:rPr>
              <w:t>8.00 %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4"/>
              <w:spacing w:after="0"/>
              <w:rPr>
                <w:sz w:val="20"/>
                <w:szCs w:val="20"/>
                <w:color w:val="auto"/>
              </w:rPr>
            </w:pPr>
            <w:r>
              <w:rPr>
                <w:rFonts w:ascii="Arial" w:cs="Arial" w:eastAsia="Arial" w:hAnsi="Arial"/>
                <w:sz w:val="13"/>
                <w:szCs w:val="13"/>
                <w:color w:val="auto"/>
              </w:rPr>
              <w:t>97,001</w:t>
            </w:r>
          </w:p>
        </w:tc>
        <w:tc>
          <w:tcPr>
            <w:tcW w:w="800" w:type="dxa"/>
            <w:vAlign w:val="bottom"/>
          </w:tcPr>
          <w:p>
            <w:pPr>
              <w:jc w:val="right"/>
              <w:spacing w:after="0"/>
              <w:rPr>
                <w:sz w:val="20"/>
                <w:szCs w:val="20"/>
                <w:color w:val="auto"/>
              </w:rPr>
            </w:pPr>
            <w:r>
              <w:rPr>
                <w:rFonts w:ascii="Arial" w:cs="Arial" w:eastAsia="Arial" w:hAnsi="Arial"/>
                <w:sz w:val="13"/>
                <w:szCs w:val="13"/>
                <w:color w:val="auto"/>
              </w:rPr>
              <w:t>10.00 %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94"/>
              <w:spacing w:after="0"/>
              <w:rPr>
                <w:sz w:val="20"/>
                <w:szCs w:val="20"/>
                <w:color w:val="auto"/>
              </w:rPr>
            </w:pPr>
            <w:r>
              <w:rPr>
                <w:rFonts w:ascii="Arial" w:cs="Arial" w:eastAsia="Arial" w:hAnsi="Arial"/>
                <w:sz w:val="13"/>
                <w:szCs w:val="13"/>
                <w:color w:val="auto"/>
              </w:rPr>
              <w:t>1</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10.50 %</w:t>
            </w:r>
          </w:p>
        </w:tc>
      </w:tr>
      <w:tr>
        <w:trPr>
          <w:trHeight w:val="180"/>
        </w:trPr>
        <w:tc>
          <w:tcPr>
            <w:tcW w:w="2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3"/>
                <w:szCs w:val="13"/>
                <w:color w:val="auto"/>
                <w:w w:val="98"/>
              </w:rPr>
              <w:t>Tier</w:t>
            </w:r>
          </w:p>
        </w:tc>
        <w:tc>
          <w:tcPr>
            <w:tcW w:w="3060" w:type="dxa"/>
            <w:vAlign w:val="bottom"/>
            <w:gridSpan w:val="4"/>
          </w:tcPr>
          <w:p>
            <w:pPr>
              <w:ind w:left="20"/>
              <w:spacing w:after="0"/>
              <w:rPr>
                <w:sz w:val="20"/>
                <w:szCs w:val="20"/>
                <w:color w:val="auto"/>
              </w:rPr>
            </w:pPr>
            <w:r>
              <w:rPr>
                <w:rFonts w:ascii="Arial" w:cs="Arial" w:eastAsia="Arial" w:hAnsi="Arial"/>
                <w:sz w:val="13"/>
                <w:szCs w:val="13"/>
                <w:color w:val="auto"/>
              </w:rPr>
              <w:t>1 Capital (to Risk-Weighted Assets)</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137,314</w:t>
            </w:r>
          </w:p>
        </w:tc>
        <w:tc>
          <w:tcPr>
            <w:tcW w:w="780" w:type="dxa"/>
            <w:vAlign w:val="bottom"/>
          </w:tcPr>
          <w:p>
            <w:pPr>
              <w:jc w:val="right"/>
              <w:spacing w:after="0"/>
              <w:rPr>
                <w:sz w:val="20"/>
                <w:szCs w:val="20"/>
                <w:color w:val="auto"/>
              </w:rPr>
            </w:pPr>
            <w:r>
              <w:rPr>
                <w:rFonts w:ascii="Arial" w:cs="Arial" w:eastAsia="Arial" w:hAnsi="Arial"/>
                <w:sz w:val="13"/>
                <w:szCs w:val="13"/>
                <w:color w:val="auto"/>
              </w:rPr>
              <w:t>14.16 %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140"/>
              <w:spacing w:after="0"/>
              <w:rPr>
                <w:sz w:val="20"/>
                <w:szCs w:val="20"/>
                <w:color w:val="auto"/>
              </w:rPr>
            </w:pPr>
            <w:r>
              <w:rPr>
                <w:rFonts w:ascii="Arial" w:cs="Arial" w:eastAsia="Arial" w:hAnsi="Arial"/>
                <w:sz w:val="13"/>
                <w:szCs w:val="13"/>
                <w:color w:val="auto"/>
              </w:rPr>
              <w:t>58,200</w:t>
            </w:r>
          </w:p>
        </w:tc>
        <w:tc>
          <w:tcPr>
            <w:tcW w:w="840" w:type="dxa"/>
            <w:vAlign w:val="bottom"/>
          </w:tcPr>
          <w:p>
            <w:pPr>
              <w:jc w:val="right"/>
              <w:spacing w:after="0"/>
              <w:rPr>
                <w:sz w:val="20"/>
                <w:szCs w:val="20"/>
                <w:color w:val="auto"/>
              </w:rPr>
            </w:pPr>
            <w:r>
              <w:rPr>
                <w:rFonts w:ascii="Arial" w:cs="Arial" w:eastAsia="Arial" w:hAnsi="Arial"/>
                <w:sz w:val="13"/>
                <w:szCs w:val="13"/>
                <w:color w:val="auto"/>
              </w:rPr>
              <w:t>6.00 %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4"/>
              <w:spacing w:after="0"/>
              <w:rPr>
                <w:sz w:val="20"/>
                <w:szCs w:val="20"/>
                <w:color w:val="auto"/>
              </w:rPr>
            </w:pPr>
            <w:r>
              <w:rPr>
                <w:rFonts w:ascii="Arial" w:cs="Arial" w:eastAsia="Arial" w:hAnsi="Arial"/>
                <w:sz w:val="13"/>
                <w:szCs w:val="13"/>
                <w:color w:val="auto"/>
              </w:rPr>
              <w:t>77,601</w:t>
            </w:r>
          </w:p>
        </w:tc>
        <w:tc>
          <w:tcPr>
            <w:tcW w:w="800" w:type="dxa"/>
            <w:vAlign w:val="bottom"/>
          </w:tcPr>
          <w:p>
            <w:pPr>
              <w:jc w:val="right"/>
              <w:spacing w:after="0"/>
              <w:rPr>
                <w:sz w:val="20"/>
                <w:szCs w:val="20"/>
                <w:color w:val="auto"/>
              </w:rPr>
            </w:pPr>
            <w:r>
              <w:rPr>
                <w:rFonts w:ascii="Arial" w:cs="Arial" w:eastAsia="Arial" w:hAnsi="Arial"/>
                <w:sz w:val="13"/>
                <w:szCs w:val="13"/>
                <w:color w:val="auto"/>
              </w:rPr>
              <w:t>8.00 %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4"/>
              <w:spacing w:after="0"/>
              <w:rPr>
                <w:sz w:val="20"/>
                <w:szCs w:val="20"/>
                <w:color w:val="auto"/>
              </w:rPr>
            </w:pPr>
            <w:r>
              <w:rPr>
                <w:rFonts w:ascii="Arial" w:cs="Arial" w:eastAsia="Arial" w:hAnsi="Arial"/>
                <w:sz w:val="13"/>
                <w:szCs w:val="13"/>
                <w:color w:val="auto"/>
              </w:rPr>
              <w:t>82,451</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8.50 %</w:t>
            </w:r>
          </w:p>
        </w:tc>
      </w:tr>
      <w:tr>
        <w:trPr>
          <w:trHeight w:val="180"/>
        </w:trPr>
        <w:tc>
          <w:tcPr>
            <w:tcW w:w="2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3"/>
                <w:szCs w:val="13"/>
                <w:color w:val="auto"/>
                <w:w w:val="98"/>
              </w:rPr>
              <w:t>Tier</w:t>
            </w:r>
          </w:p>
        </w:tc>
        <w:tc>
          <w:tcPr>
            <w:tcW w:w="3060" w:type="dxa"/>
            <w:vAlign w:val="bottom"/>
            <w:gridSpan w:val="4"/>
          </w:tcPr>
          <w:p>
            <w:pPr>
              <w:ind w:left="20"/>
              <w:spacing w:after="0"/>
              <w:rPr>
                <w:sz w:val="20"/>
                <w:szCs w:val="20"/>
                <w:color w:val="auto"/>
              </w:rPr>
            </w:pPr>
            <w:r>
              <w:rPr>
                <w:rFonts w:ascii="Arial" w:cs="Arial" w:eastAsia="Arial" w:hAnsi="Arial"/>
                <w:sz w:val="13"/>
                <w:szCs w:val="13"/>
                <w:color w:val="auto"/>
              </w:rPr>
              <w:t>1 Common Equity (to Risk-Weighted Assets)</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137,314</w:t>
            </w:r>
          </w:p>
        </w:tc>
        <w:tc>
          <w:tcPr>
            <w:tcW w:w="780" w:type="dxa"/>
            <w:vAlign w:val="bottom"/>
          </w:tcPr>
          <w:p>
            <w:pPr>
              <w:jc w:val="right"/>
              <w:spacing w:after="0"/>
              <w:rPr>
                <w:sz w:val="20"/>
                <w:szCs w:val="20"/>
                <w:color w:val="auto"/>
              </w:rPr>
            </w:pPr>
            <w:r>
              <w:rPr>
                <w:rFonts w:ascii="Arial" w:cs="Arial" w:eastAsia="Arial" w:hAnsi="Arial"/>
                <w:sz w:val="13"/>
                <w:szCs w:val="13"/>
                <w:color w:val="auto"/>
              </w:rPr>
              <w:t>14.16 %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140"/>
              <w:spacing w:after="0"/>
              <w:rPr>
                <w:sz w:val="20"/>
                <w:szCs w:val="20"/>
                <w:color w:val="auto"/>
              </w:rPr>
            </w:pPr>
            <w:r>
              <w:rPr>
                <w:rFonts w:ascii="Arial" w:cs="Arial" w:eastAsia="Arial" w:hAnsi="Arial"/>
                <w:sz w:val="13"/>
                <w:szCs w:val="13"/>
                <w:color w:val="auto"/>
              </w:rPr>
              <w:t>43,650</w:t>
            </w:r>
          </w:p>
        </w:tc>
        <w:tc>
          <w:tcPr>
            <w:tcW w:w="840" w:type="dxa"/>
            <w:vAlign w:val="bottom"/>
          </w:tcPr>
          <w:p>
            <w:pPr>
              <w:jc w:val="right"/>
              <w:spacing w:after="0"/>
              <w:rPr>
                <w:sz w:val="20"/>
                <w:szCs w:val="20"/>
                <w:color w:val="auto"/>
              </w:rPr>
            </w:pPr>
            <w:r>
              <w:rPr>
                <w:rFonts w:ascii="Arial" w:cs="Arial" w:eastAsia="Arial" w:hAnsi="Arial"/>
                <w:sz w:val="13"/>
                <w:szCs w:val="13"/>
                <w:color w:val="auto"/>
              </w:rPr>
              <w:t>4.50 %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4"/>
              <w:spacing w:after="0"/>
              <w:rPr>
                <w:sz w:val="20"/>
                <w:szCs w:val="20"/>
                <w:color w:val="auto"/>
              </w:rPr>
            </w:pPr>
            <w:r>
              <w:rPr>
                <w:rFonts w:ascii="Arial" w:cs="Arial" w:eastAsia="Arial" w:hAnsi="Arial"/>
                <w:sz w:val="13"/>
                <w:szCs w:val="13"/>
                <w:color w:val="auto"/>
              </w:rPr>
              <w:t>63,050</w:t>
            </w:r>
          </w:p>
        </w:tc>
        <w:tc>
          <w:tcPr>
            <w:tcW w:w="800" w:type="dxa"/>
            <w:vAlign w:val="bottom"/>
          </w:tcPr>
          <w:p>
            <w:pPr>
              <w:jc w:val="right"/>
              <w:spacing w:after="0"/>
              <w:rPr>
                <w:sz w:val="20"/>
                <w:szCs w:val="20"/>
                <w:color w:val="auto"/>
              </w:rPr>
            </w:pPr>
            <w:r>
              <w:rPr>
                <w:rFonts w:ascii="Arial" w:cs="Arial" w:eastAsia="Arial" w:hAnsi="Arial"/>
                <w:sz w:val="13"/>
                <w:szCs w:val="13"/>
                <w:color w:val="auto"/>
              </w:rPr>
              <w:t>6.50 %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4"/>
              <w:spacing w:after="0"/>
              <w:rPr>
                <w:sz w:val="20"/>
                <w:szCs w:val="20"/>
                <w:color w:val="auto"/>
              </w:rPr>
            </w:pPr>
            <w:r>
              <w:rPr>
                <w:rFonts w:ascii="Arial" w:cs="Arial" w:eastAsia="Arial" w:hAnsi="Arial"/>
                <w:sz w:val="13"/>
                <w:szCs w:val="13"/>
                <w:color w:val="auto"/>
              </w:rPr>
              <w:t>67,900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7.00 %</w:t>
            </w:r>
          </w:p>
        </w:tc>
      </w:tr>
      <w:tr>
        <w:trPr>
          <w:trHeight w:val="180"/>
        </w:trPr>
        <w:tc>
          <w:tcPr>
            <w:tcW w:w="2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3"/>
                <w:szCs w:val="13"/>
                <w:color w:val="auto"/>
                <w:w w:val="98"/>
              </w:rPr>
              <w:t>Tier</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1</w:t>
            </w:r>
          </w:p>
        </w:tc>
        <w:tc>
          <w:tcPr>
            <w:tcW w:w="2960" w:type="dxa"/>
            <w:vAlign w:val="bottom"/>
            <w:gridSpan w:val="3"/>
          </w:tcPr>
          <w:p>
            <w:pPr>
              <w:ind w:left="20"/>
              <w:spacing w:after="0"/>
              <w:rPr>
                <w:sz w:val="20"/>
                <w:szCs w:val="20"/>
                <w:color w:val="auto"/>
              </w:rPr>
            </w:pPr>
            <w:r>
              <w:rPr>
                <w:rFonts w:ascii="Arial" w:cs="Arial" w:eastAsia="Arial" w:hAnsi="Arial"/>
                <w:sz w:val="13"/>
                <w:szCs w:val="13"/>
                <w:color w:val="auto"/>
              </w:rPr>
              <w:t>Capital (to Assets)</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137,314</w:t>
            </w:r>
          </w:p>
        </w:tc>
        <w:tc>
          <w:tcPr>
            <w:tcW w:w="780" w:type="dxa"/>
            <w:vAlign w:val="bottom"/>
          </w:tcPr>
          <w:p>
            <w:pPr>
              <w:jc w:val="right"/>
              <w:spacing w:after="0"/>
              <w:rPr>
                <w:sz w:val="20"/>
                <w:szCs w:val="20"/>
                <w:color w:val="auto"/>
              </w:rPr>
            </w:pPr>
            <w:r>
              <w:rPr>
                <w:rFonts w:ascii="Arial" w:cs="Arial" w:eastAsia="Arial" w:hAnsi="Arial"/>
                <w:sz w:val="13"/>
                <w:szCs w:val="13"/>
                <w:color w:val="auto"/>
              </w:rPr>
              <w:t>9.94 %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140"/>
              <w:spacing w:after="0"/>
              <w:rPr>
                <w:sz w:val="20"/>
                <w:szCs w:val="20"/>
                <w:color w:val="auto"/>
              </w:rPr>
            </w:pPr>
            <w:r>
              <w:rPr>
                <w:rFonts w:ascii="Arial" w:cs="Arial" w:eastAsia="Arial" w:hAnsi="Arial"/>
                <w:sz w:val="13"/>
                <w:szCs w:val="13"/>
                <w:color w:val="auto"/>
              </w:rPr>
              <w:t>55,282</w:t>
            </w:r>
          </w:p>
        </w:tc>
        <w:tc>
          <w:tcPr>
            <w:tcW w:w="840" w:type="dxa"/>
            <w:vAlign w:val="bottom"/>
          </w:tcPr>
          <w:p>
            <w:pPr>
              <w:jc w:val="right"/>
              <w:spacing w:after="0"/>
              <w:rPr>
                <w:sz w:val="20"/>
                <w:szCs w:val="20"/>
                <w:color w:val="auto"/>
              </w:rPr>
            </w:pPr>
            <w:r>
              <w:rPr>
                <w:rFonts w:ascii="Arial" w:cs="Arial" w:eastAsia="Arial" w:hAnsi="Arial"/>
                <w:sz w:val="13"/>
                <w:szCs w:val="13"/>
                <w:color w:val="auto"/>
              </w:rPr>
              <w:t>4.00 %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4"/>
              <w:spacing w:after="0"/>
              <w:rPr>
                <w:sz w:val="20"/>
                <w:szCs w:val="20"/>
                <w:color w:val="auto"/>
              </w:rPr>
            </w:pPr>
            <w:r>
              <w:rPr>
                <w:rFonts w:ascii="Arial" w:cs="Arial" w:eastAsia="Arial" w:hAnsi="Arial"/>
                <w:sz w:val="13"/>
                <w:szCs w:val="13"/>
                <w:color w:val="auto"/>
              </w:rPr>
              <w:t>69,103</w:t>
            </w:r>
          </w:p>
        </w:tc>
        <w:tc>
          <w:tcPr>
            <w:tcW w:w="800" w:type="dxa"/>
            <w:vAlign w:val="bottom"/>
          </w:tcPr>
          <w:p>
            <w:pPr>
              <w:jc w:val="right"/>
              <w:spacing w:after="0"/>
              <w:rPr>
                <w:sz w:val="20"/>
                <w:szCs w:val="20"/>
                <w:color w:val="auto"/>
              </w:rPr>
            </w:pPr>
            <w:r>
              <w:rPr>
                <w:rFonts w:ascii="Arial" w:cs="Arial" w:eastAsia="Arial" w:hAnsi="Arial"/>
                <w:sz w:val="13"/>
                <w:szCs w:val="13"/>
                <w:color w:val="auto"/>
              </w:rPr>
              <w:t>5.00 %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4"/>
              <w:spacing w:after="0"/>
              <w:rPr>
                <w:sz w:val="20"/>
                <w:szCs w:val="20"/>
                <w:color w:val="auto"/>
              </w:rPr>
            </w:pPr>
            <w:r>
              <w:rPr>
                <w:rFonts w:ascii="Arial" w:cs="Arial" w:eastAsia="Arial" w:hAnsi="Arial"/>
                <w:sz w:val="13"/>
                <w:szCs w:val="13"/>
                <w:color w:val="auto"/>
              </w:rPr>
              <w:t>69,103</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5.00 %</w:t>
            </w:r>
          </w:p>
        </w:tc>
      </w:tr>
      <w:tr>
        <w:trPr>
          <w:trHeight w:val="154"/>
        </w:trPr>
        <w:tc>
          <w:tcPr>
            <w:tcW w:w="3400" w:type="dxa"/>
            <w:vAlign w:val="bottom"/>
            <w:gridSpan w:val="6"/>
          </w:tcPr>
          <w:p>
            <w:pPr>
              <w:ind w:left="20"/>
              <w:spacing w:after="0"/>
              <w:rPr>
                <w:sz w:val="20"/>
                <w:szCs w:val="20"/>
                <w:color w:val="auto"/>
              </w:rPr>
            </w:pPr>
            <w:r>
              <w:rPr>
                <w:rFonts w:ascii="Arial" w:cs="Arial" w:eastAsia="Arial" w:hAnsi="Arial"/>
                <w:sz w:val="13"/>
                <w:szCs w:val="13"/>
                <w:color w:val="auto"/>
              </w:rPr>
              <w:t>As of December 31, 2022</w:t>
            </w: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14"/>
              <w:spacing w:after="0"/>
              <w:rPr>
                <w:sz w:val="20"/>
                <w:szCs w:val="20"/>
                <w:color w:val="auto"/>
              </w:rPr>
            </w:pPr>
            <w:r>
              <w:rPr>
                <w:rFonts w:ascii="Arial" w:cs="Arial" w:eastAsia="Arial" w:hAnsi="Arial"/>
                <w:sz w:val="13"/>
                <w:szCs w:val="13"/>
                <w:color w:val="auto"/>
              </w:rPr>
              <w:t>101,10</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3380" w:type="dxa"/>
            <w:vAlign w:val="bottom"/>
            <w:gridSpan w:val="5"/>
          </w:tcPr>
          <w:p>
            <w:pPr>
              <w:ind w:left="80"/>
              <w:spacing w:after="0"/>
              <w:rPr>
                <w:sz w:val="20"/>
                <w:szCs w:val="20"/>
                <w:color w:val="auto"/>
              </w:rPr>
            </w:pPr>
            <w:r>
              <w:rPr>
                <w:rFonts w:ascii="Arial" w:cs="Arial" w:eastAsia="Arial" w:hAnsi="Arial"/>
                <w:sz w:val="13"/>
                <w:szCs w:val="13"/>
                <w:color w:val="auto"/>
              </w:rPr>
              <w:t>Total Core Capital (to Risk-Weighted Assets)</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145,760</w:t>
            </w:r>
          </w:p>
        </w:tc>
        <w:tc>
          <w:tcPr>
            <w:tcW w:w="780" w:type="dxa"/>
            <w:vAlign w:val="bottom"/>
          </w:tcPr>
          <w:p>
            <w:pPr>
              <w:jc w:val="right"/>
              <w:spacing w:after="0"/>
              <w:rPr>
                <w:sz w:val="20"/>
                <w:szCs w:val="20"/>
                <w:color w:val="auto"/>
              </w:rPr>
            </w:pPr>
            <w:r>
              <w:rPr>
                <w:rFonts w:ascii="Arial" w:cs="Arial" w:eastAsia="Arial" w:hAnsi="Arial"/>
                <w:sz w:val="13"/>
                <w:szCs w:val="13"/>
                <w:color w:val="auto"/>
              </w:rPr>
              <w:t>15.14 %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140"/>
              <w:spacing w:after="0"/>
              <w:rPr>
                <w:sz w:val="20"/>
                <w:szCs w:val="20"/>
                <w:color w:val="auto"/>
              </w:rPr>
            </w:pPr>
            <w:r>
              <w:rPr>
                <w:rFonts w:ascii="Arial" w:cs="Arial" w:eastAsia="Arial" w:hAnsi="Arial"/>
                <w:sz w:val="13"/>
                <w:szCs w:val="13"/>
                <w:color w:val="auto"/>
              </w:rPr>
              <w:t>77,029</w:t>
            </w:r>
          </w:p>
        </w:tc>
        <w:tc>
          <w:tcPr>
            <w:tcW w:w="840" w:type="dxa"/>
            <w:vAlign w:val="bottom"/>
          </w:tcPr>
          <w:p>
            <w:pPr>
              <w:jc w:val="right"/>
              <w:spacing w:after="0"/>
              <w:rPr>
                <w:sz w:val="20"/>
                <w:szCs w:val="20"/>
                <w:color w:val="auto"/>
              </w:rPr>
            </w:pPr>
            <w:r>
              <w:rPr>
                <w:rFonts w:ascii="Arial" w:cs="Arial" w:eastAsia="Arial" w:hAnsi="Arial"/>
                <w:sz w:val="13"/>
                <w:szCs w:val="13"/>
                <w:color w:val="auto"/>
              </w:rPr>
              <w:t>8.00 %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4"/>
              <w:spacing w:after="0"/>
              <w:rPr>
                <w:sz w:val="20"/>
                <w:szCs w:val="20"/>
                <w:color w:val="auto"/>
              </w:rPr>
            </w:pPr>
            <w:r>
              <w:rPr>
                <w:rFonts w:ascii="Arial" w:cs="Arial" w:eastAsia="Arial" w:hAnsi="Arial"/>
                <w:sz w:val="13"/>
                <w:szCs w:val="13"/>
                <w:color w:val="auto"/>
              </w:rPr>
              <w:t>96,286</w:t>
            </w:r>
          </w:p>
        </w:tc>
        <w:tc>
          <w:tcPr>
            <w:tcW w:w="800" w:type="dxa"/>
            <w:vAlign w:val="bottom"/>
          </w:tcPr>
          <w:p>
            <w:pPr>
              <w:jc w:val="right"/>
              <w:spacing w:after="0"/>
              <w:rPr>
                <w:sz w:val="20"/>
                <w:szCs w:val="20"/>
                <w:color w:val="auto"/>
              </w:rPr>
            </w:pPr>
            <w:r>
              <w:rPr>
                <w:rFonts w:ascii="Arial" w:cs="Arial" w:eastAsia="Arial" w:hAnsi="Arial"/>
                <w:sz w:val="13"/>
                <w:szCs w:val="13"/>
                <w:color w:val="auto"/>
              </w:rPr>
              <w:t>10.00 %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94"/>
              <w:spacing w:after="0"/>
              <w:rPr>
                <w:sz w:val="20"/>
                <w:szCs w:val="20"/>
                <w:color w:val="auto"/>
              </w:rPr>
            </w:pPr>
            <w:r>
              <w:rPr>
                <w:rFonts w:ascii="Arial" w:cs="Arial" w:eastAsia="Arial" w:hAnsi="Arial"/>
                <w:sz w:val="13"/>
                <w:szCs w:val="13"/>
                <w:color w:val="auto"/>
              </w:rPr>
              <w:t>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10.50 %</w:t>
            </w:r>
          </w:p>
        </w:tc>
      </w:tr>
      <w:tr>
        <w:trPr>
          <w:trHeight w:val="180"/>
        </w:trPr>
        <w:tc>
          <w:tcPr>
            <w:tcW w:w="20" w:type="dxa"/>
            <w:vAlign w:val="bottom"/>
          </w:tcPr>
          <w:p>
            <w:pPr>
              <w:spacing w:after="0"/>
              <w:rPr>
                <w:sz w:val="15"/>
                <w:szCs w:val="15"/>
                <w:color w:val="auto"/>
              </w:rPr>
            </w:pPr>
          </w:p>
        </w:tc>
        <w:tc>
          <w:tcPr>
            <w:tcW w:w="420" w:type="dxa"/>
            <w:vAlign w:val="bottom"/>
            <w:gridSpan w:val="2"/>
          </w:tcPr>
          <w:p>
            <w:pPr>
              <w:ind w:left="80"/>
              <w:spacing w:after="0"/>
              <w:rPr>
                <w:sz w:val="20"/>
                <w:szCs w:val="20"/>
                <w:color w:val="auto"/>
              </w:rPr>
            </w:pPr>
            <w:r>
              <w:rPr>
                <w:rFonts w:ascii="Arial" w:cs="Arial" w:eastAsia="Arial" w:hAnsi="Arial"/>
                <w:sz w:val="13"/>
                <w:szCs w:val="13"/>
                <w:color w:val="auto"/>
                <w:w w:val="96"/>
              </w:rPr>
              <w:t>Tier 1</w:t>
            </w:r>
          </w:p>
        </w:tc>
        <w:tc>
          <w:tcPr>
            <w:tcW w:w="2960" w:type="dxa"/>
            <w:vAlign w:val="bottom"/>
            <w:gridSpan w:val="3"/>
          </w:tcPr>
          <w:p>
            <w:pPr>
              <w:ind w:left="20"/>
              <w:spacing w:after="0"/>
              <w:rPr>
                <w:sz w:val="20"/>
                <w:szCs w:val="20"/>
                <w:color w:val="auto"/>
              </w:rPr>
            </w:pPr>
            <w:r>
              <w:rPr>
                <w:rFonts w:ascii="Arial" w:cs="Arial" w:eastAsia="Arial" w:hAnsi="Arial"/>
                <w:sz w:val="13"/>
                <w:szCs w:val="13"/>
                <w:color w:val="auto"/>
              </w:rPr>
              <w:t>Capital (to Risk-Weighted Assets)</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133,683</w:t>
            </w:r>
          </w:p>
        </w:tc>
        <w:tc>
          <w:tcPr>
            <w:tcW w:w="780" w:type="dxa"/>
            <w:vAlign w:val="bottom"/>
          </w:tcPr>
          <w:p>
            <w:pPr>
              <w:jc w:val="right"/>
              <w:spacing w:after="0"/>
              <w:rPr>
                <w:sz w:val="20"/>
                <w:szCs w:val="20"/>
                <w:color w:val="auto"/>
              </w:rPr>
            </w:pPr>
            <w:r>
              <w:rPr>
                <w:rFonts w:ascii="Arial" w:cs="Arial" w:eastAsia="Arial" w:hAnsi="Arial"/>
                <w:sz w:val="13"/>
                <w:szCs w:val="13"/>
                <w:color w:val="auto"/>
              </w:rPr>
              <w:t>13.88 %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140"/>
              <w:spacing w:after="0"/>
              <w:rPr>
                <w:sz w:val="20"/>
                <w:szCs w:val="20"/>
                <w:color w:val="auto"/>
              </w:rPr>
            </w:pPr>
            <w:r>
              <w:rPr>
                <w:rFonts w:ascii="Arial" w:cs="Arial" w:eastAsia="Arial" w:hAnsi="Arial"/>
                <w:sz w:val="13"/>
                <w:szCs w:val="13"/>
                <w:color w:val="auto"/>
              </w:rPr>
              <w:t>57,772</w:t>
            </w:r>
          </w:p>
        </w:tc>
        <w:tc>
          <w:tcPr>
            <w:tcW w:w="840" w:type="dxa"/>
            <w:vAlign w:val="bottom"/>
          </w:tcPr>
          <w:p>
            <w:pPr>
              <w:jc w:val="right"/>
              <w:spacing w:after="0"/>
              <w:rPr>
                <w:sz w:val="20"/>
                <w:szCs w:val="20"/>
                <w:color w:val="auto"/>
              </w:rPr>
            </w:pPr>
            <w:r>
              <w:rPr>
                <w:rFonts w:ascii="Arial" w:cs="Arial" w:eastAsia="Arial" w:hAnsi="Arial"/>
                <w:sz w:val="13"/>
                <w:szCs w:val="13"/>
                <w:color w:val="auto"/>
              </w:rPr>
              <w:t>6.00 %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4"/>
              <w:spacing w:after="0"/>
              <w:rPr>
                <w:sz w:val="20"/>
                <w:szCs w:val="20"/>
                <w:color w:val="auto"/>
              </w:rPr>
            </w:pPr>
            <w:r>
              <w:rPr>
                <w:rFonts w:ascii="Arial" w:cs="Arial" w:eastAsia="Arial" w:hAnsi="Arial"/>
                <w:sz w:val="13"/>
                <w:szCs w:val="13"/>
                <w:color w:val="auto"/>
              </w:rPr>
              <w:t>77,029</w:t>
            </w:r>
          </w:p>
        </w:tc>
        <w:tc>
          <w:tcPr>
            <w:tcW w:w="800" w:type="dxa"/>
            <w:vAlign w:val="bottom"/>
          </w:tcPr>
          <w:p>
            <w:pPr>
              <w:jc w:val="right"/>
              <w:spacing w:after="0"/>
              <w:rPr>
                <w:sz w:val="20"/>
                <w:szCs w:val="20"/>
                <w:color w:val="auto"/>
              </w:rPr>
            </w:pPr>
            <w:r>
              <w:rPr>
                <w:rFonts w:ascii="Arial" w:cs="Arial" w:eastAsia="Arial" w:hAnsi="Arial"/>
                <w:sz w:val="13"/>
                <w:szCs w:val="13"/>
                <w:color w:val="auto"/>
              </w:rPr>
              <w:t>8.00 %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4"/>
              <w:spacing w:after="0"/>
              <w:rPr>
                <w:sz w:val="20"/>
                <w:szCs w:val="20"/>
                <w:color w:val="auto"/>
              </w:rPr>
            </w:pPr>
            <w:r>
              <w:rPr>
                <w:rFonts w:ascii="Arial" w:cs="Arial" w:eastAsia="Arial" w:hAnsi="Arial"/>
                <w:sz w:val="13"/>
                <w:szCs w:val="13"/>
                <w:color w:val="auto"/>
              </w:rPr>
              <w:t>81,843</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8.50 %</w:t>
            </w:r>
          </w:p>
        </w:tc>
      </w:tr>
      <w:tr>
        <w:trPr>
          <w:trHeight w:val="180"/>
        </w:trPr>
        <w:tc>
          <w:tcPr>
            <w:tcW w:w="20" w:type="dxa"/>
            <w:vAlign w:val="bottom"/>
          </w:tcPr>
          <w:p>
            <w:pPr>
              <w:spacing w:after="0"/>
              <w:rPr>
                <w:sz w:val="15"/>
                <w:szCs w:val="15"/>
                <w:color w:val="auto"/>
              </w:rPr>
            </w:pPr>
          </w:p>
        </w:tc>
        <w:tc>
          <w:tcPr>
            <w:tcW w:w="420" w:type="dxa"/>
            <w:vAlign w:val="bottom"/>
            <w:gridSpan w:val="2"/>
          </w:tcPr>
          <w:p>
            <w:pPr>
              <w:ind w:left="80"/>
              <w:spacing w:after="0"/>
              <w:rPr>
                <w:sz w:val="20"/>
                <w:szCs w:val="20"/>
                <w:color w:val="auto"/>
              </w:rPr>
            </w:pPr>
            <w:r>
              <w:rPr>
                <w:rFonts w:ascii="Arial" w:cs="Arial" w:eastAsia="Arial" w:hAnsi="Arial"/>
                <w:sz w:val="13"/>
                <w:szCs w:val="13"/>
                <w:color w:val="auto"/>
                <w:w w:val="96"/>
              </w:rPr>
              <w:t>Tier 1</w:t>
            </w:r>
          </w:p>
        </w:tc>
        <w:tc>
          <w:tcPr>
            <w:tcW w:w="2960" w:type="dxa"/>
            <w:vAlign w:val="bottom"/>
            <w:gridSpan w:val="3"/>
          </w:tcPr>
          <w:p>
            <w:pPr>
              <w:ind w:left="20"/>
              <w:spacing w:after="0"/>
              <w:rPr>
                <w:sz w:val="20"/>
                <w:szCs w:val="20"/>
                <w:color w:val="auto"/>
              </w:rPr>
            </w:pPr>
            <w:r>
              <w:rPr>
                <w:rFonts w:ascii="Arial" w:cs="Arial" w:eastAsia="Arial" w:hAnsi="Arial"/>
                <w:sz w:val="13"/>
                <w:szCs w:val="13"/>
                <w:color w:val="auto"/>
              </w:rPr>
              <w:t>Common Equity (to Risk-Weighted Assets)</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133,683</w:t>
            </w:r>
          </w:p>
        </w:tc>
        <w:tc>
          <w:tcPr>
            <w:tcW w:w="780" w:type="dxa"/>
            <w:vAlign w:val="bottom"/>
          </w:tcPr>
          <w:p>
            <w:pPr>
              <w:jc w:val="right"/>
              <w:spacing w:after="0"/>
              <w:rPr>
                <w:sz w:val="20"/>
                <w:szCs w:val="20"/>
                <w:color w:val="auto"/>
              </w:rPr>
            </w:pPr>
            <w:r>
              <w:rPr>
                <w:rFonts w:ascii="Arial" w:cs="Arial" w:eastAsia="Arial" w:hAnsi="Arial"/>
                <w:sz w:val="13"/>
                <w:szCs w:val="13"/>
                <w:color w:val="auto"/>
              </w:rPr>
              <w:t>13.88 %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140"/>
              <w:spacing w:after="0"/>
              <w:rPr>
                <w:sz w:val="20"/>
                <w:szCs w:val="20"/>
                <w:color w:val="auto"/>
              </w:rPr>
            </w:pPr>
            <w:r>
              <w:rPr>
                <w:rFonts w:ascii="Arial" w:cs="Arial" w:eastAsia="Arial" w:hAnsi="Arial"/>
                <w:sz w:val="13"/>
                <w:szCs w:val="13"/>
                <w:color w:val="auto"/>
              </w:rPr>
              <w:t>43,329</w:t>
            </w:r>
          </w:p>
        </w:tc>
        <w:tc>
          <w:tcPr>
            <w:tcW w:w="840" w:type="dxa"/>
            <w:vAlign w:val="bottom"/>
          </w:tcPr>
          <w:p>
            <w:pPr>
              <w:jc w:val="right"/>
              <w:spacing w:after="0"/>
              <w:rPr>
                <w:sz w:val="20"/>
                <w:szCs w:val="20"/>
                <w:color w:val="auto"/>
              </w:rPr>
            </w:pPr>
            <w:r>
              <w:rPr>
                <w:rFonts w:ascii="Arial" w:cs="Arial" w:eastAsia="Arial" w:hAnsi="Arial"/>
                <w:sz w:val="13"/>
                <w:szCs w:val="13"/>
                <w:color w:val="auto"/>
              </w:rPr>
              <w:t>4.50 %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4"/>
              <w:spacing w:after="0"/>
              <w:rPr>
                <w:sz w:val="20"/>
                <w:szCs w:val="20"/>
                <w:color w:val="auto"/>
              </w:rPr>
            </w:pPr>
            <w:r>
              <w:rPr>
                <w:rFonts w:ascii="Arial" w:cs="Arial" w:eastAsia="Arial" w:hAnsi="Arial"/>
                <w:sz w:val="13"/>
                <w:szCs w:val="13"/>
                <w:color w:val="auto"/>
              </w:rPr>
              <w:t>62,586</w:t>
            </w:r>
          </w:p>
        </w:tc>
        <w:tc>
          <w:tcPr>
            <w:tcW w:w="800" w:type="dxa"/>
            <w:vAlign w:val="bottom"/>
          </w:tcPr>
          <w:p>
            <w:pPr>
              <w:jc w:val="right"/>
              <w:spacing w:after="0"/>
              <w:rPr>
                <w:sz w:val="20"/>
                <w:szCs w:val="20"/>
                <w:color w:val="auto"/>
              </w:rPr>
            </w:pPr>
            <w:r>
              <w:rPr>
                <w:rFonts w:ascii="Arial" w:cs="Arial" w:eastAsia="Arial" w:hAnsi="Arial"/>
                <w:sz w:val="13"/>
                <w:szCs w:val="13"/>
                <w:color w:val="auto"/>
              </w:rPr>
              <w:t>6.50 %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4"/>
              <w:spacing w:after="0"/>
              <w:rPr>
                <w:sz w:val="20"/>
                <w:szCs w:val="20"/>
                <w:color w:val="auto"/>
              </w:rPr>
            </w:pPr>
            <w:r>
              <w:rPr>
                <w:rFonts w:ascii="Arial" w:cs="Arial" w:eastAsia="Arial" w:hAnsi="Arial"/>
                <w:sz w:val="13"/>
                <w:szCs w:val="13"/>
                <w:color w:val="auto"/>
              </w:rPr>
              <w:t>67,400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7.00 %</w:t>
            </w:r>
          </w:p>
        </w:tc>
      </w:tr>
      <w:tr>
        <w:trPr>
          <w:trHeight w:val="180"/>
        </w:trPr>
        <w:tc>
          <w:tcPr>
            <w:tcW w:w="20" w:type="dxa"/>
            <w:vAlign w:val="bottom"/>
          </w:tcPr>
          <w:p>
            <w:pPr>
              <w:spacing w:after="0"/>
              <w:rPr>
                <w:sz w:val="15"/>
                <w:szCs w:val="15"/>
                <w:color w:val="auto"/>
              </w:rPr>
            </w:pPr>
          </w:p>
        </w:tc>
        <w:tc>
          <w:tcPr>
            <w:tcW w:w="420" w:type="dxa"/>
            <w:vAlign w:val="bottom"/>
            <w:gridSpan w:val="2"/>
          </w:tcPr>
          <w:p>
            <w:pPr>
              <w:ind w:left="80"/>
              <w:spacing w:after="0"/>
              <w:rPr>
                <w:sz w:val="20"/>
                <w:szCs w:val="20"/>
                <w:color w:val="auto"/>
              </w:rPr>
            </w:pPr>
            <w:r>
              <w:rPr>
                <w:rFonts w:ascii="Arial" w:cs="Arial" w:eastAsia="Arial" w:hAnsi="Arial"/>
                <w:sz w:val="13"/>
                <w:szCs w:val="13"/>
                <w:color w:val="auto"/>
                <w:w w:val="96"/>
              </w:rPr>
              <w:t>Tier 1</w:t>
            </w:r>
          </w:p>
        </w:tc>
        <w:tc>
          <w:tcPr>
            <w:tcW w:w="2960" w:type="dxa"/>
            <w:vAlign w:val="bottom"/>
            <w:gridSpan w:val="3"/>
          </w:tcPr>
          <w:p>
            <w:pPr>
              <w:ind w:left="20"/>
              <w:spacing w:after="0"/>
              <w:rPr>
                <w:sz w:val="20"/>
                <w:szCs w:val="20"/>
                <w:color w:val="auto"/>
              </w:rPr>
            </w:pPr>
            <w:r>
              <w:rPr>
                <w:rFonts w:ascii="Arial" w:cs="Arial" w:eastAsia="Arial" w:hAnsi="Arial"/>
                <w:sz w:val="13"/>
                <w:szCs w:val="13"/>
                <w:color w:val="auto"/>
              </w:rPr>
              <w:t>Capital (to Assets)</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94"/>
              <w:spacing w:after="0"/>
              <w:rPr>
                <w:sz w:val="20"/>
                <w:szCs w:val="20"/>
                <w:color w:val="auto"/>
              </w:rPr>
            </w:pPr>
            <w:r>
              <w:rPr>
                <w:rFonts w:ascii="Arial" w:cs="Arial" w:eastAsia="Arial" w:hAnsi="Arial"/>
                <w:sz w:val="13"/>
                <w:szCs w:val="13"/>
                <w:color w:val="auto"/>
              </w:rPr>
              <w:t>133,683</w:t>
            </w:r>
          </w:p>
        </w:tc>
        <w:tc>
          <w:tcPr>
            <w:tcW w:w="780" w:type="dxa"/>
            <w:vAlign w:val="bottom"/>
          </w:tcPr>
          <w:p>
            <w:pPr>
              <w:jc w:val="right"/>
              <w:spacing w:after="0"/>
              <w:rPr>
                <w:sz w:val="20"/>
                <w:szCs w:val="20"/>
                <w:color w:val="auto"/>
              </w:rPr>
            </w:pPr>
            <w:r>
              <w:rPr>
                <w:rFonts w:ascii="Arial" w:cs="Arial" w:eastAsia="Arial" w:hAnsi="Arial"/>
                <w:sz w:val="13"/>
                <w:szCs w:val="13"/>
                <w:color w:val="auto"/>
              </w:rPr>
              <w:t>9.67 %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ind w:left="140"/>
              <w:spacing w:after="0"/>
              <w:rPr>
                <w:sz w:val="20"/>
                <w:szCs w:val="20"/>
                <w:color w:val="auto"/>
              </w:rPr>
            </w:pPr>
            <w:r>
              <w:rPr>
                <w:rFonts w:ascii="Arial" w:cs="Arial" w:eastAsia="Arial" w:hAnsi="Arial"/>
                <w:sz w:val="13"/>
                <w:szCs w:val="13"/>
                <w:color w:val="auto"/>
              </w:rPr>
              <w:t>55,314</w:t>
            </w:r>
          </w:p>
        </w:tc>
        <w:tc>
          <w:tcPr>
            <w:tcW w:w="840" w:type="dxa"/>
            <w:vAlign w:val="bottom"/>
          </w:tcPr>
          <w:p>
            <w:pPr>
              <w:jc w:val="right"/>
              <w:spacing w:after="0"/>
              <w:rPr>
                <w:sz w:val="20"/>
                <w:szCs w:val="20"/>
                <w:color w:val="auto"/>
              </w:rPr>
            </w:pPr>
            <w:r>
              <w:rPr>
                <w:rFonts w:ascii="Arial" w:cs="Arial" w:eastAsia="Arial" w:hAnsi="Arial"/>
                <w:sz w:val="13"/>
                <w:szCs w:val="13"/>
                <w:color w:val="auto"/>
              </w:rPr>
              <w:t>4.00 %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14"/>
              <w:spacing w:after="0"/>
              <w:rPr>
                <w:sz w:val="20"/>
                <w:szCs w:val="20"/>
                <w:color w:val="auto"/>
              </w:rPr>
            </w:pPr>
            <w:r>
              <w:rPr>
                <w:rFonts w:ascii="Arial" w:cs="Arial" w:eastAsia="Arial" w:hAnsi="Arial"/>
                <w:sz w:val="13"/>
                <w:szCs w:val="13"/>
                <w:color w:val="auto"/>
              </w:rPr>
              <w:t>69,142</w:t>
            </w:r>
          </w:p>
        </w:tc>
        <w:tc>
          <w:tcPr>
            <w:tcW w:w="800" w:type="dxa"/>
            <w:vAlign w:val="bottom"/>
          </w:tcPr>
          <w:p>
            <w:pPr>
              <w:jc w:val="right"/>
              <w:spacing w:after="0"/>
              <w:rPr>
                <w:sz w:val="20"/>
                <w:szCs w:val="20"/>
                <w:color w:val="auto"/>
              </w:rPr>
            </w:pPr>
            <w:r>
              <w:rPr>
                <w:rFonts w:ascii="Arial" w:cs="Arial" w:eastAsia="Arial" w:hAnsi="Arial"/>
                <w:sz w:val="13"/>
                <w:szCs w:val="13"/>
                <w:color w:val="auto"/>
              </w:rPr>
              <w:t>5.00 %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4"/>
              <w:spacing w:after="0"/>
              <w:rPr>
                <w:sz w:val="20"/>
                <w:szCs w:val="20"/>
                <w:color w:val="auto"/>
              </w:rPr>
            </w:pPr>
            <w:r>
              <w:rPr>
                <w:rFonts w:ascii="Arial" w:cs="Arial" w:eastAsia="Arial" w:hAnsi="Arial"/>
                <w:sz w:val="13"/>
                <w:szCs w:val="13"/>
                <w:color w:val="auto"/>
              </w:rPr>
              <w:t>69,142</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5.00 %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-1006475</wp:posOffset>
            </wp:positionV>
            <wp:extent cx="6707505" cy="1143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-777875</wp:posOffset>
            </wp:positionV>
            <wp:extent cx="6707505" cy="1143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-549275</wp:posOffset>
            </wp:positionV>
            <wp:extent cx="6707505" cy="2133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07505" cy="2133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-221615</wp:posOffset>
            </wp:positionV>
            <wp:extent cx="6707505" cy="1143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3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Regulation G, a rule adopted by the Securities and Exchange Commission (SEC), applies to certain SEC filings, including earnings releases, made by registered companies that contain “non-GAAP financial measures.” GAAP is generally accepted accounting principles in the United States of America. Under Regulation G, companies making public disclosures containing non-GAAP financial measures must also disclose, along with each non-GAAP financial measure, certain additional information, including a reconciliation of the non-GAAP financial measure to the closest comparable GAAP financial measure (if a comparable GAAP measure exists) and a statement of the Company’s reasons for utilizing the non- GAAP financial measure as part of its financial disclosures. The SEC has exempted from the definition of “non -GAAP financial measures” certain commonly used financial measures that are not based on GAAP. When these exempted measures are included in public disclosures, supplemental information is not required. Financial institutions like the Company and its subsidiary bank are subject to an array of bank regulatory capital measures that are financial in nature but are not based on GAAP. The Company follows industry practice in disclosing its financial condition under these various regulatory capital measures, including period-end regulatory capital ratios for its subsidiary bank, in its periodic reports filed with the SEC. The Company provides, below, an explanation of the calculations, as supplemental information, for non-GAAP measures included in the consolidated annual financial statements. In addition, the Company provides a reconciliation of its subsidiary bank’s disclosed regulatory capital measures, below.</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64</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959" w:right="6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June 30,</w:t>
            </w:r>
          </w:p>
        </w:tc>
        <w:tc>
          <w:tcPr>
            <w:tcW w:w="44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December 31,</w:t>
            </w:r>
          </w:p>
        </w:tc>
        <w:tc>
          <w:tcPr>
            <w:tcW w:w="240" w:type="dxa"/>
            <w:vAlign w:val="bottom"/>
          </w:tcPr>
          <w:p>
            <w:pPr>
              <w:spacing w:after="0"/>
              <w:rPr>
                <w:sz w:val="15"/>
                <w:szCs w:val="15"/>
                <w:color w:val="auto"/>
              </w:rPr>
            </w:pPr>
          </w:p>
        </w:tc>
      </w:tr>
      <w:tr>
        <w:trPr>
          <w:trHeight w:val="195"/>
        </w:trPr>
        <w:tc>
          <w:tcPr>
            <w:tcW w:w="5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24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2023</w:t>
            </w:r>
          </w:p>
        </w:tc>
        <w:tc>
          <w:tcPr>
            <w:tcW w:w="4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2022</w:t>
            </w:r>
          </w:p>
        </w:tc>
        <w:tc>
          <w:tcPr>
            <w:tcW w:w="240" w:type="dxa"/>
            <w:vAlign w:val="bottom"/>
          </w:tcPr>
          <w:p>
            <w:pPr>
              <w:spacing w:after="0"/>
              <w:rPr>
                <w:sz w:val="16"/>
                <w:szCs w:val="16"/>
                <w:color w:val="auto"/>
              </w:rPr>
            </w:pPr>
          </w:p>
        </w:tc>
      </w:tr>
      <w:tr>
        <w:trPr>
          <w:trHeight w:val="195"/>
        </w:trPr>
        <w:tc>
          <w:tcPr>
            <w:tcW w:w="55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Regulatory Capital Ratios (Bank only)</w:t>
            </w:r>
          </w:p>
        </w:tc>
        <w:tc>
          <w:tcPr>
            <w:tcW w:w="2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r>
      <w:tr>
        <w:trPr>
          <w:trHeight w:val="192"/>
        </w:trPr>
        <w:tc>
          <w:tcPr>
            <w:tcW w:w="5520" w:type="dxa"/>
            <w:vAlign w:val="bottom"/>
          </w:tcPr>
          <w:p>
            <w:pPr>
              <w:ind w:left="20"/>
              <w:spacing w:after="0"/>
              <w:rPr>
                <w:sz w:val="20"/>
                <w:szCs w:val="20"/>
                <w:color w:val="auto"/>
              </w:rPr>
            </w:pPr>
            <w:r>
              <w:rPr>
                <w:rFonts w:ascii="Arial" w:cs="Arial" w:eastAsia="Arial" w:hAnsi="Arial"/>
                <w:sz w:val="14"/>
                <w:szCs w:val="14"/>
                <w:b w:val="1"/>
                <w:bCs w:val="1"/>
                <w:color w:val="auto"/>
              </w:rPr>
              <w:t>Total capital (to risk-weighted assets)</w:t>
            </w:r>
          </w:p>
        </w:tc>
        <w:tc>
          <w:tcPr>
            <w:tcW w:w="2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92"/>
        </w:trPr>
        <w:tc>
          <w:tcPr>
            <w:tcW w:w="5520" w:type="dxa"/>
            <w:vAlign w:val="bottom"/>
            <w:shd w:val="clear" w:color="auto" w:fill="CFF0FC"/>
          </w:tcPr>
          <w:p>
            <w:pPr>
              <w:ind w:left="60"/>
              <w:spacing w:after="0"/>
              <w:rPr>
                <w:sz w:val="20"/>
                <w:szCs w:val="20"/>
                <w:color w:val="auto"/>
              </w:rPr>
            </w:pPr>
            <w:r>
              <w:rPr>
                <w:rFonts w:ascii="Arial" w:cs="Arial" w:eastAsia="Arial" w:hAnsi="Arial"/>
                <w:sz w:val="14"/>
                <w:szCs w:val="14"/>
                <w:color w:val="auto"/>
              </w:rPr>
              <w:t>Total equity (GAAP)</w:t>
            </w:r>
          </w:p>
        </w:tc>
        <w:tc>
          <w:tcPr>
            <w:tcW w:w="22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130,572</w:t>
            </w:r>
          </w:p>
        </w:tc>
        <w:tc>
          <w:tcPr>
            <w:tcW w:w="4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126,148</w:t>
            </w:r>
          </w:p>
        </w:tc>
        <w:tc>
          <w:tcPr>
            <w:tcW w:w="240" w:type="dxa"/>
            <w:vAlign w:val="bottom"/>
            <w:shd w:val="clear" w:color="auto" w:fill="CFF0FC"/>
          </w:tcPr>
          <w:p>
            <w:pPr>
              <w:spacing w:after="0"/>
              <w:rPr>
                <w:sz w:val="16"/>
                <w:szCs w:val="16"/>
                <w:color w:val="auto"/>
              </w:rPr>
            </w:pPr>
          </w:p>
        </w:tc>
      </w:tr>
      <w:tr>
        <w:trPr>
          <w:trHeight w:val="189"/>
        </w:trPr>
        <w:tc>
          <w:tcPr>
            <w:tcW w:w="5520" w:type="dxa"/>
            <w:vAlign w:val="bottom"/>
          </w:tcPr>
          <w:p>
            <w:pPr>
              <w:ind w:left="60"/>
              <w:spacing w:after="0"/>
              <w:rPr>
                <w:sz w:val="20"/>
                <w:szCs w:val="20"/>
                <w:color w:val="auto"/>
              </w:rPr>
            </w:pPr>
            <w:r>
              <w:rPr>
                <w:rFonts w:ascii="Arial" w:cs="Arial" w:eastAsia="Arial" w:hAnsi="Arial"/>
                <w:sz w:val="14"/>
                <w:szCs w:val="14"/>
                <w:color w:val="auto"/>
              </w:rPr>
              <w:t>Goodwill</w:t>
            </w:r>
          </w:p>
        </w:tc>
        <w:tc>
          <w:tcPr>
            <w:tcW w:w="2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(4,536 )</w:t>
            </w: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(4,536 )</w:t>
            </w:r>
          </w:p>
        </w:tc>
        <w:tc>
          <w:tcPr>
            <w:tcW w:w="240" w:type="dxa"/>
            <w:vAlign w:val="bottom"/>
          </w:tcPr>
          <w:p>
            <w:pPr>
              <w:spacing w:after="0"/>
              <w:rPr>
                <w:sz w:val="16"/>
                <w:szCs w:val="16"/>
                <w:color w:val="auto"/>
              </w:rPr>
            </w:pPr>
          </w:p>
        </w:tc>
      </w:tr>
      <w:tr>
        <w:trPr>
          <w:trHeight w:val="195"/>
        </w:trPr>
        <w:tc>
          <w:tcPr>
            <w:tcW w:w="5520" w:type="dxa"/>
            <w:vAlign w:val="bottom"/>
            <w:shd w:val="clear" w:color="auto" w:fill="CFF0FC"/>
          </w:tcPr>
          <w:p>
            <w:pPr>
              <w:ind w:left="60"/>
              <w:spacing w:after="0"/>
              <w:rPr>
                <w:sz w:val="20"/>
                <w:szCs w:val="20"/>
                <w:color w:val="auto"/>
              </w:rPr>
            </w:pPr>
            <w:r>
              <w:rPr>
                <w:rFonts w:ascii="Arial" w:cs="Arial" w:eastAsia="Arial" w:hAnsi="Arial"/>
                <w:sz w:val="14"/>
                <w:szCs w:val="14"/>
                <w:color w:val="auto"/>
              </w:rPr>
              <w:t>Intangible assets</w:t>
            </w:r>
          </w:p>
        </w:tc>
        <w:tc>
          <w:tcPr>
            <w:tcW w:w="2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(92 )</w:t>
            </w: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(101 )</w:t>
            </w:r>
          </w:p>
        </w:tc>
        <w:tc>
          <w:tcPr>
            <w:tcW w:w="240" w:type="dxa"/>
            <w:vAlign w:val="bottom"/>
            <w:shd w:val="clear" w:color="auto" w:fill="CFF0FC"/>
          </w:tcPr>
          <w:p>
            <w:pPr>
              <w:spacing w:after="0"/>
              <w:rPr>
                <w:sz w:val="16"/>
                <w:szCs w:val="16"/>
                <w:color w:val="auto"/>
              </w:rPr>
            </w:pPr>
          </w:p>
        </w:tc>
      </w:tr>
      <w:tr>
        <w:trPr>
          <w:trHeight w:val="189"/>
        </w:trPr>
        <w:tc>
          <w:tcPr>
            <w:tcW w:w="5520" w:type="dxa"/>
            <w:vAlign w:val="bottom"/>
          </w:tcPr>
          <w:p>
            <w:pPr>
              <w:ind w:left="60"/>
              <w:spacing w:after="0"/>
              <w:rPr>
                <w:sz w:val="20"/>
                <w:szCs w:val="20"/>
                <w:color w:val="auto"/>
              </w:rPr>
            </w:pPr>
            <w:r>
              <w:rPr>
                <w:rFonts w:ascii="Arial" w:cs="Arial" w:eastAsia="Arial" w:hAnsi="Arial"/>
                <w:sz w:val="14"/>
                <w:szCs w:val="14"/>
                <w:color w:val="auto"/>
              </w:rPr>
              <w:t>Addback: Accumulated other comprehensive income</w:t>
            </w:r>
          </w:p>
        </w:tc>
        <w:tc>
          <w:tcPr>
            <w:tcW w:w="224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11,370</w:t>
            </w:r>
          </w:p>
        </w:tc>
        <w:tc>
          <w:tcPr>
            <w:tcW w:w="4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12,172</w:t>
            </w:r>
          </w:p>
        </w:tc>
        <w:tc>
          <w:tcPr>
            <w:tcW w:w="240" w:type="dxa"/>
            <w:vAlign w:val="bottom"/>
          </w:tcPr>
          <w:p>
            <w:pPr>
              <w:spacing w:after="0"/>
              <w:rPr>
                <w:sz w:val="16"/>
                <w:szCs w:val="16"/>
                <w:color w:val="auto"/>
              </w:rPr>
            </w:pPr>
          </w:p>
        </w:tc>
      </w:tr>
      <w:tr>
        <w:trPr>
          <w:trHeight w:val="195"/>
        </w:trPr>
        <w:tc>
          <w:tcPr>
            <w:tcW w:w="55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Total Tier 1 Capital</w:t>
            </w:r>
          </w:p>
        </w:tc>
        <w:tc>
          <w:tcPr>
            <w:tcW w:w="22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137,314</w:t>
            </w:r>
          </w:p>
        </w:tc>
        <w:tc>
          <w:tcPr>
            <w:tcW w:w="4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133,683</w:t>
            </w:r>
          </w:p>
        </w:tc>
        <w:tc>
          <w:tcPr>
            <w:tcW w:w="240" w:type="dxa"/>
            <w:vAlign w:val="bottom"/>
            <w:shd w:val="clear" w:color="auto" w:fill="CFF0FC"/>
          </w:tcPr>
          <w:p>
            <w:pPr>
              <w:spacing w:after="0"/>
              <w:rPr>
                <w:sz w:val="16"/>
                <w:szCs w:val="16"/>
                <w:color w:val="auto"/>
              </w:rPr>
            </w:pPr>
          </w:p>
        </w:tc>
      </w:tr>
      <w:tr>
        <w:trPr>
          <w:trHeight w:val="189"/>
        </w:trPr>
        <w:tc>
          <w:tcPr>
            <w:tcW w:w="5520" w:type="dxa"/>
            <w:vAlign w:val="bottom"/>
          </w:tcPr>
          <w:p>
            <w:pPr>
              <w:ind w:left="100"/>
              <w:spacing w:after="0"/>
              <w:rPr>
                <w:sz w:val="20"/>
                <w:szCs w:val="20"/>
                <w:color w:val="auto"/>
              </w:rPr>
            </w:pPr>
            <w:r>
              <w:rPr>
                <w:rFonts w:ascii="Arial" w:cs="Arial" w:eastAsia="Arial" w:hAnsi="Arial"/>
                <w:sz w:val="14"/>
                <w:szCs w:val="14"/>
                <w:color w:val="auto"/>
              </w:rPr>
              <w:t>Allowance for credit losses (subject to regulatory limits)</w:t>
            </w:r>
          </w:p>
        </w:tc>
        <w:tc>
          <w:tcPr>
            <w:tcW w:w="224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12,214</w:t>
            </w:r>
          </w:p>
        </w:tc>
        <w:tc>
          <w:tcPr>
            <w:tcW w:w="4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12,076</w:t>
            </w:r>
          </w:p>
        </w:tc>
        <w:tc>
          <w:tcPr>
            <w:tcW w:w="240" w:type="dxa"/>
            <w:vAlign w:val="bottom"/>
          </w:tcPr>
          <w:p>
            <w:pPr>
              <w:spacing w:after="0"/>
              <w:rPr>
                <w:sz w:val="16"/>
                <w:szCs w:val="16"/>
                <w:color w:val="auto"/>
              </w:rPr>
            </w:pPr>
          </w:p>
        </w:tc>
      </w:tr>
      <w:tr>
        <w:trPr>
          <w:trHeight w:val="195"/>
        </w:trPr>
        <w:tc>
          <w:tcPr>
            <w:tcW w:w="55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Total Tier 2 Capital</w:t>
            </w:r>
          </w:p>
        </w:tc>
        <w:tc>
          <w:tcPr>
            <w:tcW w:w="22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12,214</w:t>
            </w:r>
          </w:p>
        </w:tc>
        <w:tc>
          <w:tcPr>
            <w:tcW w:w="4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12,076</w:t>
            </w:r>
          </w:p>
        </w:tc>
        <w:tc>
          <w:tcPr>
            <w:tcW w:w="240" w:type="dxa"/>
            <w:vAlign w:val="bottom"/>
            <w:shd w:val="clear" w:color="auto" w:fill="CFF0FC"/>
          </w:tcPr>
          <w:p>
            <w:pPr>
              <w:spacing w:after="0"/>
              <w:rPr>
                <w:sz w:val="16"/>
                <w:szCs w:val="16"/>
                <w:color w:val="auto"/>
              </w:rPr>
            </w:pPr>
          </w:p>
        </w:tc>
      </w:tr>
      <w:tr>
        <w:trPr>
          <w:trHeight w:val="189"/>
        </w:trPr>
        <w:tc>
          <w:tcPr>
            <w:tcW w:w="5520" w:type="dxa"/>
            <w:vAlign w:val="bottom"/>
          </w:tcPr>
          <w:p>
            <w:pPr>
              <w:ind w:left="300"/>
              <w:spacing w:after="0"/>
              <w:rPr>
                <w:sz w:val="20"/>
                <w:szCs w:val="20"/>
                <w:color w:val="auto"/>
              </w:rPr>
            </w:pPr>
            <w:r>
              <w:rPr>
                <w:rFonts w:ascii="Arial" w:cs="Arial" w:eastAsia="Arial" w:hAnsi="Arial"/>
                <w:sz w:val="14"/>
                <w:szCs w:val="14"/>
                <w:color w:val="auto"/>
              </w:rPr>
              <w:t>Total Tier 1 plus Tier 2 Capital (numerator)</w:t>
            </w:r>
          </w:p>
        </w:tc>
        <w:tc>
          <w:tcPr>
            <w:tcW w:w="22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149,528</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145,759</w:t>
            </w:r>
          </w:p>
        </w:tc>
        <w:tc>
          <w:tcPr>
            <w:tcW w:w="240" w:type="dxa"/>
            <w:vAlign w:val="bottom"/>
          </w:tcPr>
          <w:p>
            <w:pPr>
              <w:spacing w:after="0"/>
              <w:rPr>
                <w:sz w:val="16"/>
                <w:szCs w:val="16"/>
                <w:color w:val="auto"/>
              </w:rPr>
            </w:pPr>
          </w:p>
        </w:tc>
      </w:tr>
      <w:tr>
        <w:trPr>
          <w:trHeight w:val="195"/>
        </w:trPr>
        <w:tc>
          <w:tcPr>
            <w:tcW w:w="5520" w:type="dxa"/>
            <w:vAlign w:val="bottom"/>
            <w:shd w:val="clear" w:color="auto" w:fill="CFF0FC"/>
          </w:tcPr>
          <w:p>
            <w:pPr>
              <w:ind w:left="60"/>
              <w:spacing w:after="0"/>
              <w:rPr>
                <w:sz w:val="20"/>
                <w:szCs w:val="20"/>
                <w:color w:val="auto"/>
              </w:rPr>
            </w:pPr>
            <w:r>
              <w:rPr>
                <w:rFonts w:ascii="Arial" w:cs="Arial" w:eastAsia="Arial" w:hAnsi="Arial"/>
                <w:sz w:val="14"/>
                <w:szCs w:val="14"/>
                <w:color w:val="auto"/>
              </w:rPr>
              <w:t>Risk-weighted assets (denominator)</w:t>
            </w:r>
          </w:p>
        </w:tc>
        <w:tc>
          <w:tcPr>
            <w:tcW w:w="2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969,582</w:t>
            </w: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962,861</w:t>
            </w:r>
          </w:p>
        </w:tc>
        <w:tc>
          <w:tcPr>
            <w:tcW w:w="240" w:type="dxa"/>
            <w:vAlign w:val="bottom"/>
            <w:shd w:val="clear" w:color="auto" w:fill="CFF0FC"/>
          </w:tcPr>
          <w:p>
            <w:pPr>
              <w:spacing w:after="0"/>
              <w:rPr>
                <w:sz w:val="16"/>
                <w:szCs w:val="16"/>
                <w:color w:val="auto"/>
              </w:rPr>
            </w:pPr>
          </w:p>
        </w:tc>
      </w:tr>
      <w:tr>
        <w:trPr>
          <w:trHeight w:val="189"/>
        </w:trPr>
        <w:tc>
          <w:tcPr>
            <w:tcW w:w="55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Total core capital to risk-weighted assets</w:t>
            </w:r>
          </w:p>
        </w:tc>
        <w:tc>
          <w:tcPr>
            <w:tcW w:w="2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15.42</w:t>
            </w: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15.14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171"/>
        </w:trPr>
        <w:tc>
          <w:tcPr>
            <w:tcW w:w="5520" w:type="dxa"/>
            <w:vAlign w:val="bottom"/>
            <w:shd w:val="clear" w:color="auto" w:fill="CFF0FC"/>
          </w:tcPr>
          <w:p>
            <w:pPr>
              <w:spacing w:after="0"/>
              <w:rPr>
                <w:sz w:val="14"/>
                <w:szCs w:val="14"/>
                <w:color w:val="auto"/>
              </w:rPr>
            </w:pPr>
          </w:p>
        </w:tc>
        <w:tc>
          <w:tcPr>
            <w:tcW w:w="22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r>
      <w:tr>
        <w:trPr>
          <w:trHeight w:val="192"/>
        </w:trPr>
        <w:tc>
          <w:tcPr>
            <w:tcW w:w="5520" w:type="dxa"/>
            <w:vAlign w:val="bottom"/>
          </w:tcPr>
          <w:p>
            <w:pPr>
              <w:ind w:left="60"/>
              <w:spacing w:after="0"/>
              <w:rPr>
                <w:sz w:val="20"/>
                <w:szCs w:val="20"/>
                <w:color w:val="auto"/>
              </w:rPr>
            </w:pPr>
            <w:r>
              <w:rPr>
                <w:rFonts w:ascii="Arial" w:cs="Arial" w:eastAsia="Arial" w:hAnsi="Arial"/>
                <w:sz w:val="14"/>
                <w:szCs w:val="14"/>
                <w:b w:val="1"/>
                <w:bCs w:val="1"/>
                <w:color w:val="auto"/>
              </w:rPr>
              <w:t>Tier 1 capital (to risk-weighted assets)</w:t>
            </w:r>
          </w:p>
        </w:tc>
        <w:tc>
          <w:tcPr>
            <w:tcW w:w="2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92"/>
        </w:trPr>
        <w:tc>
          <w:tcPr>
            <w:tcW w:w="5520" w:type="dxa"/>
            <w:vAlign w:val="bottom"/>
            <w:shd w:val="clear" w:color="auto" w:fill="CFF0FC"/>
          </w:tcPr>
          <w:p>
            <w:pPr>
              <w:ind w:left="60"/>
              <w:spacing w:after="0"/>
              <w:rPr>
                <w:sz w:val="20"/>
                <w:szCs w:val="20"/>
                <w:color w:val="auto"/>
              </w:rPr>
            </w:pPr>
            <w:r>
              <w:rPr>
                <w:rFonts w:ascii="Arial" w:cs="Arial" w:eastAsia="Arial" w:hAnsi="Arial"/>
                <w:sz w:val="14"/>
                <w:szCs w:val="14"/>
                <w:color w:val="auto"/>
              </w:rPr>
              <w:t>Total Tier 1 capital (numerator)</w:t>
            </w:r>
          </w:p>
        </w:tc>
        <w:tc>
          <w:tcPr>
            <w:tcW w:w="22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137,314</w:t>
            </w:r>
          </w:p>
        </w:tc>
        <w:tc>
          <w:tcPr>
            <w:tcW w:w="4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133,683</w:t>
            </w:r>
          </w:p>
        </w:tc>
        <w:tc>
          <w:tcPr>
            <w:tcW w:w="240" w:type="dxa"/>
            <w:vAlign w:val="bottom"/>
            <w:shd w:val="clear" w:color="auto" w:fill="CFF0FC"/>
          </w:tcPr>
          <w:p>
            <w:pPr>
              <w:spacing w:after="0"/>
              <w:rPr>
                <w:sz w:val="16"/>
                <w:szCs w:val="16"/>
                <w:color w:val="auto"/>
              </w:rPr>
            </w:pPr>
          </w:p>
        </w:tc>
      </w:tr>
      <w:tr>
        <w:trPr>
          <w:trHeight w:val="189"/>
        </w:trPr>
        <w:tc>
          <w:tcPr>
            <w:tcW w:w="5520" w:type="dxa"/>
            <w:vAlign w:val="bottom"/>
          </w:tcPr>
          <w:p>
            <w:pPr>
              <w:ind w:left="60"/>
              <w:spacing w:after="0"/>
              <w:rPr>
                <w:sz w:val="20"/>
                <w:szCs w:val="20"/>
                <w:color w:val="auto"/>
              </w:rPr>
            </w:pPr>
            <w:r>
              <w:rPr>
                <w:rFonts w:ascii="Arial" w:cs="Arial" w:eastAsia="Arial" w:hAnsi="Arial"/>
                <w:sz w:val="14"/>
                <w:szCs w:val="14"/>
                <w:color w:val="auto"/>
              </w:rPr>
              <w:t>Risk-weighted assets (denominator)</w:t>
            </w:r>
          </w:p>
        </w:tc>
        <w:tc>
          <w:tcPr>
            <w:tcW w:w="224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969,582</w:t>
            </w:r>
          </w:p>
        </w:tc>
        <w:tc>
          <w:tcPr>
            <w:tcW w:w="44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962,861</w:t>
            </w:r>
          </w:p>
        </w:tc>
        <w:tc>
          <w:tcPr>
            <w:tcW w:w="240" w:type="dxa"/>
            <w:vAlign w:val="bottom"/>
          </w:tcPr>
          <w:p>
            <w:pPr>
              <w:spacing w:after="0"/>
              <w:rPr>
                <w:sz w:val="16"/>
                <w:szCs w:val="16"/>
                <w:color w:val="auto"/>
              </w:rPr>
            </w:pPr>
          </w:p>
        </w:tc>
      </w:tr>
      <w:tr>
        <w:trPr>
          <w:trHeight w:val="232"/>
        </w:trPr>
        <w:tc>
          <w:tcPr>
            <w:tcW w:w="55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4"/>
                <w:szCs w:val="14"/>
                <w:color w:val="auto"/>
              </w:rPr>
              <w:t>Total capital to risk-weighted assets</w:t>
            </w:r>
          </w:p>
        </w:tc>
        <w:tc>
          <w:tcPr>
            <w:tcW w:w="2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14.16</w:t>
            </w:r>
          </w:p>
        </w:tc>
        <w:tc>
          <w:tcPr>
            <w:tcW w:w="44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13.88</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5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92"/>
        </w:trPr>
        <w:tc>
          <w:tcPr>
            <w:tcW w:w="5520" w:type="dxa"/>
            <w:vAlign w:val="bottom"/>
            <w:shd w:val="clear" w:color="auto" w:fill="CFF0FC"/>
          </w:tcPr>
          <w:p>
            <w:pPr>
              <w:ind w:left="60"/>
              <w:spacing w:after="0"/>
              <w:rPr>
                <w:sz w:val="20"/>
                <w:szCs w:val="20"/>
                <w:color w:val="auto"/>
              </w:rPr>
            </w:pPr>
            <w:r>
              <w:rPr>
                <w:rFonts w:ascii="Arial" w:cs="Arial" w:eastAsia="Arial" w:hAnsi="Arial"/>
                <w:sz w:val="14"/>
                <w:szCs w:val="14"/>
                <w:b w:val="1"/>
                <w:bCs w:val="1"/>
                <w:color w:val="auto"/>
              </w:rPr>
              <w:t>Tier 1 capital (to adjusted assets)</w:t>
            </w:r>
          </w:p>
        </w:tc>
        <w:tc>
          <w:tcPr>
            <w:tcW w:w="2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r>
      <w:tr>
        <w:trPr>
          <w:trHeight w:val="189"/>
        </w:trPr>
        <w:tc>
          <w:tcPr>
            <w:tcW w:w="5520" w:type="dxa"/>
            <w:vAlign w:val="bottom"/>
          </w:tcPr>
          <w:p>
            <w:pPr>
              <w:ind w:left="60"/>
              <w:spacing w:after="0"/>
              <w:rPr>
                <w:sz w:val="20"/>
                <w:szCs w:val="20"/>
                <w:color w:val="auto"/>
              </w:rPr>
            </w:pPr>
            <w:r>
              <w:rPr>
                <w:rFonts w:ascii="Arial" w:cs="Arial" w:eastAsia="Arial" w:hAnsi="Arial"/>
                <w:sz w:val="14"/>
                <w:szCs w:val="14"/>
                <w:color w:val="auto"/>
              </w:rPr>
              <w:t>Total Tier 1 capital (numerator)</w:t>
            </w:r>
          </w:p>
        </w:tc>
        <w:tc>
          <w:tcPr>
            <w:tcW w:w="22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137,314</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133,683</w:t>
            </w:r>
          </w:p>
        </w:tc>
        <w:tc>
          <w:tcPr>
            <w:tcW w:w="240" w:type="dxa"/>
            <w:vAlign w:val="bottom"/>
          </w:tcPr>
          <w:p>
            <w:pPr>
              <w:spacing w:after="0"/>
              <w:rPr>
                <w:sz w:val="16"/>
                <w:szCs w:val="16"/>
                <w:color w:val="auto"/>
              </w:rPr>
            </w:pPr>
          </w:p>
        </w:tc>
      </w:tr>
      <w:tr>
        <w:trPr>
          <w:trHeight w:val="195"/>
        </w:trPr>
        <w:tc>
          <w:tcPr>
            <w:tcW w:w="5520" w:type="dxa"/>
            <w:vAlign w:val="bottom"/>
            <w:shd w:val="clear" w:color="auto" w:fill="CFF0FC"/>
          </w:tcPr>
          <w:p>
            <w:pPr>
              <w:ind w:left="60"/>
              <w:spacing w:after="0"/>
              <w:rPr>
                <w:sz w:val="20"/>
                <w:szCs w:val="20"/>
                <w:color w:val="auto"/>
              </w:rPr>
            </w:pPr>
            <w:r>
              <w:rPr>
                <w:rFonts w:ascii="Arial" w:cs="Arial" w:eastAsia="Arial" w:hAnsi="Arial"/>
                <w:sz w:val="14"/>
                <w:szCs w:val="14"/>
                <w:color w:val="auto"/>
              </w:rPr>
              <w:t>Total average assets</w:t>
            </w:r>
          </w:p>
        </w:tc>
        <w:tc>
          <w:tcPr>
            <w:tcW w:w="2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1,386,684</w:t>
            </w: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1,387,480</w:t>
            </w:r>
          </w:p>
        </w:tc>
        <w:tc>
          <w:tcPr>
            <w:tcW w:w="240" w:type="dxa"/>
            <w:vAlign w:val="bottom"/>
            <w:shd w:val="clear" w:color="auto" w:fill="CFF0FC"/>
          </w:tcPr>
          <w:p>
            <w:pPr>
              <w:spacing w:after="0"/>
              <w:rPr>
                <w:sz w:val="16"/>
                <w:szCs w:val="16"/>
                <w:color w:val="auto"/>
              </w:rPr>
            </w:pPr>
          </w:p>
        </w:tc>
      </w:tr>
      <w:tr>
        <w:trPr>
          <w:trHeight w:val="189"/>
        </w:trPr>
        <w:tc>
          <w:tcPr>
            <w:tcW w:w="5520" w:type="dxa"/>
            <w:vAlign w:val="bottom"/>
          </w:tcPr>
          <w:p>
            <w:pPr>
              <w:ind w:left="60"/>
              <w:spacing w:after="0"/>
              <w:rPr>
                <w:sz w:val="20"/>
                <w:szCs w:val="20"/>
                <w:color w:val="auto"/>
              </w:rPr>
            </w:pPr>
            <w:r>
              <w:rPr>
                <w:rFonts w:ascii="Arial" w:cs="Arial" w:eastAsia="Arial" w:hAnsi="Arial"/>
                <w:sz w:val="14"/>
                <w:szCs w:val="14"/>
                <w:color w:val="auto"/>
              </w:rPr>
              <w:t>Goodwill</w:t>
            </w:r>
          </w:p>
        </w:tc>
        <w:tc>
          <w:tcPr>
            <w:tcW w:w="2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(4,536 )</w:t>
            </w: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(4,536 )</w:t>
            </w:r>
          </w:p>
        </w:tc>
        <w:tc>
          <w:tcPr>
            <w:tcW w:w="240" w:type="dxa"/>
            <w:vAlign w:val="bottom"/>
          </w:tcPr>
          <w:p>
            <w:pPr>
              <w:spacing w:after="0"/>
              <w:rPr>
                <w:sz w:val="16"/>
                <w:szCs w:val="16"/>
                <w:color w:val="auto"/>
              </w:rPr>
            </w:pPr>
          </w:p>
        </w:tc>
      </w:tr>
      <w:tr>
        <w:trPr>
          <w:trHeight w:val="195"/>
        </w:trPr>
        <w:tc>
          <w:tcPr>
            <w:tcW w:w="5520" w:type="dxa"/>
            <w:vAlign w:val="bottom"/>
            <w:shd w:val="clear" w:color="auto" w:fill="CFF0FC"/>
          </w:tcPr>
          <w:p>
            <w:pPr>
              <w:ind w:left="60"/>
              <w:spacing w:after="0"/>
              <w:rPr>
                <w:sz w:val="20"/>
                <w:szCs w:val="20"/>
                <w:color w:val="auto"/>
              </w:rPr>
            </w:pPr>
            <w:r>
              <w:rPr>
                <w:rFonts w:ascii="Arial" w:cs="Arial" w:eastAsia="Arial" w:hAnsi="Arial"/>
                <w:sz w:val="14"/>
                <w:szCs w:val="14"/>
                <w:color w:val="auto"/>
              </w:rPr>
              <w:t>Intangible assets</w:t>
            </w:r>
          </w:p>
        </w:tc>
        <w:tc>
          <w:tcPr>
            <w:tcW w:w="2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(92 )</w:t>
            </w: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(101 )</w:t>
            </w:r>
          </w:p>
        </w:tc>
        <w:tc>
          <w:tcPr>
            <w:tcW w:w="240" w:type="dxa"/>
            <w:vAlign w:val="bottom"/>
            <w:shd w:val="clear" w:color="auto" w:fill="CFF0FC"/>
          </w:tcPr>
          <w:p>
            <w:pPr>
              <w:spacing w:after="0"/>
              <w:rPr>
                <w:sz w:val="16"/>
                <w:szCs w:val="16"/>
                <w:color w:val="auto"/>
              </w:rPr>
            </w:pPr>
          </w:p>
        </w:tc>
      </w:tr>
      <w:tr>
        <w:trPr>
          <w:trHeight w:val="189"/>
        </w:trPr>
        <w:tc>
          <w:tcPr>
            <w:tcW w:w="5520" w:type="dxa"/>
            <w:vAlign w:val="bottom"/>
          </w:tcPr>
          <w:p>
            <w:pPr>
              <w:ind w:left="60"/>
              <w:spacing w:after="0"/>
              <w:rPr>
                <w:sz w:val="20"/>
                <w:szCs w:val="20"/>
                <w:color w:val="auto"/>
              </w:rPr>
            </w:pPr>
            <w:r>
              <w:rPr>
                <w:rFonts w:ascii="Arial" w:cs="Arial" w:eastAsia="Arial" w:hAnsi="Arial"/>
                <w:sz w:val="14"/>
                <w:szCs w:val="14"/>
                <w:color w:val="auto"/>
              </w:rPr>
              <w:t>Adjusted assets (denominator)</w:t>
            </w:r>
          </w:p>
        </w:tc>
        <w:tc>
          <w:tcPr>
            <w:tcW w:w="22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1,382,056</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1,382,843</w:t>
            </w:r>
          </w:p>
        </w:tc>
        <w:tc>
          <w:tcPr>
            <w:tcW w:w="240" w:type="dxa"/>
            <w:vAlign w:val="bottom"/>
          </w:tcPr>
          <w:p>
            <w:pPr>
              <w:spacing w:after="0"/>
              <w:rPr>
                <w:sz w:val="16"/>
                <w:szCs w:val="16"/>
                <w:color w:val="auto"/>
              </w:rPr>
            </w:pPr>
          </w:p>
        </w:tc>
      </w:tr>
      <w:tr>
        <w:trPr>
          <w:trHeight w:val="232"/>
        </w:trPr>
        <w:tc>
          <w:tcPr>
            <w:tcW w:w="55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4"/>
                <w:szCs w:val="14"/>
                <w:color w:val="auto"/>
              </w:rPr>
              <w:t>Total capital to adjusted assets</w:t>
            </w:r>
          </w:p>
        </w:tc>
        <w:tc>
          <w:tcPr>
            <w:tcW w:w="22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9.94</w:t>
            </w:r>
          </w:p>
        </w:tc>
        <w:tc>
          <w:tcPr>
            <w:tcW w:w="44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9.67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5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92"/>
        </w:trPr>
        <w:tc>
          <w:tcPr>
            <w:tcW w:w="5520" w:type="dxa"/>
            <w:vAlign w:val="bottom"/>
            <w:shd w:val="clear" w:color="auto" w:fill="CFF0FC"/>
          </w:tcPr>
          <w:p>
            <w:pPr>
              <w:ind w:left="60"/>
              <w:spacing w:after="0"/>
              <w:rPr>
                <w:sz w:val="20"/>
                <w:szCs w:val="20"/>
                <w:color w:val="auto"/>
              </w:rPr>
            </w:pPr>
            <w:r>
              <w:rPr>
                <w:rFonts w:ascii="Arial" w:cs="Arial" w:eastAsia="Arial" w:hAnsi="Arial"/>
                <w:sz w:val="14"/>
                <w:szCs w:val="14"/>
                <w:b w:val="1"/>
                <w:bCs w:val="1"/>
                <w:color w:val="auto"/>
              </w:rPr>
              <w:t>Tier 1 Common Equity (to risk-weighted assets)</w:t>
            </w:r>
          </w:p>
        </w:tc>
        <w:tc>
          <w:tcPr>
            <w:tcW w:w="2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r>
      <w:tr>
        <w:trPr>
          <w:trHeight w:val="189"/>
        </w:trPr>
        <w:tc>
          <w:tcPr>
            <w:tcW w:w="5520" w:type="dxa"/>
            <w:vAlign w:val="bottom"/>
          </w:tcPr>
          <w:p>
            <w:pPr>
              <w:ind w:left="60"/>
              <w:spacing w:after="0"/>
              <w:rPr>
                <w:sz w:val="20"/>
                <w:szCs w:val="20"/>
                <w:color w:val="auto"/>
              </w:rPr>
            </w:pPr>
            <w:r>
              <w:rPr>
                <w:rFonts w:ascii="Arial" w:cs="Arial" w:eastAsia="Arial" w:hAnsi="Arial"/>
                <w:sz w:val="14"/>
                <w:szCs w:val="14"/>
                <w:color w:val="auto"/>
              </w:rPr>
              <w:t>Total Tier 1 capital (numerator)</w:t>
            </w:r>
          </w:p>
        </w:tc>
        <w:tc>
          <w:tcPr>
            <w:tcW w:w="22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137,314</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133,683</w:t>
            </w:r>
          </w:p>
        </w:tc>
        <w:tc>
          <w:tcPr>
            <w:tcW w:w="240" w:type="dxa"/>
            <w:vAlign w:val="bottom"/>
          </w:tcPr>
          <w:p>
            <w:pPr>
              <w:spacing w:after="0"/>
              <w:rPr>
                <w:sz w:val="16"/>
                <w:szCs w:val="16"/>
                <w:color w:val="auto"/>
              </w:rPr>
            </w:pPr>
          </w:p>
        </w:tc>
      </w:tr>
      <w:tr>
        <w:trPr>
          <w:trHeight w:val="195"/>
        </w:trPr>
        <w:tc>
          <w:tcPr>
            <w:tcW w:w="5520" w:type="dxa"/>
            <w:vAlign w:val="bottom"/>
            <w:shd w:val="clear" w:color="auto" w:fill="CFF0FC"/>
          </w:tcPr>
          <w:p>
            <w:pPr>
              <w:ind w:left="60"/>
              <w:spacing w:after="0"/>
              <w:rPr>
                <w:sz w:val="20"/>
                <w:szCs w:val="20"/>
                <w:color w:val="auto"/>
              </w:rPr>
            </w:pPr>
            <w:r>
              <w:rPr>
                <w:rFonts w:ascii="Arial" w:cs="Arial" w:eastAsia="Arial" w:hAnsi="Arial"/>
                <w:sz w:val="14"/>
                <w:szCs w:val="14"/>
                <w:color w:val="auto"/>
              </w:rPr>
              <w:t>Risk-weighted assets (denominator)</w:t>
            </w:r>
          </w:p>
        </w:tc>
        <w:tc>
          <w:tcPr>
            <w:tcW w:w="2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969,582</w:t>
            </w:r>
          </w:p>
        </w:tc>
        <w:tc>
          <w:tcPr>
            <w:tcW w:w="44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962,861</w:t>
            </w:r>
          </w:p>
        </w:tc>
        <w:tc>
          <w:tcPr>
            <w:tcW w:w="240" w:type="dxa"/>
            <w:vAlign w:val="bottom"/>
            <w:shd w:val="clear" w:color="auto" w:fill="CFF0FC"/>
          </w:tcPr>
          <w:p>
            <w:pPr>
              <w:spacing w:after="0"/>
              <w:rPr>
                <w:sz w:val="16"/>
                <w:szCs w:val="16"/>
                <w:color w:val="auto"/>
              </w:rPr>
            </w:pPr>
          </w:p>
        </w:tc>
      </w:tr>
      <w:tr>
        <w:trPr>
          <w:trHeight w:val="189"/>
        </w:trPr>
        <w:tc>
          <w:tcPr>
            <w:tcW w:w="55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Total Tier 1 Common Equity to risk-weighted assets</w:t>
            </w:r>
          </w:p>
        </w:tc>
        <w:tc>
          <w:tcPr>
            <w:tcW w:w="2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14.16</w:t>
            </w:r>
          </w:p>
        </w:tc>
        <w:tc>
          <w:tcPr>
            <w:tcW w:w="4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and Asset Quality and Allowance for Credit Losses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information concerning the aggregate amount of non-accrual loans at the indicated dates: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00" w:type="dxa"/>
            <w:vAlign w:val="bottom"/>
          </w:tcPr>
          <w:p>
            <w:pPr>
              <w:jc w:val="right"/>
              <w:ind w:right="162"/>
              <w:spacing w:after="0"/>
              <w:rPr>
                <w:sz w:val="20"/>
                <w:szCs w:val="20"/>
                <w:color w:val="auto"/>
              </w:rPr>
            </w:pPr>
            <w:r>
              <w:rPr>
                <w:rFonts w:ascii="Arial" w:cs="Arial" w:eastAsia="Arial" w:hAnsi="Arial"/>
                <w:sz w:val="16"/>
                <w:szCs w:val="16"/>
                <w:color w:val="auto"/>
              </w:rPr>
              <w:t>June 30,</w:t>
            </w:r>
          </w:p>
        </w:tc>
        <w:tc>
          <w:tcPr>
            <w:tcW w:w="240" w:type="dxa"/>
            <w:vAlign w:val="bottom"/>
          </w:tcPr>
          <w:p>
            <w:pPr>
              <w:spacing w:after="0"/>
              <w:rPr>
                <w:sz w:val="17"/>
                <w:szCs w:val="17"/>
                <w:color w:val="auto"/>
              </w:rPr>
            </w:pPr>
          </w:p>
        </w:tc>
        <w:tc>
          <w:tcPr>
            <w:tcW w:w="1320" w:type="dxa"/>
            <w:vAlign w:val="bottom"/>
          </w:tcPr>
          <w:p>
            <w:pPr>
              <w:jc w:val="right"/>
              <w:ind w:right="202"/>
              <w:spacing w:after="0"/>
              <w:rPr>
                <w:sz w:val="20"/>
                <w:szCs w:val="20"/>
                <w:color w:val="auto"/>
              </w:rPr>
            </w:pPr>
            <w:r>
              <w:rPr>
                <w:rFonts w:ascii="Arial" w:cs="Arial" w:eastAsia="Arial" w:hAnsi="Arial"/>
                <w:sz w:val="16"/>
                <w:szCs w:val="16"/>
                <w:color w:val="auto"/>
              </w:rPr>
              <w:t>December 31,</w:t>
            </w:r>
          </w:p>
        </w:tc>
        <w:tc>
          <w:tcPr>
            <w:tcW w:w="4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June 30,</w:t>
            </w:r>
          </w:p>
        </w:tc>
        <w:tc>
          <w:tcPr>
            <w:tcW w:w="0" w:type="dxa"/>
            <w:vAlign w:val="bottom"/>
          </w:tcPr>
          <w:p>
            <w:pPr>
              <w:spacing w:after="0"/>
              <w:rPr>
                <w:sz w:val="1"/>
                <w:szCs w:val="1"/>
                <w:color w:val="auto"/>
              </w:rPr>
            </w:pPr>
          </w:p>
        </w:tc>
      </w:tr>
      <w:tr>
        <w:trPr>
          <w:trHeight w:val="205"/>
        </w:trPr>
        <w:tc>
          <w:tcPr>
            <w:tcW w:w="47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800" w:type="dxa"/>
            <w:vAlign w:val="bottom"/>
          </w:tcPr>
          <w:p>
            <w:pPr>
              <w:spacing w:after="0"/>
              <w:rPr>
                <w:sz w:val="17"/>
                <w:szCs w:val="17"/>
                <w:color w:val="auto"/>
              </w:rPr>
            </w:pPr>
          </w:p>
        </w:tc>
        <w:tc>
          <w:tcPr>
            <w:tcW w:w="1100" w:type="dxa"/>
            <w:vAlign w:val="bottom"/>
          </w:tcPr>
          <w:p>
            <w:pPr>
              <w:jc w:val="right"/>
              <w:ind w:right="162"/>
              <w:spacing w:after="0"/>
              <w:rPr>
                <w:sz w:val="20"/>
                <w:szCs w:val="20"/>
                <w:color w:val="auto"/>
              </w:rPr>
            </w:pPr>
            <w:r>
              <w:rPr>
                <w:rFonts w:ascii="Arial" w:cs="Arial" w:eastAsia="Arial" w:hAnsi="Arial"/>
                <w:sz w:val="16"/>
                <w:szCs w:val="16"/>
                <w:color w:val="auto"/>
              </w:rPr>
              <w:t>2023</w:t>
            </w:r>
          </w:p>
        </w:tc>
        <w:tc>
          <w:tcPr>
            <w:tcW w:w="240" w:type="dxa"/>
            <w:vAlign w:val="bottom"/>
          </w:tcPr>
          <w:p>
            <w:pPr>
              <w:spacing w:after="0"/>
              <w:rPr>
                <w:sz w:val="17"/>
                <w:szCs w:val="17"/>
                <w:color w:val="auto"/>
              </w:rPr>
            </w:pPr>
          </w:p>
        </w:tc>
        <w:tc>
          <w:tcPr>
            <w:tcW w:w="1320" w:type="dxa"/>
            <w:vAlign w:val="bottom"/>
          </w:tcPr>
          <w:p>
            <w:pPr>
              <w:jc w:val="right"/>
              <w:ind w:right="202"/>
              <w:spacing w:after="0"/>
              <w:rPr>
                <w:sz w:val="20"/>
                <w:szCs w:val="20"/>
                <w:color w:val="auto"/>
              </w:rPr>
            </w:pPr>
            <w:r>
              <w:rPr>
                <w:rFonts w:ascii="Arial" w:cs="Arial" w:eastAsia="Arial" w:hAnsi="Arial"/>
                <w:sz w:val="16"/>
                <w:szCs w:val="16"/>
                <w:color w:val="auto"/>
              </w:rPr>
              <w:t>2022</w:t>
            </w:r>
          </w:p>
        </w:tc>
        <w:tc>
          <w:tcPr>
            <w:tcW w:w="44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Nonaccrual loans:</w:t>
            </w:r>
          </w:p>
        </w:tc>
        <w:tc>
          <w:tcPr>
            <w:tcW w:w="18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100"/>
              <w:spacing w:after="0"/>
              <w:rPr>
                <w:sz w:val="20"/>
                <w:szCs w:val="20"/>
                <w:color w:val="auto"/>
              </w:rPr>
            </w:pPr>
            <w:r>
              <w:rPr>
                <w:rFonts w:ascii="Arial" w:cs="Arial" w:eastAsia="Arial" w:hAnsi="Arial"/>
                <w:sz w:val="16"/>
                <w:szCs w:val="16"/>
                <w:color w:val="auto"/>
              </w:rPr>
              <w:t>Commercial and commercial real estate loans</w:t>
            </w:r>
          </w:p>
        </w:tc>
        <w:tc>
          <w:tcPr>
            <w:tcW w:w="180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62"/>
              <w:spacing w:after="0"/>
              <w:rPr>
                <w:sz w:val="20"/>
                <w:szCs w:val="20"/>
                <w:color w:val="auto"/>
              </w:rPr>
            </w:pPr>
            <w:r>
              <w:rPr>
                <w:rFonts w:ascii="Arial" w:cs="Arial" w:eastAsia="Arial" w:hAnsi="Arial"/>
                <w:sz w:val="16"/>
                <w:szCs w:val="16"/>
                <w:color w:val="auto"/>
              </w:rPr>
              <w:t>16,391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2"/>
              <w:spacing w:after="0"/>
              <w:rPr>
                <w:sz w:val="20"/>
                <w:szCs w:val="20"/>
                <w:color w:val="auto"/>
              </w:rPr>
            </w:pPr>
            <w:r>
              <w:rPr>
                <w:rFonts w:ascii="Arial" w:cs="Arial" w:eastAsia="Arial" w:hAnsi="Arial"/>
                <w:sz w:val="16"/>
                <w:szCs w:val="16"/>
                <w:color w:val="auto"/>
              </w:rPr>
              <w:t>5,720</w:t>
            </w:r>
          </w:p>
        </w:tc>
        <w:tc>
          <w:tcPr>
            <w:tcW w:w="44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8,496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Consumer</w:t>
            </w:r>
          </w:p>
        </w:tc>
        <w:tc>
          <w:tcPr>
            <w:tcW w:w="18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2,409</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2,183</w:t>
            </w:r>
          </w:p>
        </w:tc>
        <w:tc>
          <w:tcPr>
            <w:tcW w:w="4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1,607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100"/>
              <w:spacing w:after="0"/>
              <w:rPr>
                <w:sz w:val="20"/>
                <w:szCs w:val="20"/>
                <w:color w:val="auto"/>
              </w:rPr>
            </w:pPr>
            <w:r>
              <w:rPr>
                <w:rFonts w:ascii="Arial" w:cs="Arial" w:eastAsia="Arial" w:hAnsi="Arial"/>
                <w:sz w:val="16"/>
                <w:szCs w:val="16"/>
                <w:color w:val="auto"/>
              </w:rPr>
              <w:t>Residential mortgage loans</w:t>
            </w:r>
          </w:p>
        </w:tc>
        <w:tc>
          <w:tcPr>
            <w:tcW w:w="1800" w:type="dxa"/>
            <w:vAlign w:val="bottom"/>
          </w:tcPr>
          <w:p>
            <w:pPr>
              <w:spacing w:after="0"/>
              <w:rPr>
                <w:sz w:val="17"/>
                <w:szCs w:val="17"/>
                <w:color w:val="auto"/>
              </w:rPr>
            </w:pPr>
          </w:p>
        </w:tc>
        <w:tc>
          <w:tcPr>
            <w:tcW w:w="1100" w:type="dxa"/>
            <w:vAlign w:val="bottom"/>
          </w:tcPr>
          <w:p>
            <w:pPr>
              <w:jc w:val="right"/>
              <w:ind w:right="162"/>
              <w:spacing w:after="0"/>
              <w:rPr>
                <w:sz w:val="20"/>
                <w:szCs w:val="20"/>
                <w:color w:val="auto"/>
              </w:rPr>
            </w:pPr>
            <w:r>
              <w:rPr>
                <w:rFonts w:ascii="Arial" w:cs="Arial" w:eastAsia="Arial" w:hAnsi="Arial"/>
                <w:sz w:val="16"/>
                <w:szCs w:val="16"/>
                <w:color w:val="auto"/>
              </w:rPr>
              <w:t>1,549</w:t>
            </w:r>
          </w:p>
        </w:tc>
        <w:tc>
          <w:tcPr>
            <w:tcW w:w="240" w:type="dxa"/>
            <w:vAlign w:val="bottom"/>
          </w:tcPr>
          <w:p>
            <w:pPr>
              <w:spacing w:after="0"/>
              <w:rPr>
                <w:sz w:val="17"/>
                <w:szCs w:val="17"/>
                <w:color w:val="auto"/>
              </w:rPr>
            </w:pPr>
          </w:p>
        </w:tc>
        <w:tc>
          <w:tcPr>
            <w:tcW w:w="1320" w:type="dxa"/>
            <w:vAlign w:val="bottom"/>
          </w:tcPr>
          <w:p>
            <w:pPr>
              <w:jc w:val="right"/>
              <w:ind w:right="182"/>
              <w:spacing w:after="0"/>
              <w:rPr>
                <w:sz w:val="20"/>
                <w:szCs w:val="20"/>
                <w:color w:val="auto"/>
              </w:rPr>
            </w:pPr>
            <w:r>
              <w:rPr>
                <w:rFonts w:ascii="Arial" w:cs="Arial" w:eastAsia="Arial" w:hAnsi="Arial"/>
                <w:sz w:val="16"/>
                <w:szCs w:val="16"/>
                <w:color w:val="auto"/>
              </w:rPr>
              <w:t>1,112</w:t>
            </w:r>
          </w:p>
        </w:tc>
        <w:tc>
          <w:tcPr>
            <w:tcW w:w="44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1,584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nonaccrual loans</w:t>
            </w:r>
          </w:p>
        </w:tc>
        <w:tc>
          <w:tcPr>
            <w:tcW w:w="18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20,349</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rPr>
              <w:t>9,015</w:t>
            </w:r>
          </w:p>
        </w:tc>
        <w:tc>
          <w:tcPr>
            <w:tcW w:w="4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11,687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00" w:type="dxa"/>
            <w:vAlign w:val="bottom"/>
          </w:tcPr>
          <w:p>
            <w:pPr>
              <w:ind w:left="100"/>
              <w:spacing w:after="0"/>
              <w:rPr>
                <w:sz w:val="20"/>
                <w:szCs w:val="20"/>
                <w:color w:val="auto"/>
              </w:rPr>
            </w:pPr>
            <w:r>
              <w:rPr>
                <w:rFonts w:ascii="Arial" w:cs="Arial" w:eastAsia="Arial" w:hAnsi="Arial"/>
                <w:sz w:val="16"/>
                <w:szCs w:val="16"/>
                <w:color w:val="auto"/>
              </w:rPr>
              <w:t>Total nonperforming loans</w:t>
            </w:r>
          </w:p>
        </w:tc>
        <w:tc>
          <w:tcPr>
            <w:tcW w:w="1800" w:type="dxa"/>
            <w:vAlign w:val="bottom"/>
          </w:tcPr>
          <w:p>
            <w:pPr>
              <w:spacing w:after="0"/>
              <w:rPr>
                <w:sz w:val="17"/>
                <w:szCs w:val="17"/>
                <w:color w:val="auto"/>
              </w:rPr>
            </w:pPr>
          </w:p>
        </w:tc>
        <w:tc>
          <w:tcPr>
            <w:tcW w:w="1100" w:type="dxa"/>
            <w:vAlign w:val="bottom"/>
            <w:vMerge w:val="restart"/>
          </w:tcPr>
          <w:p>
            <w:pPr>
              <w:jc w:val="right"/>
              <w:ind w:right="162"/>
              <w:spacing w:after="0"/>
              <w:rPr>
                <w:sz w:val="20"/>
                <w:szCs w:val="20"/>
                <w:color w:val="auto"/>
              </w:rPr>
            </w:pPr>
            <w:r>
              <w:rPr>
                <w:rFonts w:ascii="Arial" w:cs="Arial" w:eastAsia="Arial" w:hAnsi="Arial"/>
                <w:sz w:val="16"/>
                <w:szCs w:val="16"/>
                <w:color w:val="auto"/>
              </w:rPr>
              <w:t>20,349</w:t>
            </w:r>
          </w:p>
        </w:tc>
        <w:tc>
          <w:tcPr>
            <w:tcW w:w="240" w:type="dxa"/>
            <w:vAlign w:val="bottom"/>
          </w:tcPr>
          <w:p>
            <w:pPr>
              <w:spacing w:after="0"/>
              <w:rPr>
                <w:sz w:val="17"/>
                <w:szCs w:val="17"/>
                <w:color w:val="auto"/>
              </w:rPr>
            </w:pPr>
          </w:p>
        </w:tc>
        <w:tc>
          <w:tcPr>
            <w:tcW w:w="1320" w:type="dxa"/>
            <w:vAlign w:val="bottom"/>
            <w:vMerge w:val="restart"/>
          </w:tcPr>
          <w:p>
            <w:pPr>
              <w:jc w:val="right"/>
              <w:ind w:right="182"/>
              <w:spacing w:after="0"/>
              <w:rPr>
                <w:sz w:val="20"/>
                <w:szCs w:val="20"/>
                <w:color w:val="auto"/>
              </w:rPr>
            </w:pPr>
            <w:r>
              <w:rPr>
                <w:rFonts w:ascii="Arial" w:cs="Arial" w:eastAsia="Arial" w:hAnsi="Arial"/>
                <w:sz w:val="16"/>
                <w:szCs w:val="16"/>
                <w:color w:val="auto"/>
              </w:rPr>
              <w:t>9,015</w:t>
            </w:r>
          </w:p>
        </w:tc>
        <w:tc>
          <w:tcPr>
            <w:tcW w:w="440" w:type="dxa"/>
            <w:vAlign w:val="bottom"/>
          </w:tcPr>
          <w:p>
            <w:pPr>
              <w:spacing w:after="0"/>
              <w:rPr>
                <w:sz w:val="17"/>
                <w:szCs w:val="17"/>
                <w:color w:val="auto"/>
              </w:rPr>
            </w:pPr>
          </w:p>
        </w:tc>
        <w:tc>
          <w:tcPr>
            <w:tcW w:w="960" w:type="dxa"/>
            <w:vAlign w:val="bottom"/>
            <w:vMerge w:val="restart"/>
          </w:tcPr>
          <w:p>
            <w:pPr>
              <w:jc w:val="right"/>
              <w:ind w:right="22"/>
              <w:spacing w:after="0"/>
              <w:rPr>
                <w:sz w:val="20"/>
                <w:szCs w:val="20"/>
                <w:color w:val="auto"/>
              </w:rPr>
            </w:pPr>
            <w:r>
              <w:rPr>
                <w:rFonts w:ascii="Arial" w:cs="Arial" w:eastAsia="Arial" w:hAnsi="Arial"/>
                <w:sz w:val="16"/>
                <w:szCs w:val="16"/>
                <w:color w:val="auto"/>
              </w:rPr>
              <w:t>11,687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7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Foreclosed real estate</w:t>
            </w:r>
          </w:p>
        </w:tc>
        <w:tc>
          <w:tcPr>
            <w:tcW w:w="18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277</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202"/>
              <w:spacing w:after="0"/>
              <w:rPr>
                <w:sz w:val="20"/>
                <w:szCs w:val="20"/>
                <w:color w:val="auto"/>
              </w:rPr>
            </w:pPr>
            <w:r>
              <w:rPr>
                <w:rFonts w:ascii="Arial" w:cs="Arial" w:eastAsia="Arial" w:hAnsi="Arial"/>
                <w:sz w:val="16"/>
                <w:szCs w:val="16"/>
                <w:color w:val="auto"/>
              </w:rPr>
              <w:t>221</w:t>
            </w:r>
          </w:p>
        </w:tc>
        <w:tc>
          <w:tcPr>
            <w:tcW w:w="4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 nonperforming assets</w:t>
            </w:r>
          </w:p>
        </w:tc>
        <w:tc>
          <w:tcPr>
            <w:tcW w:w="18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20,626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9,236</w:t>
            </w:r>
          </w:p>
        </w:tc>
        <w:tc>
          <w:tcPr>
            <w:tcW w:w="4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11,908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700" w:type="dxa"/>
            <w:vAlign w:val="bottom"/>
            <w:tcBorders>
              <w:top w:val="single" w:sz="8" w:color="auto"/>
            </w:tcBorders>
            <w:shd w:val="clear" w:color="auto" w:fill="CFF0FC"/>
          </w:tcPr>
          <w:p>
            <w:pPr>
              <w:spacing w:after="0"/>
              <w:rPr>
                <w:sz w:val="15"/>
                <w:szCs w:val="15"/>
                <w:color w:val="auto"/>
              </w:rPr>
            </w:pPr>
          </w:p>
        </w:tc>
        <w:tc>
          <w:tcPr>
            <w:tcW w:w="180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spacing w:after="0"/>
              <w:rPr>
                <w:sz w:val="15"/>
                <w:szCs w:val="15"/>
                <w:color w:val="auto"/>
              </w:rPr>
            </w:pPr>
          </w:p>
        </w:tc>
        <w:tc>
          <w:tcPr>
            <w:tcW w:w="44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700" w:type="dxa"/>
            <w:vAlign w:val="bottom"/>
          </w:tcPr>
          <w:p>
            <w:pPr>
              <w:ind w:left="20"/>
              <w:spacing w:after="0"/>
              <w:rPr>
                <w:sz w:val="20"/>
                <w:szCs w:val="20"/>
                <w:color w:val="auto"/>
              </w:rPr>
            </w:pPr>
            <w:r>
              <w:rPr>
                <w:rFonts w:ascii="Arial" w:cs="Arial" w:eastAsia="Arial" w:hAnsi="Arial"/>
                <w:sz w:val="16"/>
                <w:szCs w:val="16"/>
                <w:color w:val="auto"/>
              </w:rPr>
              <w:t>Nonperforming loans to total loans</w:t>
            </w:r>
          </w:p>
        </w:tc>
        <w:tc>
          <w:tcPr>
            <w:tcW w:w="18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2.28 %</w:t>
            </w:r>
          </w:p>
        </w:tc>
        <w:tc>
          <w:tcPr>
            <w:tcW w:w="240" w:type="dxa"/>
            <w:vAlign w:val="bottom"/>
          </w:tcPr>
          <w:p>
            <w:pPr>
              <w:spacing w:after="0"/>
              <w:rPr>
                <w:sz w:val="17"/>
                <w:szCs w:val="17"/>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1.00 %</w:t>
            </w:r>
          </w:p>
        </w:tc>
        <w:tc>
          <w:tcPr>
            <w:tcW w:w="4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1.40 %</w:t>
            </w:r>
          </w:p>
        </w:tc>
        <w:tc>
          <w:tcPr>
            <w:tcW w:w="0" w:type="dxa"/>
            <w:vAlign w:val="bottom"/>
          </w:tcPr>
          <w:p>
            <w:pPr>
              <w:spacing w:after="0"/>
              <w:rPr>
                <w:sz w:val="1"/>
                <w:szCs w:val="1"/>
                <w:color w:val="auto"/>
              </w:rPr>
            </w:pPr>
          </w:p>
        </w:tc>
      </w:tr>
      <w:tr>
        <w:trPr>
          <w:trHeight w:val="204"/>
        </w:trPr>
        <w:tc>
          <w:tcPr>
            <w:tcW w:w="4700" w:type="dxa"/>
            <w:vAlign w:val="bottom"/>
          </w:tcPr>
          <w:p>
            <w:pPr>
              <w:ind w:left="20"/>
              <w:spacing w:after="0"/>
              <w:rPr>
                <w:sz w:val="20"/>
                <w:szCs w:val="20"/>
                <w:color w:val="auto"/>
              </w:rPr>
            </w:pPr>
            <w:r>
              <w:rPr>
                <w:rFonts w:ascii="Arial" w:cs="Arial" w:eastAsia="Arial" w:hAnsi="Arial"/>
                <w:sz w:val="16"/>
                <w:szCs w:val="16"/>
                <w:color w:val="auto"/>
              </w:rPr>
              <w:t>Nonperforming assets to total assets</w:t>
            </w:r>
          </w:p>
        </w:tc>
        <w:tc>
          <w:tcPr>
            <w:tcW w:w="180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1.48 %</w:t>
            </w:r>
          </w:p>
        </w:tc>
        <w:tc>
          <w:tcPr>
            <w:tcW w:w="240" w:type="dxa"/>
            <w:vAlign w:val="bottom"/>
          </w:tcPr>
          <w:p>
            <w:pPr>
              <w:spacing w:after="0"/>
              <w:rPr>
                <w:sz w:val="17"/>
                <w:szCs w:val="17"/>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0.66 %</w:t>
            </w:r>
          </w:p>
        </w:tc>
        <w:tc>
          <w:tcPr>
            <w:tcW w:w="4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0.87 %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6707505" cy="1295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19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Nonperforming assets include nonaccrual loans, including nonaccrual loans classified as troubled debt restructurings (“TDRs”) prior to January 1, 2023, and foreclosed real estate (‘‘FRE”). The Company generally places a loan on nonaccrual status and ceases accruing interest when loan payment performance is deemed unsatisfactory and the loan is past due 90 days or more. There are no loans that are past due 90 days or more and still accruing interest at June 30, 2023, December 31, 2022 and June 30, 2022.</w:t>
      </w: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65</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921" w:right="620" w:bottom="1440" w:gutter="0" w:footer="0" w:header="0"/>
        </w:sectPr>
      </w:pPr>
    </w:p>
    <w:bookmarkStart w:id="65" w:name="page66"/>
    <w:bookmarkEnd w:id="65"/>
    <w:p>
      <w:pPr>
        <w:jc w:val="both"/>
        <w:ind w:right="80"/>
        <w:spacing w:after="0" w:line="256" w:lineRule="auto"/>
        <w:rPr>
          <w:sz w:val="20"/>
          <w:szCs w:val="20"/>
          <w:color w:val="auto"/>
        </w:rPr>
      </w:pPr>
      <w:r>
        <w:rPr>
          <w:rFonts w:ascii="Arial" w:cs="Arial" w:eastAsia="Arial" w:hAnsi="Arial"/>
          <w:sz w:val="18"/>
          <w:szCs w:val="18"/>
          <w:color w:val="auto"/>
        </w:rPr>
        <w:t>As indicated in the table above, nonperforming assets at June 30, 2023 were $20.6 million, and were $11.4 million higher than the $9.2 million reported at December 31, 2022 and $8.6 million higher than the reported $11.9 million at June 30, 2022. The increase in the nonperforming loan portfolio on June 30, 2023, as compared to December 31, 2022, was primarily the result of the placement of $13.1 million into nonaccrual status of certain loans with two large commercial real estate loan and commercial loan relationships. These relationships are under active resolution management at June 30, 2023.</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values for commercial FRE are initially recorded based on market value evaluations by third parties, less costs to sell (“initial cost basis”). On a prospective basis, residential FRE assets will be initially recorded at the lower of the net amount of loan receivable or the real estate’s fair value less costs to sell. Any write-downs required when the related loan receivable is exchanged for the underlying real estate collateral at the time of transfer to FRE are charged to the allowance for credit losses. Values are derived from appraisals, similar to impaired loans, of underlying collateral or discounted cash flow analysis. Subsequent to foreclosure, valuations are updated periodically and assets are marked to current fair value, not to exceed the initial cost basis for the FRE property.</w:t>
      </w:r>
    </w:p>
    <w:p>
      <w:pPr>
        <w:spacing w:after="0" w:line="36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allowance for credit losses on loans represents management’s estimate of the probable losses inherent in the loan portfolio as of the date of the statement of condition. The allowance for credit losses was $18.8 million and $15.3 million at June 30, 2023 and December 31, 2022, respectively. The ratio of the allowance for credit losses to total loans was 2.11% as of June 30, 2023, as compared to 1.71% at December 31, 2022 and 1.51% at June 30, 2022. Management performs a quarterly evaluation of the allowance for credit losses based on quantitative and qualitative factors and has determined that the current level of the allowance for credit losses is adequate to absorb the losses in the loan portfolio as of June 30, 2023.</w:t>
      </w:r>
    </w:p>
    <w:p>
      <w:pPr>
        <w:spacing w:after="0" w:line="14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considers a loan impaired when, based on current information and events, it is probable that the Company will be unable to collect the scheduled payments of principal and interest when due according to the contractual terms of the loan. The measurement of impaired loans is generally based upon the fair value of the collateral, with a portion of the impaired loans measured based upon the present value of future cash flows discounted at the historical effective interest rate. A specific reserve is established for an impaired loan if its carrying value exceeds its estimated fair value. The estimated fair values of the majority of the Company’s impaired loans are measured based on the estimated fair value of the loan’s collateral. For loans secured by real estate, estimated fair values are determined primarily through third-party appraisals or broker price opinions. When a loan is determined to be impaired, the Bank will reevaluate the collateral which secures the loan. For real estate, the Company will obtain a new appraisal or broker’s opinion whichever is considered to provide the most accurate value in the event of sale. An evaluation of equipment held as collateral will be obtained from a firm able to provide such an evaluation. Collateral will be inspected not less than annually for all impaired loans and will be reevaluated not less than every two years. Appraised values and broker opinion values are discounted due to the market’s perception of a reduced price of Bank- owned property and the Bank’s desire to sell the property more quickly to arrive at the estimated selling price of the collateral, which is considered to be the estimated fair value. The discounts also include estimated costs to sell the property.</w:t>
      </w:r>
    </w:p>
    <w:p>
      <w:pPr>
        <w:spacing w:after="0" w:line="150"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At June 30, 2023 and December 31, 2022, the Company had $23.8 million and $20.2 million in loans, respectively, which were deemed to be impaired, having established specific reserves of $6.4 million and $4.8 million, respectively, on these loans. The $3.6 million increase in impaired loans between these two dates was primarily the result of the placement into nonaccrual status of loans within two large commercial loan and commercial real estate borrower relationships</w:t>
      </w:r>
      <w:r>
        <w:rPr>
          <w:rFonts w:ascii="Arial" w:cs="Arial" w:eastAsia="Arial" w:hAnsi="Arial"/>
          <w:sz w:val="19"/>
          <w:szCs w:val="19"/>
          <w:color w:val="auto"/>
        </w:rPr>
        <w:t>.</w:t>
      </w:r>
    </w:p>
    <w:p>
      <w:pPr>
        <w:spacing w:after="0" w:line="1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Management has identified potential credit problems which may result in the borrowers not being able to comply with the current loan repayment terms and which may result in those loans being included in future impaired loan reporting. Potential problem loans totaled $36.7 million at June 30, 2023, a decrease of $ 1.9 million, or 4.9%, as compared to $38.6 million at December 31, 2022. These loans have been internally classified as special mention, substandard, or doubtful, yet are not currently considered impaired.</w:t>
      </w:r>
    </w:p>
    <w:p>
      <w:pPr>
        <w:spacing w:after="0" w:line="139"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color w:val="auto"/>
        </w:rPr>
        <w:t>Appraisals are obtained at the time a real estate secured loan is originated. For commercial real estate held as collateral, the property is inspected every two years.</w:t>
      </w:r>
    </w:p>
    <w:p>
      <w:pPr>
        <w:spacing w:after="0" w:line="12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the normal course of business, the Bank sells residential mortgage loans and has infrequently sold participation interests in commercial loans. As is typical in the industry, the Bank makes certain representations and warranties to the buyers of these loans or loan participations. The Bank maintains a quality control program for closed loans and considers the risks and uncertainties associated with potential repurchase requirements to be minimal.</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66</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87" w:right="660" w:bottom="1440" w:gutter="0" w:footer="0" w:header="0"/>
        </w:sectPr>
      </w:pPr>
    </w:p>
    <w:bookmarkStart w:id="66" w:name="page67"/>
    <w:bookmarkEnd w:id="66"/>
    <w:p>
      <w:pPr>
        <w:ind w:right="160"/>
        <w:spacing w:after="0" w:line="254" w:lineRule="auto"/>
        <w:rPr>
          <w:sz w:val="20"/>
          <w:szCs w:val="20"/>
          <w:color w:val="auto"/>
        </w:rPr>
      </w:pPr>
      <w:r>
        <w:rPr>
          <w:rFonts w:ascii="Arial" w:cs="Arial" w:eastAsia="Arial" w:hAnsi="Arial"/>
          <w:sz w:val="18"/>
          <w:szCs w:val="18"/>
          <w:color w:val="auto"/>
        </w:rPr>
        <w:t>The future performance of the Company’s loan portfolios with respect to credit losses will be highly dependent upon the course and duration, both nationally and within the Company’s market area, of the concentrations in the Company’s loan portfolio. Concentrations of loans within a portfolio that are made to a single borrower, to a related group of borrowers, or to a limited number of industries, are generally considered to be additional risk factors in estimating future credit losses. Therefore, the Company monitors all of its credit relationships to ensure that the total loan amounts extended to one borrower, or to a related group of borrowers, does not exceed the maximum permissible levels defined by applicable regulation or the Company’s generally more restrictive internal policy limits.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Liquidity management involves the Company’s ability to generate cash or otherwise obtain funds at reasonable rates to support asset growth, meet deposit withdrawals, maintain reserve requirements, and otherwise operate the Company on an ongoing basis. The Company's primary sources of funds are deposits, borrowed funds, amortization and prepayment of loans and maturities of investment securities and other short-term investments, and earnings and funds provided from operations. While scheduled principal repayments on loans are a relatively predictable source of funds, deposit flows and loan prepayments are greatly influenced by general interest rates, economic conditions and competition. The Company manages the pricing of deposits to maintain a desired deposit composition and balance. In addition, the Company invests excess funds in short-term interest-earning and other assets, which provide liquidity to meet lending requirements.</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liquidity has been enhanced by its ability to borrow from the Federal Home Loan Bank of New York (“FHLBNY”), whose competitive advance programs and lines of credit provide the Company with a safe, reliable, and convenient source of funds. A significant decrease in deposits in the future could result in the Company having to seek other sources of funds for liquidity purposes. Such sources could include, but are not limited to, additional borrowings, brokered deposits, negotiated time deposits, the sale of "available -for-sale" investment securities, the sale of securitized loans, or the sale of whole loans. Such actions could result in higher interest expense and/or losses on the sale of securities or loans.</w:t>
      </w:r>
    </w:p>
    <w:p>
      <w:pPr>
        <w:spacing w:after="0" w:line="14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Through the first six months of 2023, as indicated in the consolidated statement of cash flows, the Company reported net cash flow from operating activities of $1.9 million and net cash flow of $11.2 million related to investing activities. The net cash flow from investing activities was generated principally by a $ 3.8 million decrease in net investment activity, an $8.0 million decrease in net loan activity offset by a decrease of $662,000 in all other investing activities in aggregate. The Company reported net cash outflows from financing activities of $11.6 million, primarily due to a $ 24.3 million decrease in deposits, a $13.8 million increase in net borrowings, and an aggregate decrease in net cash from all other financing sources, including dividends paid to common voting and non-voting shareholders and warrants of $1.1 million.</w:t>
      </w:r>
    </w:p>
    <w:p>
      <w:pPr>
        <w:spacing w:after="0" w:line="1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Bank’s management monitors liquidity on a continuous basis through a broad range of internal programs and considers effective liquidity management to be one of its primary objectives. At June 30, 2023 the Bank had deposits of $1.1 billion, of which $341.0 million were nominally uninsured, as they were above the insurance limits established by the Federal Deposit Insurance Corporation (“FDIC”) on that date. Of the $341.0 million in nominally uninsured deposits at June 30, 2023, $80.0 million were insured through a long-standing reciprocal deposit program managed by a third-party entity. In addition, $90.5 million in municipal deposits are fully protected against principal loss by a collateral program whereby the Bank places high-quality securities with an independent custodian as collateral. Therefore, the Bank had $170.5 million in deposits, representing 17.05% of all deposits, that were considered to be uninsured at June 30, 2023.</w:t>
      </w:r>
    </w:p>
    <w:p>
      <w:pPr>
        <w:spacing w:after="0" w:line="14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has a number of existing credit facilities available to it. At June 30, 2023, total credit available under the existing lines of credit was approximately $188.4 million at FHLBNY, the Federal Reserve Bank, and two other correspondent banks. At June 30, 2023, the Company had $126.5 million of the available lines of credit utilized on its existing lines of credit with the remainder of $61.9 million available.</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an effort to increase depositor confidence across the United States' banking system, the Federal Reserve Board, pursuant to section 13(3) of the Federal Reserve Act, authorized all 12 Reserve Banks to establish the Bank Term Funding Program ("BTFP") to make available additional funding to eligible depository institutions, such as the Bank, in order to help assure those institutions have the ability to meet the liquidity needs of all their depositors. The Bank is fully qualified for the BTFP at June 30, 2023 and the BTFP is an additional potential source of liquidity for the Bank until the date of the Program's termination. The BTFP may be accessed by the Bank if management determines that there is a potential or realized</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67</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43815</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959" w:right="660" w:bottom="1440" w:gutter="0" w:footer="0" w:header="0"/>
        </w:sectPr>
      </w:pPr>
    </w:p>
    <w:bookmarkStart w:id="67" w:name="page68"/>
    <w:bookmarkEnd w:id="67"/>
    <w:p>
      <w:pPr>
        <w:ind w:right="40"/>
        <w:spacing w:after="0" w:line="263" w:lineRule="auto"/>
        <w:rPr>
          <w:sz w:val="20"/>
          <w:szCs w:val="20"/>
          <w:color w:val="auto"/>
        </w:rPr>
      </w:pPr>
      <w:r>
        <w:rPr>
          <w:rFonts w:ascii="Arial" w:cs="Arial" w:eastAsia="Arial" w:hAnsi="Arial"/>
          <w:sz w:val="18"/>
          <w:szCs w:val="18"/>
          <w:color w:val="auto"/>
        </w:rPr>
        <w:t>short-term liquidity requirement for which this facility should be used to support the Bank's operations. Management could also electively choose to use the facility in certain other circumstances to create other financial or operational benefits at the time that the BTFP line is accessed.</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Asset Liability Management Committee of the Company is responsible for implementing the policies and guidelines for the maintenance of prudent levels of liquidity. As of June 30, 2023, management reported to the Board of Directors that the Company is in compliance with its liquidity policy guidelines.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is also a party to financial instruments with off-balance sheet risk in the normal course of business to meet the financing needs of its customers. These financial instruments include commitments to extend credit and standby letters of credit. At June 30, 2023, the Company had $188.7 million in outstanding commitments to extend credit and standby letters of credit.</w:t>
      </w:r>
    </w:p>
    <w:p>
      <w:pPr>
        <w:spacing w:after="0" w:line="1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exposure to credit loss in the event of nonperformance related to off-balance sheet arrangements is proportional to the contractual amount of those instruments. Such financial instruments are recorded when they are funded. The Company records an allowance for credit losses on off-balance sheet credit exposures, unless such commitments are unconditionally cancelable, through the provision for credit losses expense. The allowance for credit losses on off-balance sheet credit exposures as of June 30, 2023 was $546,000 and is included in other liabilities on the Company's consolidated Statements of Condition.</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68</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959" w:right="720"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relating to this item.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2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the supervision and with the participation of our Chief Executive Officer (“CEO”) and our Chief Financial Officer (“CFO”) (the Company’s principal executive officer and principal financial officer), management conducted an evaluation of the effectiveness of the design and operation of our disclosure controls and procedures (as defined in Rule 13a-15(e) and 15d- 15(e) under the Exchange Act) as of June 30, 2023. The term “disclosure controls and procedures,”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officer and principal financial officer, as appropriate to allow timely decisions regarding required disclosure.</w:t>
      </w:r>
    </w:p>
    <w:p>
      <w:pPr>
        <w:spacing w:after="0" w:line="17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0"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color w:val="auto"/>
        </w:rPr>
        <w:t>Based on the evaluation of our disclosure controls and procedures as of June 30, 2023, our CEO and CFO concluded that our disclosure controls and procedures were effective as of that date.</w:t>
      </w:r>
    </w:p>
    <w:p>
      <w:pPr>
        <w:spacing w:after="0" w:line="1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disclosed elsewhere within this document, during the first quarter of 2023 the Company adopted ASU 2016 -13 and consequently, the CECL model for accounting for credit losses related to financial assets. The adoption of the model and the ongoing calculations under CECL involve significant complexity and management has engaged expert independent third parties to complete significant portions of the transition to CECL and to manage the ongoing processes involved in CECL calculations, documentation and reporting. In many cases, our disclosure controls and procedures have been modified significantly to accommodate the requirements of the CECL model and those controls require increased reliance on the services and expertise provided by the engaged independent parties. Management believes that these new disclosure controls are currently effective, and will be effective in the future, with respect to the calculation of the Company's allowance for credit losses. Other than the adoption of the CECL model, there were no changes made in our internal controls during the quarter ended June 30, 2023 that have materially affected, or are reasonably likely to materially affect, the Company’s internal control over financial reporting</w:t>
      </w:r>
      <w:r>
        <w:rPr>
          <w:rFonts w:ascii="Arial" w:cs="Arial" w:eastAsia="Arial" w:hAnsi="Arial"/>
          <w:sz w:val="19"/>
          <w:szCs w:val="19"/>
          <w:color w:val="auto"/>
        </w:rPr>
        <w: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69</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877" w:right="700"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235"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At June 30, 2023, the Company is not currently a named party in a legal proceeding, the outcome of which would have a material and adverse effect on the financial condition or results of operations of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relating to this item.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 and Issuer Purchases of Equity Securities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Maximum Number</w:t>
            </w:r>
          </w:p>
        </w:tc>
      </w:tr>
      <w:tr>
        <w:trPr>
          <w:trHeight w:val="180"/>
        </w:trPr>
        <w:tc>
          <w:tcPr>
            <w:tcW w:w="33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900" w:type="dxa"/>
            <w:vAlign w:val="bottom"/>
          </w:tcPr>
          <w:p>
            <w:pPr>
              <w:jc w:val="right"/>
              <w:ind w:right="122"/>
              <w:spacing w:after="0" w:line="180" w:lineRule="exact"/>
              <w:rPr>
                <w:sz w:val="20"/>
                <w:szCs w:val="20"/>
                <w:color w:val="auto"/>
              </w:rPr>
            </w:pPr>
            <w:r>
              <w:rPr>
                <w:rFonts w:ascii="Arial" w:cs="Arial" w:eastAsia="Arial" w:hAnsi="Arial"/>
                <w:sz w:val="16"/>
                <w:szCs w:val="16"/>
                <w:color w:val="auto"/>
              </w:rPr>
              <w:t>Total Number of</w:t>
            </w:r>
          </w:p>
        </w:tc>
        <w:tc>
          <w:tcPr>
            <w:tcW w:w="1540" w:type="dxa"/>
            <w:vAlign w:val="bottom"/>
          </w:tcPr>
          <w:p>
            <w:pPr>
              <w:jc w:val="right"/>
              <w:ind w:right="22"/>
              <w:spacing w:after="0" w:line="180" w:lineRule="exact"/>
              <w:rPr>
                <w:sz w:val="20"/>
                <w:szCs w:val="20"/>
                <w:color w:val="auto"/>
              </w:rPr>
            </w:pPr>
            <w:r>
              <w:rPr>
                <w:rFonts w:ascii="Arial" w:cs="Arial" w:eastAsia="Arial" w:hAnsi="Arial"/>
                <w:sz w:val="16"/>
                <w:szCs w:val="16"/>
                <w:color w:val="auto"/>
              </w:rPr>
              <w:t>of Shares That</w:t>
            </w:r>
          </w:p>
        </w:tc>
      </w:tr>
      <w:tr>
        <w:trPr>
          <w:trHeight w:val="180"/>
        </w:trPr>
        <w:tc>
          <w:tcPr>
            <w:tcW w:w="33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900" w:type="dxa"/>
            <w:vAlign w:val="bottom"/>
          </w:tcPr>
          <w:p>
            <w:pPr>
              <w:jc w:val="right"/>
              <w:ind w:right="122"/>
              <w:spacing w:after="0" w:line="180" w:lineRule="exact"/>
              <w:rPr>
                <w:sz w:val="20"/>
                <w:szCs w:val="20"/>
                <w:color w:val="auto"/>
              </w:rPr>
            </w:pPr>
            <w:r>
              <w:rPr>
                <w:rFonts w:ascii="Arial" w:cs="Arial" w:eastAsia="Arial" w:hAnsi="Arial"/>
                <w:sz w:val="16"/>
                <w:szCs w:val="16"/>
                <w:color w:val="auto"/>
              </w:rPr>
              <w:t>Shares Purchased as</w:t>
            </w:r>
          </w:p>
        </w:tc>
        <w:tc>
          <w:tcPr>
            <w:tcW w:w="1540" w:type="dxa"/>
            <w:vAlign w:val="bottom"/>
          </w:tcPr>
          <w:p>
            <w:pPr>
              <w:jc w:val="right"/>
              <w:ind w:right="22"/>
              <w:spacing w:after="0" w:line="180" w:lineRule="exact"/>
              <w:rPr>
                <w:sz w:val="20"/>
                <w:szCs w:val="20"/>
                <w:color w:val="auto"/>
              </w:rPr>
            </w:pPr>
            <w:r>
              <w:rPr>
                <w:rFonts w:ascii="Arial" w:cs="Arial" w:eastAsia="Arial" w:hAnsi="Arial"/>
                <w:sz w:val="16"/>
                <w:szCs w:val="16"/>
                <w:color w:val="auto"/>
              </w:rPr>
              <w:t>May Yet Be</w:t>
            </w:r>
          </w:p>
        </w:tc>
      </w:tr>
      <w:tr>
        <w:trPr>
          <w:trHeight w:val="180"/>
        </w:trPr>
        <w:tc>
          <w:tcPr>
            <w:tcW w:w="3360" w:type="dxa"/>
            <w:vAlign w:val="bottom"/>
          </w:tcPr>
          <w:p>
            <w:pPr>
              <w:spacing w:after="0"/>
              <w:rPr>
                <w:sz w:val="15"/>
                <w:szCs w:val="15"/>
                <w:color w:val="auto"/>
              </w:rPr>
            </w:pPr>
          </w:p>
        </w:tc>
        <w:tc>
          <w:tcPr>
            <w:tcW w:w="2100" w:type="dxa"/>
            <w:vAlign w:val="bottom"/>
          </w:tcPr>
          <w:p>
            <w:pPr>
              <w:jc w:val="right"/>
              <w:ind w:right="82"/>
              <w:spacing w:after="0" w:line="180" w:lineRule="exact"/>
              <w:rPr>
                <w:sz w:val="20"/>
                <w:szCs w:val="20"/>
                <w:color w:val="auto"/>
              </w:rPr>
            </w:pPr>
            <w:r>
              <w:rPr>
                <w:rFonts w:ascii="Arial" w:cs="Arial" w:eastAsia="Arial" w:hAnsi="Arial"/>
                <w:sz w:val="16"/>
                <w:szCs w:val="16"/>
                <w:color w:val="auto"/>
              </w:rPr>
              <w:t>Total Number of</w:t>
            </w:r>
          </w:p>
        </w:tc>
        <w:tc>
          <w:tcPr>
            <w:tcW w:w="340" w:type="dxa"/>
            <w:vAlign w:val="bottom"/>
          </w:tcPr>
          <w:p>
            <w:pPr>
              <w:spacing w:after="0"/>
              <w:rPr>
                <w:sz w:val="15"/>
                <w:szCs w:val="15"/>
                <w:color w:val="auto"/>
              </w:rPr>
            </w:pPr>
          </w:p>
        </w:tc>
        <w:tc>
          <w:tcPr>
            <w:tcW w:w="1320" w:type="dxa"/>
            <w:vAlign w:val="bottom"/>
          </w:tcPr>
          <w:p>
            <w:pPr>
              <w:jc w:val="right"/>
              <w:ind w:right="162"/>
              <w:spacing w:after="0" w:line="180" w:lineRule="exact"/>
              <w:rPr>
                <w:sz w:val="20"/>
                <w:szCs w:val="20"/>
                <w:color w:val="auto"/>
              </w:rPr>
            </w:pPr>
            <w:r>
              <w:rPr>
                <w:rFonts w:ascii="Arial" w:cs="Arial" w:eastAsia="Arial" w:hAnsi="Arial"/>
                <w:sz w:val="16"/>
                <w:szCs w:val="16"/>
                <w:color w:val="auto"/>
              </w:rPr>
              <w:t>Average Price</w:t>
            </w:r>
          </w:p>
        </w:tc>
        <w:tc>
          <w:tcPr>
            <w:tcW w:w="1900" w:type="dxa"/>
            <w:vAlign w:val="bottom"/>
          </w:tcPr>
          <w:p>
            <w:pPr>
              <w:jc w:val="right"/>
              <w:ind w:right="122"/>
              <w:spacing w:after="0" w:line="180" w:lineRule="exact"/>
              <w:rPr>
                <w:sz w:val="20"/>
                <w:szCs w:val="20"/>
                <w:color w:val="auto"/>
              </w:rPr>
            </w:pPr>
            <w:r>
              <w:rPr>
                <w:rFonts w:ascii="Arial" w:cs="Arial" w:eastAsia="Arial" w:hAnsi="Arial"/>
                <w:sz w:val="16"/>
                <w:szCs w:val="16"/>
                <w:color w:val="auto"/>
              </w:rPr>
              <w:t>Part of Publicly</w:t>
            </w:r>
          </w:p>
        </w:tc>
        <w:tc>
          <w:tcPr>
            <w:tcW w:w="1540" w:type="dxa"/>
            <w:vAlign w:val="bottom"/>
          </w:tcPr>
          <w:p>
            <w:pPr>
              <w:jc w:val="right"/>
              <w:ind w:right="22"/>
              <w:spacing w:after="0" w:line="180" w:lineRule="exact"/>
              <w:rPr>
                <w:sz w:val="20"/>
                <w:szCs w:val="20"/>
                <w:color w:val="auto"/>
              </w:rPr>
            </w:pPr>
            <w:r>
              <w:rPr>
                <w:rFonts w:ascii="Arial" w:cs="Arial" w:eastAsia="Arial" w:hAnsi="Arial"/>
                <w:sz w:val="16"/>
                <w:szCs w:val="16"/>
                <w:color w:val="auto"/>
              </w:rPr>
              <w:t>Purchased Under</w:t>
            </w:r>
          </w:p>
        </w:tc>
      </w:tr>
      <w:tr>
        <w:trPr>
          <w:trHeight w:val="153"/>
        </w:trPr>
        <w:tc>
          <w:tcPr>
            <w:tcW w:w="3360" w:type="dxa"/>
            <w:vAlign w:val="bottom"/>
          </w:tcPr>
          <w:p>
            <w:pPr>
              <w:spacing w:after="0"/>
              <w:rPr>
                <w:sz w:val="13"/>
                <w:szCs w:val="13"/>
                <w:color w:val="auto"/>
              </w:rPr>
            </w:pPr>
          </w:p>
        </w:tc>
        <w:tc>
          <w:tcPr>
            <w:tcW w:w="2100" w:type="dxa"/>
            <w:vAlign w:val="bottom"/>
          </w:tcPr>
          <w:p>
            <w:pPr>
              <w:jc w:val="right"/>
              <w:ind w:right="82"/>
              <w:spacing w:after="0" w:line="154" w:lineRule="exact"/>
              <w:rPr>
                <w:sz w:val="20"/>
                <w:szCs w:val="20"/>
                <w:color w:val="auto"/>
              </w:rPr>
            </w:pPr>
            <w:r>
              <w:rPr>
                <w:rFonts w:ascii="Arial" w:cs="Arial" w:eastAsia="Arial" w:hAnsi="Arial"/>
                <w:sz w:val="16"/>
                <w:szCs w:val="16"/>
                <w:color w:val="auto"/>
              </w:rPr>
              <w:t>Shares</w:t>
            </w:r>
          </w:p>
        </w:tc>
        <w:tc>
          <w:tcPr>
            <w:tcW w:w="340" w:type="dxa"/>
            <w:vAlign w:val="bottom"/>
          </w:tcPr>
          <w:p>
            <w:pPr>
              <w:spacing w:after="0"/>
              <w:rPr>
                <w:sz w:val="13"/>
                <w:szCs w:val="13"/>
                <w:color w:val="auto"/>
              </w:rPr>
            </w:pPr>
          </w:p>
        </w:tc>
        <w:tc>
          <w:tcPr>
            <w:tcW w:w="1320" w:type="dxa"/>
            <w:vAlign w:val="bottom"/>
          </w:tcPr>
          <w:p>
            <w:pPr>
              <w:jc w:val="right"/>
              <w:ind w:right="162"/>
              <w:spacing w:after="0" w:line="154" w:lineRule="exact"/>
              <w:rPr>
                <w:sz w:val="20"/>
                <w:szCs w:val="20"/>
                <w:color w:val="auto"/>
              </w:rPr>
            </w:pPr>
            <w:r>
              <w:rPr>
                <w:rFonts w:ascii="Arial" w:cs="Arial" w:eastAsia="Arial" w:hAnsi="Arial"/>
                <w:sz w:val="16"/>
                <w:szCs w:val="16"/>
                <w:color w:val="auto"/>
              </w:rPr>
              <w:t>Paid</w:t>
            </w:r>
          </w:p>
        </w:tc>
        <w:tc>
          <w:tcPr>
            <w:tcW w:w="1900" w:type="dxa"/>
            <w:vAlign w:val="bottom"/>
          </w:tcPr>
          <w:p>
            <w:pPr>
              <w:jc w:val="right"/>
              <w:ind w:right="122"/>
              <w:spacing w:after="0" w:line="154" w:lineRule="exact"/>
              <w:rPr>
                <w:sz w:val="20"/>
                <w:szCs w:val="20"/>
                <w:color w:val="auto"/>
              </w:rPr>
            </w:pPr>
            <w:r>
              <w:rPr>
                <w:rFonts w:ascii="Arial" w:cs="Arial" w:eastAsia="Arial" w:hAnsi="Arial"/>
                <w:sz w:val="16"/>
                <w:szCs w:val="16"/>
                <w:color w:val="auto"/>
              </w:rPr>
              <w:t>Announced Plans or</w:t>
            </w:r>
          </w:p>
        </w:tc>
        <w:tc>
          <w:tcPr>
            <w:tcW w:w="1540" w:type="dxa"/>
            <w:vAlign w:val="bottom"/>
          </w:tcPr>
          <w:p>
            <w:pPr>
              <w:jc w:val="right"/>
              <w:ind w:right="22"/>
              <w:spacing w:after="0" w:line="154" w:lineRule="exact"/>
              <w:rPr>
                <w:sz w:val="20"/>
                <w:szCs w:val="20"/>
                <w:color w:val="auto"/>
              </w:rPr>
            </w:pPr>
            <w:r>
              <w:rPr>
                <w:rFonts w:ascii="Arial" w:cs="Arial" w:eastAsia="Arial" w:hAnsi="Arial"/>
                <w:sz w:val="16"/>
                <w:szCs w:val="16"/>
                <w:color w:val="auto"/>
              </w:rPr>
              <w:t>the Plans or</w:t>
            </w:r>
          </w:p>
        </w:tc>
      </w:tr>
      <w:tr>
        <w:trPr>
          <w:trHeight w:val="226"/>
        </w:trPr>
        <w:tc>
          <w:tcPr>
            <w:tcW w:w="3360" w:type="dxa"/>
            <w:vAlign w:val="bottom"/>
          </w:tcPr>
          <w:p>
            <w:pPr>
              <w:ind w:left="20"/>
              <w:spacing w:after="0"/>
              <w:rPr>
                <w:sz w:val="20"/>
                <w:szCs w:val="20"/>
                <w:color w:val="auto"/>
              </w:rPr>
            </w:pPr>
            <w:r>
              <w:rPr>
                <w:rFonts w:ascii="Arial" w:cs="Arial" w:eastAsia="Arial" w:hAnsi="Arial"/>
                <w:sz w:val="16"/>
                <w:szCs w:val="16"/>
                <w:color w:val="auto"/>
              </w:rPr>
              <w:t>Period</w:t>
            </w:r>
          </w:p>
        </w:tc>
        <w:tc>
          <w:tcPr>
            <w:tcW w:w="2100" w:type="dxa"/>
            <w:vAlign w:val="bottom"/>
          </w:tcPr>
          <w:p>
            <w:pPr>
              <w:jc w:val="right"/>
              <w:ind w:right="82"/>
              <w:spacing w:after="0" w:line="226" w:lineRule="exact"/>
              <w:rPr>
                <w:sz w:val="20"/>
                <w:szCs w:val="20"/>
                <w:color w:val="auto"/>
              </w:rPr>
            </w:pPr>
            <w:r>
              <w:rPr>
                <w:rFonts w:ascii="Arial" w:cs="Arial" w:eastAsia="Arial" w:hAnsi="Arial"/>
                <w:sz w:val="16"/>
                <w:szCs w:val="16"/>
                <w:color w:val="auto"/>
              </w:rPr>
              <w:t xml:space="preserve">Purchased </w:t>
            </w:r>
            <w:r>
              <w:rPr>
                <w:rFonts w:ascii="Arial" w:cs="Arial" w:eastAsia="Arial" w:hAnsi="Arial"/>
                <w:sz w:val="21"/>
                <w:szCs w:val="21"/>
                <w:color w:val="auto"/>
                <w:vertAlign w:val="superscript"/>
              </w:rPr>
              <w:t>(1)</w:t>
            </w:r>
          </w:p>
        </w:tc>
        <w:tc>
          <w:tcPr>
            <w:tcW w:w="340" w:type="dxa"/>
            <w:vAlign w:val="bottom"/>
          </w:tcPr>
          <w:p>
            <w:pPr>
              <w:spacing w:after="0"/>
              <w:rPr>
                <w:sz w:val="19"/>
                <w:szCs w:val="19"/>
                <w:color w:val="auto"/>
              </w:rPr>
            </w:pPr>
          </w:p>
        </w:tc>
        <w:tc>
          <w:tcPr>
            <w:tcW w:w="1320" w:type="dxa"/>
            <w:vAlign w:val="bottom"/>
          </w:tcPr>
          <w:p>
            <w:pPr>
              <w:jc w:val="right"/>
              <w:ind w:right="162"/>
              <w:spacing w:after="0"/>
              <w:rPr>
                <w:sz w:val="20"/>
                <w:szCs w:val="20"/>
                <w:color w:val="auto"/>
              </w:rPr>
            </w:pPr>
            <w:r>
              <w:rPr>
                <w:rFonts w:ascii="Arial" w:cs="Arial" w:eastAsia="Arial" w:hAnsi="Arial"/>
                <w:sz w:val="16"/>
                <w:szCs w:val="16"/>
                <w:color w:val="auto"/>
              </w:rPr>
              <w:t>Per Share</w:t>
            </w:r>
          </w:p>
        </w:tc>
        <w:tc>
          <w:tcPr>
            <w:tcW w:w="1900" w:type="dxa"/>
            <w:vAlign w:val="bottom"/>
          </w:tcPr>
          <w:p>
            <w:pPr>
              <w:jc w:val="right"/>
              <w:ind w:right="102"/>
              <w:spacing w:after="0"/>
              <w:rPr>
                <w:sz w:val="20"/>
                <w:szCs w:val="20"/>
                <w:color w:val="auto"/>
              </w:rPr>
            </w:pPr>
            <w:r>
              <w:rPr>
                <w:rFonts w:ascii="Arial" w:cs="Arial" w:eastAsia="Arial" w:hAnsi="Arial"/>
                <w:sz w:val="16"/>
                <w:szCs w:val="16"/>
                <w:color w:val="auto"/>
              </w:rPr>
              <w:t>Programs</w:t>
            </w:r>
          </w:p>
        </w:tc>
        <w:tc>
          <w:tcPr>
            <w:tcW w:w="1540" w:type="dxa"/>
            <w:vAlign w:val="bottom"/>
          </w:tcPr>
          <w:p>
            <w:pPr>
              <w:jc w:val="right"/>
              <w:ind w:right="22"/>
              <w:spacing w:after="0"/>
              <w:rPr>
                <w:sz w:val="20"/>
                <w:szCs w:val="20"/>
                <w:color w:val="auto"/>
              </w:rPr>
            </w:pPr>
            <w:r>
              <w:rPr>
                <w:rFonts w:ascii="Arial" w:cs="Arial" w:eastAsia="Arial" w:hAnsi="Arial"/>
                <w:sz w:val="16"/>
                <w:szCs w:val="16"/>
                <w:color w:val="auto"/>
              </w:rPr>
              <w:t>Programs</w:t>
            </w:r>
          </w:p>
        </w:tc>
      </w:tr>
      <w:tr>
        <w:trPr>
          <w:trHeight w:val="204"/>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April 1, 2023 through April 30, 2023</w:t>
            </w:r>
          </w:p>
        </w:tc>
        <w:tc>
          <w:tcPr>
            <w:tcW w:w="21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w:t>
            </w:r>
          </w:p>
        </w:tc>
        <w:tc>
          <w:tcPr>
            <w:tcW w:w="19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74,292</w:t>
            </w:r>
          </w:p>
        </w:tc>
      </w:tr>
      <w:tr>
        <w:trPr>
          <w:trHeight w:val="204"/>
        </w:trPr>
        <w:tc>
          <w:tcPr>
            <w:tcW w:w="33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4"/>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May 1, 2023 through May 31, 2023</w:t>
            </w:r>
          </w:p>
        </w:tc>
        <w:tc>
          <w:tcPr>
            <w:tcW w:w="21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w:t>
            </w:r>
          </w:p>
        </w:tc>
        <w:tc>
          <w:tcPr>
            <w:tcW w:w="19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74,292</w:t>
            </w:r>
          </w:p>
        </w:tc>
      </w:tr>
      <w:tr>
        <w:trPr>
          <w:trHeight w:val="240"/>
        </w:trPr>
        <w:tc>
          <w:tcPr>
            <w:tcW w:w="3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4"/>
        </w:trPr>
        <w:tc>
          <w:tcPr>
            <w:tcW w:w="3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June 1, 2023 through June 30, 2023</w:t>
            </w:r>
          </w:p>
        </w:tc>
        <w:tc>
          <w:tcPr>
            <w:tcW w:w="21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w:t>
            </w:r>
          </w:p>
        </w:tc>
        <w:tc>
          <w:tcPr>
            <w:tcW w:w="19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74,292</w:t>
            </w:r>
          </w:p>
        </w:tc>
      </w:tr>
    </w:tbl>
    <w:p>
      <w:pPr>
        <w:spacing w:after="0" w:line="305" w:lineRule="exact"/>
        <w:rPr>
          <w:sz w:val="20"/>
          <w:szCs w:val="20"/>
          <w:color w:val="auto"/>
        </w:rPr>
      </w:pPr>
    </w:p>
    <w:p>
      <w:pPr>
        <w:jc w:val="both"/>
        <w:ind w:right="80"/>
        <w:spacing w:after="0" w:line="252" w:lineRule="auto"/>
        <w:rPr>
          <w:sz w:val="20"/>
          <w:szCs w:val="20"/>
          <w:color w:val="auto"/>
        </w:rPr>
      </w:pPr>
      <w:r>
        <w:rPr>
          <w:rFonts w:ascii="Arial" w:cs="Arial" w:eastAsia="Arial" w:hAnsi="Arial"/>
          <w:sz w:val="16"/>
          <w:szCs w:val="16"/>
          <w:color w:val="auto"/>
        </w:rPr>
        <w:t>(1)On August 29, 2016, our Board of Directors authorized the repurchase of up to 217,692 shares of our common stock, or 5% of the Company’s shares outstanding as of that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Exhibits</w:t>
      </w:r>
    </w:p>
    <w:p>
      <w:pPr>
        <w:spacing w:after="0" w:line="250"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80" w:type="dxa"/>
            <w:vAlign w:val="bottom"/>
          </w:tcPr>
          <w:p>
            <w:pPr>
              <w:spacing w:after="0"/>
              <w:rPr>
                <w:sz w:val="16"/>
                <w:szCs w:val="16"/>
                <w:color w:val="auto"/>
              </w:rPr>
            </w:pPr>
          </w:p>
        </w:tc>
        <w:tc>
          <w:tcPr>
            <w:tcW w:w="540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80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0" w:type="dxa"/>
            <w:vAlign w:val="bottom"/>
            <w:gridSpan w:val="3"/>
            <w:vMerge w:val="restart"/>
          </w:tcPr>
          <w:p>
            <w:pPr>
              <w:spacing w:after="0"/>
              <w:rPr>
                <w:rFonts w:ascii="Arial" w:cs="Arial" w:eastAsia="Arial" w:hAnsi="Arial"/>
                <w:sz w:val="18"/>
                <w:szCs w:val="18"/>
                <w:color w:val="0000FF"/>
                <w:w w:val="99"/>
              </w:rPr>
            </w:pPr>
            <w:hyperlink w:anchor="page1">
              <w:r>
                <w:rPr>
                  <w:rFonts w:ascii="Arial" w:cs="Arial" w:eastAsia="Arial" w:hAnsi="Arial"/>
                  <w:sz w:val="18"/>
                  <w:szCs w:val="18"/>
                  <w:color w:val="0000FF"/>
                  <w:w w:val="99"/>
                </w:rPr>
                <w:t>Rule 13a-14(a)/15d-14(a) Certification of the Chief Executive Officer</w:t>
              </w:r>
            </w:hyperlink>
          </w:p>
        </w:tc>
        <w:tc>
          <w:tcPr>
            <w:tcW w:w="0" w:type="dxa"/>
            <w:vAlign w:val="bottom"/>
          </w:tcPr>
          <w:p>
            <w:pPr>
              <w:spacing w:after="0"/>
              <w:rPr>
                <w:sz w:val="1"/>
                <w:szCs w:val="1"/>
                <w:color w:val="auto"/>
              </w:rPr>
            </w:pPr>
          </w:p>
        </w:tc>
      </w:tr>
      <w:tr>
        <w:trPr>
          <w:trHeight w:val="225"/>
        </w:trPr>
        <w:tc>
          <w:tcPr>
            <w:tcW w:w="800" w:type="dxa"/>
            <w:vAlign w:val="bottom"/>
            <w:vMerge w:val="continue"/>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0" w:type="dxa"/>
            <w:vAlign w:val="bottom"/>
            <w:tcBorders>
              <w:bottom w:val="single" w:sz="8" w:color="0000FF"/>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800" w:type="dxa"/>
            <w:vAlign w:val="bottom"/>
          </w:tcPr>
          <w:p>
            <w:pPr>
              <w:spacing w:after="0" w:line="192" w:lineRule="exact"/>
              <w:rPr>
                <w:sz w:val="20"/>
                <w:szCs w:val="20"/>
                <w:color w:val="auto"/>
              </w:rPr>
            </w:pPr>
            <w:r>
              <w:rPr>
                <w:rFonts w:ascii="Arial" w:cs="Arial" w:eastAsia="Arial" w:hAnsi="Arial"/>
                <w:sz w:val="18"/>
                <w:szCs w:val="18"/>
                <w:color w:val="auto"/>
              </w:rPr>
              <w:t>31.2</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340" w:type="dxa"/>
            <w:vAlign w:val="bottom"/>
            <w:tcBorders>
              <w:bottom w:val="single" w:sz="8" w:color="0000FF"/>
            </w:tcBorders>
            <w:gridSpan w:val="2"/>
          </w:tcPr>
          <w:p>
            <w:pPr>
              <w:spacing w:after="0" w:line="192" w:lineRule="exact"/>
              <w:rPr>
                <w:rFonts w:ascii="Arial" w:cs="Arial" w:eastAsia="Arial" w:hAnsi="Arial"/>
                <w:sz w:val="18"/>
                <w:szCs w:val="18"/>
                <w:color w:val="0000FF"/>
                <w:w w:val="99"/>
              </w:rPr>
            </w:pPr>
            <w:hyperlink w:anchor="page1">
              <w:r>
                <w:rPr>
                  <w:rFonts w:ascii="Arial" w:cs="Arial" w:eastAsia="Arial" w:hAnsi="Arial"/>
                  <w:sz w:val="18"/>
                  <w:szCs w:val="18"/>
                  <w:color w:val="0000FF"/>
                  <w:w w:val="99"/>
                </w:rPr>
                <w:t>Rule 13a-14(a)/15d-14(a) Certification of the Chief Financial Officer</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500" w:hanging="1410"/>
        <w:spacing w:after="0"/>
        <w:tabs>
          <w:tab w:leader="none" w:pos="1500" w:val="left"/>
        </w:tabs>
        <w:numPr>
          <w:ilvl w:val="0"/>
          <w:numId w:val="6"/>
        </w:numPr>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Section 1350 Certification of the Chief Executive Officer and Chief Financial Officer</w:t>
        </w:r>
      </w:hyperlink>
    </w:p>
    <w:p>
      <w:pPr>
        <w:spacing w:after="0" w:line="33" w:lineRule="exact"/>
        <w:rPr>
          <w:sz w:val="20"/>
          <w:szCs w:val="20"/>
          <w:color w:val="auto"/>
        </w:rPr>
      </w:pPr>
    </w:p>
    <w:p>
      <w:pPr>
        <w:ind w:left="1500" w:right="340" w:hanging="1410"/>
        <w:spacing w:after="0" w:line="256" w:lineRule="auto"/>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formatted in Inline Extensible Business Reporting Language (iXBRL): (i) the Consolidated Statements of Condition, (ii) the Consolidated Statements of Income (iii) the Consolidated Statements of Comprehensive Income, (iv) the Consolidated Statements of Changes in Shareholders’ Equity, (v) Consolidated Statements of Cash Flows, and (vi) the Notes to the Consolidated Financial Statements tagged as blocks of text.</w:t>
      </w:r>
    </w:p>
    <w:p>
      <w:pPr>
        <w:ind w:left="1500" w:hanging="1410"/>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92" w:lineRule="exact"/>
        <w:rPr>
          <w:rFonts w:ascii="Arial" w:cs="Arial" w:eastAsia="Arial" w:hAnsi="Arial"/>
          <w:sz w:val="18"/>
          <w:szCs w:val="18"/>
          <w:color w:val="auto"/>
        </w:rPr>
      </w:pPr>
    </w:p>
    <w:p>
      <w:pPr>
        <w:ind w:left="5200" w:hanging="93"/>
        <w:spacing w:after="0"/>
        <w:tabs>
          <w:tab w:leader="none" w:pos="5200" w:val="left"/>
        </w:tabs>
        <w:numPr>
          <w:ilvl w:val="1"/>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70 </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77" w:right="680" w:bottom="1440" w:gutter="0" w:footer="0" w:header="0"/>
        </w:sectPr>
      </w:pPr>
    </w:p>
    <w:bookmarkStart w:id="70" w:name="page71"/>
    <w:bookmarkEnd w:id="70"/>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p>
      <w:pPr>
        <w:ind w:left="2120"/>
        <w:spacing w:after="0"/>
        <w:rPr>
          <w:sz w:val="20"/>
          <w:szCs w:val="20"/>
          <w:color w:val="auto"/>
        </w:rPr>
      </w:pPr>
      <w:r>
        <w:rPr>
          <w:rFonts w:ascii="Arial" w:cs="Arial" w:eastAsia="Arial" w:hAnsi="Arial"/>
          <w:sz w:val="18"/>
          <w:szCs w:val="18"/>
          <w:b w:val="1"/>
          <w:bCs w:val="1"/>
          <w:u w:val="single" w:color="auto"/>
          <w:color w:val="auto"/>
        </w:rPr>
        <w:t>PATHFINDER BANCORP, INC.</w:t>
      </w:r>
    </w:p>
    <w:p>
      <w:pPr>
        <w:spacing w:after="0" w:line="31"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(registrant)</w:t>
      </w:r>
    </w:p>
    <w:p>
      <w:pPr>
        <w:spacing w:after="0" w:line="249" w:lineRule="exact"/>
        <w:rPr>
          <w:sz w:val="20"/>
          <w:szCs w:val="20"/>
          <w:color w:val="auto"/>
        </w:rPr>
      </w:pPr>
    </w:p>
    <w:p>
      <w:pPr>
        <w:ind w:left="100"/>
        <w:spacing w:after="0"/>
        <w:tabs>
          <w:tab w:leader="none" w:pos="2540" w:val="left"/>
        </w:tabs>
        <w:rPr>
          <w:sz w:val="20"/>
          <w:szCs w:val="20"/>
          <w:color w:val="auto"/>
        </w:rPr>
      </w:pPr>
      <w:r>
        <w:rPr>
          <w:rFonts w:ascii="Arial" w:cs="Arial" w:eastAsia="Arial" w:hAnsi="Arial"/>
          <w:sz w:val="18"/>
          <w:szCs w:val="18"/>
          <w:u w:val="single" w:color="auto"/>
          <w:color w:val="auto"/>
        </w:rPr>
        <w:t>August 9, 2023</w:t>
      </w:r>
      <w:r>
        <w:rPr>
          <w:sz w:val="20"/>
          <w:szCs w:val="20"/>
          <w:color w:val="auto"/>
        </w:rPr>
        <w:tab/>
      </w:r>
      <w:r>
        <w:rPr>
          <w:rFonts w:ascii="Arial" w:cs="Arial" w:eastAsia="Arial" w:hAnsi="Arial"/>
          <w:sz w:val="17"/>
          <w:szCs w:val="17"/>
          <w:u w:val="single" w:color="auto"/>
          <w:color w:val="auto"/>
        </w:rPr>
        <w:t>/s/ James A. Dowd</w:t>
      </w:r>
    </w:p>
    <w:p>
      <w:pPr>
        <w:spacing w:after="0" w:line="3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James A. Dowd</w:t>
      </w:r>
    </w:p>
    <w:p>
      <w:pPr>
        <w:spacing w:after="0" w:line="3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President and Chief Executive Officer</w:t>
      </w:r>
    </w:p>
    <w:p>
      <w:pPr>
        <w:spacing w:after="0" w:line="273" w:lineRule="exact"/>
        <w:rPr>
          <w:sz w:val="20"/>
          <w:szCs w:val="20"/>
          <w:color w:val="auto"/>
        </w:rPr>
      </w:pPr>
    </w:p>
    <w:p>
      <w:pPr>
        <w:ind w:left="100"/>
        <w:spacing w:after="0"/>
        <w:tabs>
          <w:tab w:leader="none" w:pos="2540" w:val="left"/>
        </w:tabs>
        <w:rPr>
          <w:sz w:val="20"/>
          <w:szCs w:val="20"/>
          <w:color w:val="auto"/>
        </w:rPr>
      </w:pPr>
      <w:r>
        <w:rPr>
          <w:rFonts w:ascii="Arial" w:cs="Arial" w:eastAsia="Arial" w:hAnsi="Arial"/>
          <w:sz w:val="18"/>
          <w:szCs w:val="18"/>
          <w:u w:val="single" w:color="auto"/>
          <w:color w:val="auto"/>
        </w:rPr>
        <w:t>August 9, 2023</w:t>
      </w:r>
      <w:r>
        <w:rPr>
          <w:sz w:val="20"/>
          <w:szCs w:val="20"/>
          <w:color w:val="auto"/>
        </w:rPr>
        <w:tab/>
      </w:r>
      <w:r>
        <w:rPr>
          <w:rFonts w:ascii="Arial" w:cs="Arial" w:eastAsia="Arial" w:hAnsi="Arial"/>
          <w:sz w:val="18"/>
          <w:szCs w:val="18"/>
          <w:color w:val="auto"/>
        </w:rPr>
        <w:t>/s/ Walter F. Rusnak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-12065</wp:posOffset>
            </wp:positionV>
            <wp:extent cx="106680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66800" cy="7620"/>
                    </a:xfrm>
                    <a:prstGeom prst="rect">
                      <a:avLst/>
                    </a:prstGeom>
                    <a:noFill/>
                  </pic:spPr>
                </pic:pic>
              </a:graphicData>
            </a:graphic>
          </wp:anchor>
        </w:drawing>
      </w:r>
    </w:p>
    <w:p>
      <w:pPr>
        <w:spacing w:after="0" w:line="1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Walter F. Rusnak</w:t>
      </w:r>
    </w:p>
    <w:p>
      <w:pPr>
        <w:spacing w:after="0" w:line="3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Senior Vice President, Chief Financial Officer</w:t>
      </w:r>
    </w:p>
    <w:p>
      <w:pPr>
        <w:spacing w:after="0" w:line="200" w:lineRule="exact"/>
        <w:rPr>
          <w:sz w:val="20"/>
          <w:szCs w:val="20"/>
          <w:color w:val="auto"/>
        </w:rPr>
      </w:pPr>
    </w:p>
    <w:p>
      <w:pPr>
        <w:spacing w:after="0" w:line="20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71</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20"/>
          </w:cols>
          <w:pgMar w:left="660" w:top="877" w:right="920"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color w:val="auto"/>
        </w:rPr>
        <w:t>EXHIBIT 31.1: Rule 13a-14(a) / 15d-14(a) Certification of the 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Executive Officer</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Pursuant to Section 302 of the Sarbanes-Oxley Act of 2002</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 James A. Dowd, certify that:</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1.I have reviewed this Quarterly Report on Form 10-Q of Pathfinder Bancorp, Inc.;</w:t>
      </w:r>
    </w:p>
    <w:p>
      <w:pPr>
        <w:spacing w:after="0" w:line="176" w:lineRule="exact"/>
        <w:rPr>
          <w:sz w:val="20"/>
          <w:szCs w:val="20"/>
          <w:color w:val="auto"/>
        </w:rPr>
      </w:pPr>
    </w:p>
    <w:p>
      <w:pPr>
        <w:ind w:left="180" w:right="180"/>
        <w:spacing w:after="0" w:line="243"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sz w:val="20"/>
          <w:szCs w:val="20"/>
          <w:color w:val="auto"/>
        </w:rPr>
      </w:pPr>
    </w:p>
    <w:p>
      <w:pPr>
        <w:ind w:left="180" w:right="300"/>
        <w:spacing w:after="0" w:line="25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sz w:val="20"/>
          <w:szCs w:val="20"/>
          <w:color w:val="auto"/>
        </w:rPr>
      </w:pPr>
    </w:p>
    <w:p>
      <w:pPr>
        <w:ind w:left="180" w:right="60"/>
        <w:spacing w:after="0" w:line="243" w:lineRule="auto"/>
        <w:rPr>
          <w:sz w:val="20"/>
          <w:szCs w:val="20"/>
          <w:color w:val="auto"/>
        </w:rPr>
      </w:pPr>
      <w:r>
        <w:rPr>
          <w:rFonts w:ascii="Arial" w:cs="Arial" w:eastAsia="Arial" w:hAnsi="Arial"/>
          <w:sz w:val="16"/>
          <w:szCs w:val="16"/>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sz w:val="20"/>
          <w:szCs w:val="20"/>
          <w:color w:val="auto"/>
        </w:rPr>
      </w:pPr>
    </w:p>
    <w:p>
      <w:pPr>
        <w:ind w:left="1060" w:right="180"/>
        <w:spacing w:after="0" w:line="239"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060" w:right="40"/>
        <w:spacing w:after="0" w:line="234"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sz w:val="20"/>
          <w:szCs w:val="20"/>
          <w:color w:val="auto"/>
        </w:rPr>
      </w:pPr>
    </w:p>
    <w:p>
      <w:pPr>
        <w:jc w:val="both"/>
        <w:ind w:left="1060" w:right="140"/>
        <w:spacing w:after="0" w:line="234" w:lineRule="auto"/>
        <w:rPr>
          <w:sz w:val="20"/>
          <w:szCs w:val="20"/>
          <w:color w:val="auto"/>
        </w:rPr>
      </w:pPr>
      <w:r>
        <w:rPr>
          <w:rFonts w:ascii="Arial" w:cs="Arial" w:eastAsia="Arial" w:hAnsi="Arial"/>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sz w:val="20"/>
          <w:szCs w:val="20"/>
          <w:color w:val="auto"/>
        </w:rPr>
      </w:pPr>
    </w:p>
    <w:p>
      <w:pPr>
        <w:ind w:left="1060" w:right="100"/>
        <w:spacing w:after="0" w:line="237"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sz w:val="20"/>
          <w:szCs w:val="20"/>
          <w:color w:val="auto"/>
        </w:rPr>
      </w:pPr>
    </w:p>
    <w:p>
      <w:pPr>
        <w:ind w:left="360" w:right="60"/>
        <w:spacing w:after="0" w:line="252" w:lineRule="auto"/>
        <w:rPr>
          <w:sz w:val="20"/>
          <w:szCs w:val="20"/>
          <w:color w:val="auto"/>
        </w:rPr>
      </w:pPr>
      <w:r>
        <w:rPr>
          <w:rFonts w:ascii="Arial" w:cs="Arial" w:eastAsia="Arial" w:hAnsi="Arial"/>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w:t>
      </w:r>
    </w:p>
    <w:p>
      <w:pPr>
        <w:spacing w:after="0" w:line="154" w:lineRule="exact"/>
        <w:rPr>
          <w:sz w:val="20"/>
          <w:szCs w:val="20"/>
          <w:color w:val="auto"/>
        </w:rPr>
      </w:pPr>
    </w:p>
    <w:p>
      <w:pPr>
        <w:ind w:left="1060" w:right="360"/>
        <w:spacing w:after="0" w:line="241" w:lineRule="auto"/>
        <w:rPr>
          <w:sz w:val="20"/>
          <w:szCs w:val="20"/>
          <w:color w:val="auto"/>
        </w:rPr>
      </w:pPr>
      <w:r>
        <w:rPr>
          <w:rFonts w:ascii="Arial" w:cs="Arial" w:eastAsia="Arial" w:hAnsi="Arial"/>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sz w:val="20"/>
          <w:szCs w:val="20"/>
          <w:color w:val="auto"/>
        </w:rPr>
      </w:pPr>
    </w:p>
    <w:p>
      <w:pPr>
        <w:ind w:left="1060" w:right="20"/>
        <w:spacing w:after="0" w:line="239" w:lineRule="auto"/>
        <w:rPr>
          <w:sz w:val="20"/>
          <w:szCs w:val="20"/>
          <w:color w:val="auto"/>
        </w:rPr>
      </w:pPr>
      <w:r>
        <w:rPr>
          <w:rFonts w:ascii="Arial" w:cs="Arial" w:eastAsia="Arial" w:hAnsi="Arial"/>
          <w:sz w:val="16"/>
          <w:szCs w:val="16"/>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60" w:type="dxa"/>
            <w:vAlign w:val="bottom"/>
            <w:gridSpan w:val="2"/>
          </w:tcPr>
          <w:p>
            <w:pPr>
              <w:ind w:left="240"/>
              <w:spacing w:after="0"/>
              <w:rPr>
                <w:sz w:val="20"/>
                <w:szCs w:val="20"/>
                <w:color w:val="auto"/>
              </w:rPr>
            </w:pPr>
            <w:r>
              <w:rPr>
                <w:rFonts w:ascii="Arial" w:cs="Arial" w:eastAsia="Arial" w:hAnsi="Arial"/>
                <w:sz w:val="18"/>
                <w:szCs w:val="18"/>
                <w:color w:val="auto"/>
                <w:w w:val="99"/>
              </w:rPr>
              <w:t>August 9, 2023</w:t>
            </w:r>
          </w:p>
        </w:tc>
        <w:tc>
          <w:tcPr>
            <w:tcW w:w="3920" w:type="dxa"/>
            <w:vAlign w:val="bottom"/>
          </w:tcPr>
          <w:p>
            <w:pPr>
              <w:spacing w:after="0"/>
              <w:rPr>
                <w:sz w:val="18"/>
                <w:szCs w:val="18"/>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4"/>
              </w:rPr>
              <w:t>/s/ James A. Dowd</w:t>
            </w:r>
          </w:p>
        </w:tc>
        <w:tc>
          <w:tcPr>
            <w:tcW w:w="3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920" w:type="dxa"/>
            <w:vAlign w:val="bottom"/>
            <w:vMerge w:val="restart"/>
          </w:tcPr>
          <w:p>
            <w:pPr>
              <w:spacing w:after="0" w:line="20" w:lineRule="exact"/>
              <w:rPr>
                <w:sz w:val="1"/>
                <w:szCs w:val="1"/>
                <w:color w:val="auto"/>
              </w:rPr>
            </w:pPr>
          </w:p>
        </w:tc>
        <w:tc>
          <w:tcPr>
            <w:tcW w:w="5180" w:type="dxa"/>
            <w:vAlign w:val="bottom"/>
            <w:gridSpan w:val="2"/>
            <w:vMerge w:val="restart"/>
          </w:tcPr>
          <w:p>
            <w:pPr>
              <w:spacing w:after="0" w:line="177" w:lineRule="exact"/>
              <w:rPr>
                <w:sz w:val="20"/>
                <w:szCs w:val="20"/>
                <w:color w:val="auto"/>
              </w:rPr>
            </w:pPr>
            <w:r>
              <w:rPr>
                <w:rFonts w:ascii="Arial" w:cs="Arial" w:eastAsia="Arial" w:hAnsi="Arial"/>
                <w:sz w:val="16"/>
                <w:szCs w:val="16"/>
                <w:color w:val="auto"/>
              </w:rPr>
              <w:t>James A. Dowd</w:t>
            </w:r>
          </w:p>
        </w:tc>
        <w:tc>
          <w:tcPr>
            <w:tcW w:w="0" w:type="dxa"/>
            <w:vAlign w:val="bottom"/>
          </w:tcPr>
          <w:p>
            <w:pPr>
              <w:spacing w:after="0" w:line="20" w:lineRule="exact"/>
              <w:rPr>
                <w:sz w:val="1"/>
                <w:szCs w:val="1"/>
                <w:color w:val="auto"/>
              </w:rPr>
            </w:pPr>
          </w:p>
        </w:tc>
      </w:tr>
      <w:tr>
        <w:trPr>
          <w:trHeight w:val="137"/>
        </w:trPr>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920" w:type="dxa"/>
            <w:vAlign w:val="bottom"/>
            <w:vMerge w:val="continue"/>
          </w:tcPr>
          <w:p>
            <w:pPr>
              <w:spacing w:after="0"/>
              <w:rPr>
                <w:sz w:val="11"/>
                <w:szCs w:val="11"/>
                <w:color w:val="auto"/>
              </w:rPr>
            </w:pPr>
          </w:p>
        </w:tc>
        <w:tc>
          <w:tcPr>
            <w:tcW w:w="5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President and Chief Executive Officer</w:t>
            </w:r>
          </w:p>
        </w:tc>
        <w:tc>
          <w:tcPr>
            <w:tcW w:w="0" w:type="dxa"/>
            <w:vAlign w:val="bottom"/>
          </w:tcPr>
          <w:p>
            <w:pPr>
              <w:spacing w:after="0"/>
              <w:rPr>
                <w:sz w:val="1"/>
                <w:szCs w:val="1"/>
                <w:color w:val="auto"/>
              </w:rPr>
            </w:pPr>
          </w:p>
        </w:tc>
      </w:tr>
      <w:tr>
        <w:trPr>
          <w:trHeight w:val="842"/>
        </w:trPr>
        <w:tc>
          <w:tcPr>
            <w:tcW w:w="240" w:type="dxa"/>
            <w:vAlign w:val="bottom"/>
            <w:tcBorders>
              <w:bottom w:val="single" w:sz="8" w:color="EEEEEE"/>
            </w:tcBorders>
          </w:tcPr>
          <w:p>
            <w:pPr>
              <w:spacing w:after="0"/>
              <w:rPr>
                <w:sz w:val="24"/>
                <w:szCs w:val="24"/>
                <w:color w:val="auto"/>
              </w:rPr>
            </w:pPr>
          </w:p>
        </w:tc>
        <w:tc>
          <w:tcPr>
            <w:tcW w:w="1220" w:type="dxa"/>
            <w:vAlign w:val="bottom"/>
            <w:tcBorders>
              <w:bottom w:val="single" w:sz="8" w:color="EEEEEE"/>
            </w:tcBorders>
          </w:tcPr>
          <w:p>
            <w:pPr>
              <w:spacing w:after="0"/>
              <w:rPr>
                <w:sz w:val="24"/>
                <w:szCs w:val="24"/>
                <w:color w:val="auto"/>
              </w:rPr>
            </w:pPr>
          </w:p>
        </w:tc>
        <w:tc>
          <w:tcPr>
            <w:tcW w:w="392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39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color w:val="auto"/>
        </w:rPr>
        <w:t>EXHIBIT 31.2: Rule 13a-14(a) / 15d-14(a) Certification of the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Certification of Chief Financial Officer</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Pursuant to Section 302 of the Sarbanes-Oxley Act of 2002</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 Walter F. Rusnak, certify that:</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1.I have reviewed this Quarterly Report on Form 10-Q of Pathfinder Bancorp, Inc.;</w:t>
      </w:r>
    </w:p>
    <w:p>
      <w:pPr>
        <w:spacing w:after="0" w:line="176" w:lineRule="exact"/>
        <w:rPr>
          <w:sz w:val="20"/>
          <w:szCs w:val="20"/>
          <w:color w:val="auto"/>
        </w:rPr>
      </w:pPr>
    </w:p>
    <w:p>
      <w:pPr>
        <w:jc w:val="both"/>
        <w:ind w:left="360" w:right="180"/>
        <w:spacing w:after="0" w:line="243"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sz w:val="20"/>
          <w:szCs w:val="20"/>
          <w:color w:val="auto"/>
        </w:rPr>
      </w:pPr>
    </w:p>
    <w:p>
      <w:pPr>
        <w:ind w:left="360" w:right="120"/>
        <w:spacing w:after="0" w:line="25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sz w:val="20"/>
          <w:szCs w:val="20"/>
          <w:color w:val="auto"/>
        </w:rPr>
      </w:pPr>
    </w:p>
    <w:p>
      <w:pPr>
        <w:jc w:val="both"/>
        <w:ind w:left="360" w:right="260"/>
        <w:spacing w:after="0" w:line="243" w:lineRule="auto"/>
        <w:rPr>
          <w:sz w:val="20"/>
          <w:szCs w:val="20"/>
          <w:color w:val="auto"/>
        </w:rPr>
      </w:pPr>
      <w:r>
        <w:rPr>
          <w:rFonts w:ascii="Arial" w:cs="Arial" w:eastAsia="Arial" w:hAnsi="Arial"/>
          <w:sz w:val="16"/>
          <w:szCs w:val="16"/>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sz w:val="20"/>
          <w:szCs w:val="20"/>
          <w:color w:val="auto"/>
        </w:rPr>
      </w:pPr>
    </w:p>
    <w:p>
      <w:pPr>
        <w:ind w:left="1060" w:right="180"/>
        <w:spacing w:after="0" w:line="239"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060"/>
        <w:spacing w:after="0" w:line="234"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sz w:val="20"/>
          <w:szCs w:val="20"/>
          <w:color w:val="auto"/>
        </w:rPr>
      </w:pPr>
    </w:p>
    <w:p>
      <w:pPr>
        <w:ind w:left="1060" w:right="20"/>
        <w:spacing w:after="0" w:line="236" w:lineRule="auto"/>
        <w:rPr>
          <w:sz w:val="20"/>
          <w:szCs w:val="20"/>
          <w:color w:val="auto"/>
        </w:rPr>
      </w:pPr>
      <w:r>
        <w:rPr>
          <w:rFonts w:ascii="Arial" w:cs="Arial" w:eastAsia="Arial" w:hAnsi="Arial"/>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 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sz w:val="20"/>
          <w:szCs w:val="20"/>
          <w:color w:val="auto"/>
        </w:rPr>
      </w:pPr>
    </w:p>
    <w:p>
      <w:pPr>
        <w:ind w:left="360" w:right="60"/>
        <w:spacing w:after="0" w:line="252" w:lineRule="auto"/>
        <w:rPr>
          <w:sz w:val="20"/>
          <w:szCs w:val="20"/>
          <w:color w:val="auto"/>
        </w:rPr>
      </w:pPr>
      <w:r>
        <w:rPr>
          <w:rFonts w:ascii="Arial" w:cs="Arial" w:eastAsia="Arial" w:hAnsi="Arial"/>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w:t>
      </w:r>
    </w:p>
    <w:p>
      <w:pPr>
        <w:spacing w:after="0" w:line="154" w:lineRule="exact"/>
        <w:rPr>
          <w:sz w:val="20"/>
          <w:szCs w:val="20"/>
          <w:color w:val="auto"/>
        </w:rPr>
      </w:pPr>
    </w:p>
    <w:p>
      <w:pPr>
        <w:ind w:left="1060" w:right="420"/>
        <w:spacing w:after="0" w:line="275" w:lineRule="auto"/>
        <w:rPr>
          <w:sz w:val="20"/>
          <w:szCs w:val="20"/>
          <w:color w:val="auto"/>
        </w:rPr>
      </w:pPr>
      <w:r>
        <w:rPr>
          <w:rFonts w:ascii="Arial" w:cs="Arial" w:eastAsia="Arial" w:hAnsi="Arial"/>
          <w:sz w:val="14"/>
          <w:szCs w:val="14"/>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sz w:val="20"/>
          <w:szCs w:val="20"/>
          <w:color w:val="auto"/>
        </w:rPr>
      </w:pPr>
    </w:p>
    <w:p>
      <w:pPr>
        <w:ind w:left="1060" w:right="80"/>
        <w:spacing w:after="0" w:line="239" w:lineRule="auto"/>
        <w:rPr>
          <w:sz w:val="20"/>
          <w:szCs w:val="20"/>
          <w:color w:val="auto"/>
        </w:rPr>
      </w:pPr>
      <w:r>
        <w:rPr>
          <w:rFonts w:ascii="Arial" w:cs="Arial" w:eastAsia="Arial" w:hAnsi="Arial"/>
          <w:sz w:val="16"/>
          <w:szCs w:val="16"/>
          <w:color w:val="auto"/>
        </w:rPr>
        <w:t>b.Any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00" w:type="dxa"/>
            <w:vAlign w:val="bottom"/>
            <w:gridSpan w:val="2"/>
          </w:tcPr>
          <w:p>
            <w:pPr>
              <w:ind w:left="100"/>
              <w:spacing w:after="0"/>
              <w:rPr>
                <w:sz w:val="20"/>
                <w:szCs w:val="20"/>
                <w:color w:val="auto"/>
              </w:rPr>
            </w:pPr>
            <w:r>
              <w:rPr>
                <w:rFonts w:ascii="Arial" w:cs="Arial" w:eastAsia="Arial" w:hAnsi="Arial"/>
                <w:sz w:val="18"/>
                <w:szCs w:val="18"/>
                <w:color w:val="auto"/>
                <w:w w:val="97"/>
              </w:rPr>
              <w:t>August 9, 2023</w:t>
            </w:r>
          </w:p>
        </w:tc>
        <w:tc>
          <w:tcPr>
            <w:tcW w:w="3920" w:type="dxa"/>
            <w:vAlign w:val="bottom"/>
          </w:tcPr>
          <w:p>
            <w:pPr>
              <w:spacing w:after="0"/>
              <w:rPr>
                <w:sz w:val="18"/>
                <w:szCs w:val="18"/>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6"/>
              </w:rPr>
              <w:t>/s/ Walter F. Rusnak</w:t>
            </w: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920" w:type="dxa"/>
            <w:vAlign w:val="bottom"/>
            <w:vMerge w:val="restart"/>
          </w:tcPr>
          <w:p>
            <w:pPr>
              <w:spacing w:after="0" w:line="20" w:lineRule="exact"/>
              <w:rPr>
                <w:sz w:val="1"/>
                <w:szCs w:val="1"/>
                <w:color w:val="auto"/>
              </w:rPr>
            </w:pPr>
          </w:p>
        </w:tc>
        <w:tc>
          <w:tcPr>
            <w:tcW w:w="5340" w:type="dxa"/>
            <w:vAlign w:val="bottom"/>
            <w:gridSpan w:val="2"/>
            <w:vMerge w:val="restart"/>
          </w:tcPr>
          <w:p>
            <w:pPr>
              <w:spacing w:after="0" w:line="177" w:lineRule="exact"/>
              <w:rPr>
                <w:sz w:val="20"/>
                <w:szCs w:val="20"/>
                <w:color w:val="auto"/>
              </w:rPr>
            </w:pPr>
            <w:r>
              <w:rPr>
                <w:rFonts w:ascii="Arial" w:cs="Arial" w:eastAsia="Arial" w:hAnsi="Arial"/>
                <w:sz w:val="16"/>
                <w:szCs w:val="16"/>
                <w:color w:val="auto"/>
              </w:rPr>
              <w:t>Walter F. Rusnak</w:t>
            </w:r>
          </w:p>
        </w:tc>
        <w:tc>
          <w:tcPr>
            <w:tcW w:w="0" w:type="dxa"/>
            <w:vAlign w:val="bottom"/>
          </w:tcPr>
          <w:p>
            <w:pPr>
              <w:spacing w:after="0" w:line="20" w:lineRule="exact"/>
              <w:rPr>
                <w:sz w:val="1"/>
                <w:szCs w:val="1"/>
                <w:color w:val="auto"/>
              </w:rPr>
            </w:pPr>
          </w:p>
        </w:tc>
      </w:tr>
      <w:tr>
        <w:trPr>
          <w:trHeight w:val="137"/>
        </w:trPr>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920" w:type="dxa"/>
            <w:vAlign w:val="bottom"/>
            <w:vMerge w:val="continue"/>
          </w:tcPr>
          <w:p>
            <w:pPr>
              <w:spacing w:after="0"/>
              <w:rPr>
                <w:sz w:val="11"/>
                <w:szCs w:val="11"/>
                <w:color w:val="auto"/>
              </w:rPr>
            </w:pPr>
          </w:p>
        </w:tc>
        <w:tc>
          <w:tcPr>
            <w:tcW w:w="5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5340" w:type="dxa"/>
            <w:vAlign w:val="bottom"/>
            <w:gridSpan w:val="2"/>
          </w:tcPr>
          <w:p>
            <w:pPr>
              <w:spacing w:after="0"/>
              <w:rPr>
                <w:sz w:val="20"/>
                <w:szCs w:val="20"/>
                <w:color w:val="auto"/>
              </w:rPr>
            </w:pPr>
            <w:r>
              <w:rPr>
                <w:rFonts w:ascii="Arial" w:cs="Arial" w:eastAsia="Arial" w:hAnsi="Arial"/>
                <w:sz w:val="16"/>
                <w:szCs w:val="16"/>
                <w:color w:val="auto"/>
              </w:rPr>
              <w:t>Senior Vice President, Chief Financial Officer</w:t>
            </w:r>
          </w:p>
        </w:tc>
        <w:tc>
          <w:tcPr>
            <w:tcW w:w="0" w:type="dxa"/>
            <w:vAlign w:val="bottom"/>
          </w:tcPr>
          <w:p>
            <w:pPr>
              <w:spacing w:after="0"/>
              <w:rPr>
                <w:sz w:val="1"/>
                <w:szCs w:val="1"/>
                <w:color w:val="auto"/>
              </w:rPr>
            </w:pPr>
          </w:p>
        </w:tc>
      </w:tr>
      <w:tr>
        <w:trPr>
          <w:trHeight w:val="842"/>
        </w:trPr>
        <w:tc>
          <w:tcPr>
            <w:tcW w:w="100" w:type="dxa"/>
            <w:vAlign w:val="bottom"/>
            <w:tcBorders>
              <w:bottom w:val="single" w:sz="8" w:color="EEEEEE"/>
            </w:tcBorders>
          </w:tcPr>
          <w:p>
            <w:pPr>
              <w:spacing w:after="0"/>
              <w:rPr>
                <w:sz w:val="24"/>
                <w:szCs w:val="24"/>
                <w:color w:val="auto"/>
              </w:rPr>
            </w:pPr>
          </w:p>
        </w:tc>
        <w:tc>
          <w:tcPr>
            <w:tcW w:w="1200" w:type="dxa"/>
            <w:vAlign w:val="bottom"/>
            <w:tcBorders>
              <w:bottom w:val="single" w:sz="8" w:color="EEEEEE"/>
            </w:tcBorders>
          </w:tcPr>
          <w:p>
            <w:pPr>
              <w:spacing w:after="0"/>
              <w:rPr>
                <w:sz w:val="24"/>
                <w:szCs w:val="24"/>
                <w:color w:val="auto"/>
              </w:rPr>
            </w:pPr>
          </w:p>
        </w:tc>
        <w:tc>
          <w:tcPr>
            <w:tcW w:w="3920" w:type="dxa"/>
            <w:vAlign w:val="bottom"/>
            <w:tcBorders>
              <w:bottom w:val="single" w:sz="8" w:color="EEEEEE"/>
            </w:tcBorders>
          </w:tcPr>
          <w:p>
            <w:pPr>
              <w:spacing w:after="0"/>
              <w:rPr>
                <w:sz w:val="24"/>
                <w:szCs w:val="24"/>
                <w:color w:val="auto"/>
              </w:rPr>
            </w:pPr>
          </w:p>
        </w:tc>
        <w:tc>
          <w:tcPr>
            <w:tcW w:w="1420" w:type="dxa"/>
            <w:vAlign w:val="bottom"/>
            <w:tcBorders>
              <w:bottom w:val="single" w:sz="8" w:color="EEEEEE"/>
            </w:tcBorders>
          </w:tcPr>
          <w:p>
            <w:pPr>
              <w:spacing w:after="0"/>
              <w:rPr>
                <w:sz w:val="24"/>
                <w:szCs w:val="24"/>
                <w:color w:val="auto"/>
              </w:rPr>
            </w:pPr>
          </w:p>
        </w:tc>
        <w:tc>
          <w:tcPr>
            <w:tcW w:w="39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auto"/>
        </w:rPr>
        <w:t>EXHIBIT 32 Section 1350 Certification of the Chief Executive Officer and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Certification pursuant to 18 U.S.C. §1350, as adopted pursuant to §906 of the Sarbanes-Oxley Act of 2002</w:t>
      </w:r>
    </w:p>
    <w:p>
      <w:pPr>
        <w:spacing w:after="0" w:line="176" w:lineRule="exact"/>
        <w:rPr>
          <w:sz w:val="20"/>
          <w:szCs w:val="20"/>
          <w:color w:val="auto"/>
        </w:rPr>
      </w:pPr>
    </w:p>
    <w:p>
      <w:pPr>
        <w:jc w:val="both"/>
        <w:ind w:right="180"/>
        <w:spacing w:after="0" w:line="243" w:lineRule="auto"/>
        <w:rPr>
          <w:sz w:val="20"/>
          <w:szCs w:val="20"/>
          <w:color w:val="auto"/>
        </w:rPr>
      </w:pPr>
      <w:r>
        <w:rPr>
          <w:rFonts w:ascii="Arial" w:cs="Arial" w:eastAsia="Arial" w:hAnsi="Arial"/>
          <w:sz w:val="16"/>
          <w:szCs w:val="16"/>
          <w:color w:val="auto"/>
        </w:rPr>
        <w:t>In connection with the Quarterly Report of Pathfinder Bancorp, Inc. (the “Company”) on Form 10- Q for the period ended June 30, 2023 as filed with the Securities and Exchange Commission (the “Report”), the undersigned hereby certify, pursuant to 18 U.S.C. §1350, as adopted pursuant to §906 of the Sarbanes-Oxley Act of 2002, that:</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1.The Report fully complies with the requirements of Sections 13(a) or 15(d) of the Securities Exchange Act of 1934; and</w:t>
      </w:r>
    </w:p>
    <w:p>
      <w:pPr>
        <w:spacing w:after="0" w:line="176" w:lineRule="exact"/>
        <w:rPr>
          <w:sz w:val="20"/>
          <w:szCs w:val="20"/>
          <w:color w:val="auto"/>
        </w:rPr>
      </w:pPr>
    </w:p>
    <w:p>
      <w:pPr>
        <w:ind w:left="180"/>
        <w:spacing w:after="0" w:line="252" w:lineRule="auto"/>
        <w:rPr>
          <w:sz w:val="20"/>
          <w:szCs w:val="20"/>
          <w:color w:val="auto"/>
        </w:rPr>
      </w:pPr>
      <w:r>
        <w:rPr>
          <w:rFonts w:ascii="Arial" w:cs="Arial" w:eastAsia="Arial" w:hAnsi="Arial"/>
          <w:sz w:val="16"/>
          <w:szCs w:val="16"/>
          <w:color w:val="auto"/>
        </w:rPr>
        <w:t>2.The information contained in the Report fairly presents, in all material respects, the financial condition and results of operations of the Company as of and for the period covered by the Report.</w:t>
      </w:r>
    </w:p>
    <w:p>
      <w:pPr>
        <w:spacing w:after="0" w:line="154"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The purpose of this statement is solely to comply with Title 18, Chapter 63, Section 1350 of the United States Code, as amended by Section 906 of the Sarbanes-Oxley Act of 2002.</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16"/>
                <w:szCs w:val="16"/>
                <w:color w:val="auto"/>
              </w:rPr>
            </w:pPr>
          </w:p>
        </w:tc>
        <w:tc>
          <w:tcPr>
            <w:tcW w:w="2940" w:type="dxa"/>
            <w:vAlign w:val="bottom"/>
            <w:gridSpan w:val="2"/>
          </w:tcPr>
          <w:p>
            <w:pPr>
              <w:spacing w:after="0"/>
              <w:rPr>
                <w:sz w:val="20"/>
                <w:szCs w:val="20"/>
                <w:color w:val="auto"/>
              </w:rPr>
            </w:pPr>
            <w:r>
              <w:rPr>
                <w:rFonts w:ascii="Arial" w:cs="Arial" w:eastAsia="Arial" w:hAnsi="Arial"/>
                <w:sz w:val="16"/>
                <w:szCs w:val="16"/>
                <w:color w:val="auto"/>
              </w:rPr>
              <w:t>August 9, 2023</w:t>
            </w:r>
          </w:p>
        </w:tc>
        <w:tc>
          <w:tcPr>
            <w:tcW w:w="7240" w:type="dxa"/>
            <w:vAlign w:val="bottom"/>
            <w:gridSpan w:val="4"/>
          </w:tcPr>
          <w:p>
            <w:pPr>
              <w:ind w:left="1900"/>
              <w:spacing w:after="0"/>
              <w:rPr>
                <w:sz w:val="20"/>
                <w:szCs w:val="20"/>
                <w:color w:val="auto"/>
              </w:rPr>
            </w:pPr>
            <w:r>
              <w:rPr>
                <w:rFonts w:ascii="Arial" w:cs="Arial" w:eastAsia="Arial" w:hAnsi="Arial"/>
                <w:sz w:val="16"/>
                <w:szCs w:val="16"/>
                <w:color w:val="auto"/>
              </w:rPr>
              <w:t>/s/ James A. Dowd</w:t>
            </w:r>
          </w:p>
        </w:tc>
      </w:tr>
      <w:tr>
        <w:trPr>
          <w:trHeight w:val="20"/>
        </w:trPr>
        <w:tc>
          <w:tcPr>
            <w:tcW w:w="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177"/>
        </w:trPr>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40" w:type="dxa"/>
            <w:vAlign w:val="bottom"/>
            <w:gridSpan w:val="4"/>
          </w:tcPr>
          <w:p>
            <w:pPr>
              <w:ind w:left="1900"/>
              <w:spacing w:after="0" w:line="177" w:lineRule="exact"/>
              <w:rPr>
                <w:sz w:val="20"/>
                <w:szCs w:val="20"/>
                <w:color w:val="auto"/>
              </w:rPr>
            </w:pPr>
            <w:r>
              <w:rPr>
                <w:rFonts w:ascii="Arial" w:cs="Arial" w:eastAsia="Arial" w:hAnsi="Arial"/>
                <w:sz w:val="16"/>
                <w:szCs w:val="16"/>
                <w:color w:val="auto"/>
              </w:rPr>
              <w:t>James A. Dowd</w:t>
            </w:r>
          </w:p>
        </w:tc>
      </w:tr>
      <w:tr>
        <w:trPr>
          <w:trHeight w:val="197"/>
        </w:trPr>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40" w:type="dxa"/>
            <w:vAlign w:val="bottom"/>
            <w:gridSpan w:val="4"/>
          </w:tcPr>
          <w:p>
            <w:pPr>
              <w:ind w:left="1900"/>
              <w:spacing w:after="0"/>
              <w:rPr>
                <w:sz w:val="20"/>
                <w:szCs w:val="20"/>
                <w:color w:val="auto"/>
              </w:rPr>
            </w:pPr>
            <w:r>
              <w:rPr>
                <w:rFonts w:ascii="Arial" w:cs="Arial" w:eastAsia="Arial" w:hAnsi="Arial"/>
                <w:sz w:val="16"/>
                <w:szCs w:val="16"/>
                <w:color w:val="auto"/>
              </w:rPr>
              <w:t>President and Chief Executive Officer</w:t>
            </w:r>
          </w:p>
        </w:tc>
      </w:tr>
      <w:tr>
        <w:trPr>
          <w:trHeight w:val="350"/>
        </w:trPr>
        <w:tc>
          <w:tcPr>
            <w:tcW w:w="38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6"/>
                <w:szCs w:val="16"/>
                <w:color w:val="auto"/>
              </w:rPr>
              <w:t>August 9, 2023</w:t>
            </w:r>
          </w:p>
        </w:tc>
        <w:tc>
          <w:tcPr>
            <w:tcW w:w="7240" w:type="dxa"/>
            <w:vAlign w:val="bottom"/>
            <w:gridSpan w:val="4"/>
          </w:tcPr>
          <w:p>
            <w:pPr>
              <w:ind w:left="1900"/>
              <w:spacing w:after="0"/>
              <w:rPr>
                <w:sz w:val="20"/>
                <w:szCs w:val="20"/>
                <w:color w:val="auto"/>
              </w:rPr>
            </w:pPr>
            <w:r>
              <w:rPr>
                <w:rFonts w:ascii="Arial" w:cs="Arial" w:eastAsia="Arial" w:hAnsi="Arial"/>
                <w:sz w:val="16"/>
                <w:szCs w:val="16"/>
                <w:color w:val="auto"/>
              </w:rPr>
              <w:t>/s/ Walter F. Rusnak</w:t>
            </w:r>
          </w:p>
        </w:tc>
      </w:tr>
      <w:tr>
        <w:trPr>
          <w:trHeight w:val="20"/>
        </w:trPr>
        <w:tc>
          <w:tcPr>
            <w:tcW w:w="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177"/>
        </w:trPr>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40" w:type="dxa"/>
            <w:vAlign w:val="bottom"/>
            <w:gridSpan w:val="4"/>
          </w:tcPr>
          <w:p>
            <w:pPr>
              <w:ind w:left="1900"/>
              <w:spacing w:after="0" w:line="177" w:lineRule="exact"/>
              <w:rPr>
                <w:sz w:val="20"/>
                <w:szCs w:val="20"/>
                <w:color w:val="auto"/>
              </w:rPr>
            </w:pPr>
            <w:r>
              <w:rPr>
                <w:rFonts w:ascii="Arial" w:cs="Arial" w:eastAsia="Arial" w:hAnsi="Arial"/>
                <w:sz w:val="16"/>
                <w:szCs w:val="16"/>
                <w:color w:val="auto"/>
              </w:rPr>
              <w:t>Walter F. Rusnak</w:t>
            </w:r>
          </w:p>
        </w:tc>
      </w:tr>
      <w:tr>
        <w:trPr>
          <w:trHeight w:val="197"/>
        </w:trPr>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40" w:type="dxa"/>
            <w:vAlign w:val="bottom"/>
            <w:gridSpan w:val="4"/>
          </w:tcPr>
          <w:p>
            <w:pPr>
              <w:ind w:left="1900"/>
              <w:spacing w:after="0"/>
              <w:rPr>
                <w:sz w:val="20"/>
                <w:szCs w:val="20"/>
                <w:color w:val="auto"/>
              </w:rPr>
            </w:pPr>
            <w:r>
              <w:rPr>
                <w:rFonts w:ascii="Arial" w:cs="Arial" w:eastAsia="Arial" w:hAnsi="Arial"/>
                <w:sz w:val="16"/>
                <w:szCs w:val="16"/>
                <w:color w:val="auto"/>
              </w:rPr>
              <w:t>Senior Vice President, Chief Financial Officer</w:t>
            </w:r>
          </w:p>
        </w:tc>
      </w:tr>
      <w:tr>
        <w:trPr>
          <w:trHeight w:val="1022"/>
        </w:trPr>
        <w:tc>
          <w:tcPr>
            <w:tcW w:w="38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1900" w:type="dxa"/>
            <w:vAlign w:val="bottom"/>
            <w:tcBorders>
              <w:bottom w:val="single" w:sz="8" w:color="EEEEEE"/>
            </w:tcBorders>
          </w:tcPr>
          <w:p>
            <w:pPr>
              <w:spacing w:after="0"/>
              <w:rPr>
                <w:sz w:val="24"/>
                <w:szCs w:val="24"/>
                <w:color w:val="auto"/>
              </w:rPr>
            </w:pPr>
          </w:p>
        </w:tc>
        <w:tc>
          <w:tcPr>
            <w:tcW w:w="1900" w:type="dxa"/>
            <w:vAlign w:val="bottom"/>
            <w:tcBorders>
              <w:bottom w:val="single" w:sz="8" w:color="EEEEEE"/>
            </w:tcBorders>
          </w:tcPr>
          <w:p>
            <w:pPr>
              <w:spacing w:after="0"/>
              <w:rPr>
                <w:sz w:val="24"/>
                <w:szCs w:val="24"/>
                <w:color w:val="auto"/>
              </w:rPr>
            </w:pPr>
          </w:p>
        </w:tc>
        <w:tc>
          <w:tcPr>
            <w:tcW w:w="13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39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74" w:name="page75"/>
    <w:bookmarkEnd w:id="74"/>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
      <w:numFmt w:val="bullet"/>
      <w:start w:val="1"/>
    </w:lvl>
  </w:abstractNum>
  <w:abstractNum w:abstractNumId="5">
    <w:nsid w:val="41B71EFB"/>
    <w:multiLevelType w:val="hybridMultilevel"/>
    <w:lvl w:ilvl="0">
      <w:lvlJc w:val="left"/>
      <w:lvlText w:val="%1"/>
      <w:numFmt w:val="decimal"/>
      <w:start w:val="32"/>
    </w:lvl>
  </w:abstractNum>
  <w:abstractNum w:abstractNumId="6">
    <w:nsid w:val="79E2A9E3"/>
    <w:multiLevelType w:val="hybridMultilevel"/>
    <w:lvl w:ilvl="0">
      <w:lvlJc w:val="left"/>
      <w:lvlText w:val="%1"/>
      <w:numFmt w:val="decimal"/>
      <w:start w:val="101"/>
    </w:lvl>
  </w:abstractNum>
  <w:abstractNum w:abstractNumId="7">
    <w:nsid w:val="7545E146"/>
    <w:multiLevelType w:val="hybridMultilevel"/>
    <w:lvl w:ilvl="0">
      <w:lvlJc w:val="left"/>
      <w:lvlText w:val="%1"/>
      <w:numFmt w:val="decimal"/>
      <w:start w:val="10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2023-08-09T14:43:28Z</dcterms:created>
  <dcterms:modified xsi:type="dcterms:W3CDTF">2023-08-09T14:43:28Z</dcterms:modified>
</cp:coreProperties>
</file>