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UNITED STATES SECURITIES AND EXCHANGE COMMISSION</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90170</wp:posOffset>
            </wp:positionV>
            <wp:extent cx="3566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52" w:lineRule="exact"/>
        <w:rPr>
          <w:sz w:val="24"/>
          <w:szCs w:val="24"/>
          <w:color w:val="auto"/>
        </w:rPr>
      </w:pPr>
    </w:p>
    <w:p>
      <w:pPr>
        <w:ind w:left="2980" w:hanging="373"/>
        <w:spacing w:after="0"/>
        <w:tabs>
          <w:tab w:leader="none" w:pos="29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QUARTERLY REPORT PURSUANT TO SECTION 13 OR 15(d) OF THE</w:t>
      </w:r>
    </w:p>
    <w:p>
      <w:pPr>
        <w:spacing w:after="0" w:line="29" w:lineRule="exact"/>
        <w:rPr>
          <w:rFonts w:ascii="MS PGothic" w:cs="MS PGothic" w:eastAsia="MS PGothic" w:hAnsi="MS PGothic"/>
          <w:sz w:val="18"/>
          <w:szCs w:val="18"/>
          <w:color w:val="auto"/>
          <w:highlight w:val="black"/>
        </w:rPr>
      </w:pPr>
    </w:p>
    <w:p>
      <w:pPr>
        <w:ind w:left="41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SECURITIES EXCHANGE ACT OF 1934</w:t>
      </w:r>
    </w:p>
    <w:p>
      <w:pPr>
        <w:spacing w:after="0" w:line="4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color w:val="auto"/>
        </w:rPr>
        <w:t>For the quarterly period ended March 31, 2026</w:t>
      </w:r>
    </w:p>
    <w:p>
      <w:pPr>
        <w:spacing w:after="0" w:line="117"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8"/>
          <w:szCs w:val="18"/>
          <w:color w:val="auto"/>
        </w:rPr>
        <w:t>OR</w:t>
      </w:r>
    </w:p>
    <w:p>
      <w:pPr>
        <w:spacing w:after="0" w:line="117" w:lineRule="exact"/>
        <w:rPr>
          <w:sz w:val="24"/>
          <w:szCs w:val="24"/>
          <w:color w:val="auto"/>
        </w:rPr>
      </w:pPr>
    </w:p>
    <w:p>
      <w:pPr>
        <w:ind w:left="2980" w:hanging="373"/>
        <w:spacing w:after="0"/>
        <w:tabs>
          <w:tab w:leader="none" w:pos="2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w:t>
      </w:r>
    </w:p>
    <w:p>
      <w:pPr>
        <w:spacing w:after="0" w:line="29" w:lineRule="exact"/>
        <w:rPr>
          <w:rFonts w:ascii="MS PGothic" w:cs="MS PGothic" w:eastAsia="MS PGothic" w:hAnsi="MS PGothic"/>
          <w:sz w:val="18"/>
          <w:szCs w:val="18"/>
          <w:color w:val="auto"/>
        </w:rPr>
      </w:pPr>
    </w:p>
    <w:p>
      <w:pPr>
        <w:ind w:left="41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SECURITIES EXCHANGE ACT OF 1934</w:t>
      </w:r>
    </w:p>
    <w:p>
      <w:pPr>
        <w:spacing w:after="0" w:line="4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For the transition period from _______ to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120015</wp:posOffset>
            </wp:positionV>
            <wp:extent cx="3566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214630</wp:posOffset>
            </wp:positionV>
            <wp:extent cx="1825625"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562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113030</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p>
      <w:pPr>
        <w:spacing w:after="0" w:line="304"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i w:val="1"/>
          <w:iCs w:val="1"/>
          <w:color w:val="auto"/>
        </w:rPr>
        <w:t>(State of Other Jurisdiction of Incorporation)</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001-36695</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i w:val="1"/>
          <w:iCs w:val="1"/>
          <w:color w:val="auto"/>
        </w:rPr>
        <w:t>(Commission File No.)</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38-3941859</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p>
      <w:pPr>
        <w:spacing w:after="0" w:line="95" w:lineRule="exact"/>
        <w:rPr>
          <w:sz w:val="24"/>
          <w:szCs w:val="24"/>
          <w:color w:val="auto"/>
        </w:rPr>
      </w:pPr>
    </w:p>
    <w:p>
      <w:pPr>
        <w:sectPr>
          <w:pgSz w:w="11900" w:h="16838" w:orient="portrait"/>
          <w:cols w:equalWidth="0" w:num="3">
            <w:col w:w="4080" w:space="720"/>
            <w:col w:w="2180" w:space="720"/>
            <w:col w:w="3540"/>
          </w:cols>
          <w:pgMar w:left="320" w:top="1215" w:right="339" w:bottom="1440" w:gutter="0" w:footer="0" w:header="0"/>
          <w:type w:val="continuous"/>
        </w:sectPr>
      </w:pPr>
    </w:p>
    <w:p>
      <w:pPr>
        <w:ind w:left="4820"/>
        <w:spacing w:after="0"/>
        <w:rPr>
          <w:sz w:val="20"/>
          <w:szCs w:val="20"/>
          <w:color w:val="auto"/>
        </w:rPr>
      </w:pPr>
      <w:r>
        <w:rPr>
          <w:rFonts w:ascii="Times New Roman" w:cs="Times New Roman" w:eastAsia="Times New Roman" w:hAnsi="Times New Roman"/>
          <w:sz w:val="18"/>
          <w:szCs w:val="18"/>
          <w:b w:val="1"/>
          <w:bCs w:val="1"/>
          <w:color w:val="auto"/>
        </w:rPr>
        <w:t>214 West First Street</w:t>
      </w:r>
    </w:p>
    <w:p>
      <w:pPr>
        <w:spacing w:after="0" w:line="3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Oswego, NY 13126</w:t>
      </w:r>
    </w:p>
    <w:p>
      <w:pPr>
        <w:spacing w:after="0" w:line="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(315) 343-0057</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including zip code, and telephone number, including area code, of registrant’s principal executive offices)</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126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25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2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7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30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600" w:type="dxa"/>
            <w:vAlign w:val="bottom"/>
          </w:tcPr>
          <w:p>
            <w:pPr>
              <w:spacing w:after="0"/>
              <w:rPr>
                <w:sz w:val="20"/>
                <w:szCs w:val="20"/>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PBHC</w:t>
            </w:r>
          </w:p>
        </w:tc>
        <w:tc>
          <w:tcPr>
            <w:tcW w:w="38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p>
      <w:pPr>
        <w:ind w:left="160"/>
        <w:spacing w:after="0" w:line="207" w:lineRule="exact"/>
        <w:tabs>
          <w:tab w:leader="none" w:pos="2280" w:val="left"/>
          <w:tab w:leader="none" w:pos="4020" w:val="left"/>
          <w:tab w:leader="none" w:pos="6160" w:val="left"/>
          <w:tab w:leader="none" w:pos="88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tabs>
          <w:tab w:leader="none" w:pos="90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6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May 11, 2026, there were 4,876,213 shares outstanding of the registrant’s Voting common stock and 1,380,283 shares outstanding of the registrant’s Series A Non-Voting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jc w:val="center"/>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6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PART I - FINANCIAL INFORMATION</w:t>
            </w:r>
          </w:p>
        </w:tc>
        <w:tc>
          <w:tcPr>
            <w:tcW w:w="16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PAGE NO.</w:t>
            </w:r>
          </w:p>
        </w:tc>
        <w:tc>
          <w:tcPr>
            <w:tcW w:w="0" w:type="dxa"/>
            <w:vAlign w:val="bottom"/>
          </w:tcPr>
          <w:p>
            <w:pPr>
              <w:spacing w:after="0"/>
              <w:rPr>
                <w:sz w:val="1"/>
                <w:szCs w:val="1"/>
                <w:color w:val="auto"/>
              </w:rPr>
            </w:pPr>
          </w:p>
        </w:tc>
      </w:tr>
      <w:tr>
        <w:trPr>
          <w:trHeight w:val="73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87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Consolidated Financial Statements (Unaudited)</w:t>
            </w:r>
          </w:p>
        </w:tc>
        <w:tc>
          <w:tcPr>
            <w:tcW w:w="1620" w:type="dxa"/>
            <w:vAlign w:val="bottom"/>
          </w:tcPr>
          <w:p>
            <w:pPr>
              <w:jc w:val="center"/>
              <w:ind w:left="401"/>
              <w:spacing w:after="0"/>
              <w:rPr>
                <w:sz w:val="20"/>
                <w:szCs w:val="20"/>
                <w:color w:val="auto"/>
              </w:rPr>
            </w:pPr>
            <w:r>
              <w:rPr>
                <w:rFonts w:ascii="Times New Roman" w:cs="Times New Roman" w:eastAsia="Times New Roman" w:hAnsi="Times New Roman"/>
                <w:sz w:val="20"/>
                <w:szCs w:val="20"/>
                <w:color w:val="auto"/>
                <w:w w:val="79"/>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vMerge w:val="restart"/>
          </w:tcPr>
          <w:p>
            <w:pPr>
              <w:jc w:val="center"/>
              <w:ind w:left="401"/>
              <w:spacing w:after="0"/>
              <w:rPr>
                <w:sz w:val="20"/>
                <w:szCs w:val="20"/>
                <w:color w:val="auto"/>
              </w:rPr>
            </w:pPr>
            <w:r>
              <w:rPr>
                <w:rFonts w:ascii="Times New Roman" w:cs="Times New Roman" w:eastAsia="Times New Roman" w:hAnsi="Times New Roman"/>
                <w:sz w:val="20"/>
                <w:szCs w:val="20"/>
                <w:color w:val="auto"/>
                <w:w w:val="79"/>
              </w:rPr>
              <w:t>3</w:t>
            </w: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Consolidated Statements of Condition</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vMerge w:val="restart"/>
          </w:tcPr>
          <w:p>
            <w:pPr>
              <w:jc w:val="center"/>
              <w:ind w:left="401"/>
              <w:spacing w:after="0"/>
              <w:rPr>
                <w:sz w:val="20"/>
                <w:szCs w:val="20"/>
                <w:color w:val="auto"/>
              </w:rPr>
            </w:pPr>
            <w:r>
              <w:rPr>
                <w:rFonts w:ascii="Times New Roman" w:cs="Times New Roman" w:eastAsia="Times New Roman" w:hAnsi="Times New Roman"/>
                <w:sz w:val="20"/>
                <w:szCs w:val="20"/>
                <w:color w:val="auto"/>
                <w:w w:val="79"/>
              </w:rPr>
              <w:t>4</w:t>
            </w: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Consolidated Statements of Income</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vMerge w:val="restart"/>
          </w:tcPr>
          <w:p>
            <w:pPr>
              <w:jc w:val="center"/>
              <w:ind w:left="401"/>
              <w:spacing w:after="0"/>
              <w:rPr>
                <w:sz w:val="20"/>
                <w:szCs w:val="20"/>
                <w:color w:val="auto"/>
              </w:rPr>
            </w:pPr>
            <w:r>
              <w:rPr>
                <w:rFonts w:ascii="Times New Roman" w:cs="Times New Roman" w:eastAsia="Times New Roman" w:hAnsi="Times New Roman"/>
                <w:sz w:val="20"/>
                <w:szCs w:val="20"/>
                <w:color w:val="auto"/>
                <w:w w:val="79"/>
              </w:rPr>
              <w:t>5</w:t>
            </w: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Consolidated Statements of Comprehensive Income (Loss)</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vMerge w:val="restart"/>
          </w:tcPr>
          <w:p>
            <w:pPr>
              <w:jc w:val="center"/>
              <w:ind w:left="401"/>
              <w:spacing w:after="0"/>
              <w:rPr>
                <w:sz w:val="20"/>
                <w:szCs w:val="20"/>
                <w:color w:val="auto"/>
              </w:rPr>
            </w:pPr>
            <w:r>
              <w:rPr>
                <w:rFonts w:ascii="Times New Roman" w:cs="Times New Roman" w:eastAsia="Times New Roman" w:hAnsi="Times New Roman"/>
                <w:sz w:val="20"/>
                <w:szCs w:val="20"/>
                <w:color w:val="auto"/>
                <w:w w:val="79"/>
              </w:rPr>
              <w:t>6</w:t>
            </w: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Consolidated Statements of Changes in Shareholders' Equity</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330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vMerge w:val="restart"/>
          </w:tcPr>
          <w:p>
            <w:pPr>
              <w:jc w:val="center"/>
              <w:ind w:left="401"/>
              <w:spacing w:after="0"/>
              <w:rPr>
                <w:sz w:val="20"/>
                <w:szCs w:val="20"/>
                <w:color w:val="auto"/>
              </w:rPr>
            </w:pPr>
            <w:r>
              <w:rPr>
                <w:rFonts w:ascii="Times New Roman" w:cs="Times New Roman" w:eastAsia="Times New Roman" w:hAnsi="Times New Roman"/>
                <w:sz w:val="20"/>
                <w:szCs w:val="20"/>
                <w:color w:val="auto"/>
                <w:w w:val="79"/>
              </w:rPr>
              <w:t>7</w:t>
            </w: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Consolidated Statements of Cash Flows</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vMerge w:val="restart"/>
          </w:tcPr>
          <w:p>
            <w:pPr>
              <w:jc w:val="center"/>
              <w:ind w:left="401"/>
              <w:spacing w:after="0"/>
              <w:rPr>
                <w:sz w:val="20"/>
                <w:szCs w:val="20"/>
                <w:color w:val="auto"/>
              </w:rPr>
            </w:pPr>
            <w:r>
              <w:rPr>
                <w:rFonts w:ascii="Times New Roman" w:cs="Times New Roman" w:eastAsia="Times New Roman" w:hAnsi="Times New Roman"/>
                <w:sz w:val="20"/>
                <w:szCs w:val="20"/>
                <w:color w:val="auto"/>
                <w:w w:val="79"/>
              </w:rPr>
              <w:t>8</w:t>
            </w: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EE"/>
            </w:tcBorders>
            <w:gridSpan w:val="4"/>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87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 (Unaudited)</w:t>
            </w:r>
          </w:p>
        </w:tc>
        <w:tc>
          <w:tcPr>
            <w:tcW w:w="1620" w:type="dxa"/>
            <w:vAlign w:val="bottom"/>
          </w:tcPr>
          <w:p>
            <w:pPr>
              <w:jc w:val="center"/>
              <w:ind w:left="401"/>
              <w:spacing w:after="0"/>
              <w:rPr>
                <w:sz w:val="20"/>
                <w:szCs w:val="20"/>
                <w:color w:val="auto"/>
              </w:rPr>
            </w:pPr>
            <w:r>
              <w:rPr>
                <w:rFonts w:ascii="Times New Roman" w:cs="Times New Roman" w:eastAsia="Times New Roman" w:hAnsi="Times New Roman"/>
                <w:sz w:val="20"/>
                <w:szCs w:val="20"/>
                <w:color w:val="auto"/>
                <w:w w:val="99"/>
              </w:rPr>
              <w:t>39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280" w:type="dxa"/>
            <w:vAlign w:val="bottom"/>
            <w:gridSpan w:val="7"/>
            <w:shd w:val="clear" w:color="auto" w:fill="0000FF"/>
          </w:tcPr>
          <w:p>
            <w:pPr>
              <w:spacing w:after="0" w:line="20" w:lineRule="exact"/>
              <w:rPr>
                <w:sz w:val="1"/>
                <w:szCs w:val="1"/>
                <w:color w:val="auto"/>
              </w:rPr>
            </w:pPr>
          </w:p>
        </w:tc>
        <w:tc>
          <w:tcPr>
            <w:tcW w:w="33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87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1620" w:type="dxa"/>
            <w:vAlign w:val="bottom"/>
          </w:tcPr>
          <w:p>
            <w:pPr>
              <w:jc w:val="center"/>
              <w:ind w:left="401"/>
              <w:spacing w:after="0"/>
              <w:rPr>
                <w:sz w:val="20"/>
                <w:szCs w:val="20"/>
                <w:color w:val="auto"/>
              </w:rPr>
            </w:pPr>
            <w:r>
              <w:rPr>
                <w:rFonts w:ascii="Times New Roman" w:cs="Times New Roman" w:eastAsia="Times New Roman" w:hAnsi="Times New Roman"/>
                <w:sz w:val="20"/>
                <w:szCs w:val="20"/>
                <w:color w:val="auto"/>
                <w:w w:val="99"/>
              </w:rPr>
              <w:t>60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280" w:type="dxa"/>
            <w:vAlign w:val="bottom"/>
            <w:gridSpan w:val="7"/>
            <w:shd w:val="clear" w:color="auto" w:fill="0000FF"/>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87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1620" w:type="dxa"/>
            <w:vAlign w:val="bottom"/>
          </w:tcPr>
          <w:p>
            <w:pPr>
              <w:jc w:val="center"/>
              <w:ind w:left="401"/>
              <w:spacing w:after="0"/>
              <w:rPr>
                <w:sz w:val="20"/>
                <w:szCs w:val="20"/>
                <w:color w:val="auto"/>
              </w:rPr>
            </w:pPr>
            <w:r>
              <w:rPr>
                <w:rFonts w:ascii="Times New Roman" w:cs="Times New Roman" w:eastAsia="Times New Roman" w:hAnsi="Times New Roman"/>
                <w:sz w:val="20"/>
                <w:szCs w:val="20"/>
                <w:color w:val="auto"/>
                <w:w w:val="99"/>
              </w:rPr>
              <w:t>60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96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PART II - OTHER INFORMATION</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87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Legal Proceedings</w:t>
            </w:r>
          </w:p>
        </w:tc>
        <w:tc>
          <w:tcPr>
            <w:tcW w:w="1620" w:type="dxa"/>
            <w:vAlign w:val="bottom"/>
          </w:tcPr>
          <w:p>
            <w:pPr>
              <w:jc w:val="center"/>
              <w:ind w:left="401"/>
              <w:spacing w:after="0"/>
              <w:rPr>
                <w:sz w:val="20"/>
                <w:szCs w:val="20"/>
                <w:color w:val="auto"/>
              </w:rPr>
            </w:pPr>
            <w:r>
              <w:rPr>
                <w:rFonts w:ascii="Times New Roman" w:cs="Times New Roman" w:eastAsia="Times New Roman" w:hAnsi="Times New Roman"/>
                <w:sz w:val="20"/>
                <w:szCs w:val="20"/>
                <w:color w:val="auto"/>
                <w:w w:val="99"/>
              </w:rPr>
              <w:t>61</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1A.</w:t>
            </w: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620" w:type="dxa"/>
            <w:vAlign w:val="bottom"/>
            <w:vMerge w:val="restart"/>
          </w:tcPr>
          <w:p>
            <w:pPr>
              <w:jc w:val="center"/>
              <w:ind w:left="401"/>
              <w:spacing w:after="0"/>
              <w:rPr>
                <w:sz w:val="20"/>
                <w:szCs w:val="20"/>
                <w:color w:val="auto"/>
              </w:rPr>
            </w:pPr>
            <w:r>
              <w:rPr>
                <w:rFonts w:ascii="Times New Roman" w:cs="Times New Roman" w:eastAsia="Times New Roman" w:hAnsi="Times New Roman"/>
                <w:sz w:val="20"/>
                <w:szCs w:val="20"/>
                <w:color w:val="auto"/>
                <w:w w:val="99"/>
              </w:rPr>
              <w:t>61</w:t>
            </w:r>
          </w:p>
        </w:tc>
        <w:tc>
          <w:tcPr>
            <w:tcW w:w="0" w:type="dxa"/>
            <w:vAlign w:val="bottom"/>
          </w:tcPr>
          <w:p>
            <w:pPr>
              <w:spacing w:after="0" w:line="20" w:lineRule="exact"/>
              <w:rPr>
                <w:sz w:val="1"/>
                <w:szCs w:val="1"/>
                <w:color w:val="auto"/>
              </w:rPr>
            </w:pPr>
          </w:p>
        </w:tc>
      </w:tr>
      <w:tr>
        <w:trPr>
          <w:trHeight w:val="209"/>
        </w:trPr>
        <w:tc>
          <w:tcPr>
            <w:tcW w:w="920" w:type="dxa"/>
            <w:vAlign w:val="bottom"/>
            <w:vMerge w:val="continue"/>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Risk Factor</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2.</w:t>
            </w: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620" w:type="dxa"/>
            <w:vAlign w:val="bottom"/>
            <w:vMerge w:val="restart"/>
          </w:tcPr>
          <w:p>
            <w:pPr>
              <w:jc w:val="center"/>
              <w:ind w:left="401"/>
              <w:spacing w:after="0"/>
              <w:rPr>
                <w:sz w:val="20"/>
                <w:szCs w:val="20"/>
                <w:color w:val="auto"/>
              </w:rPr>
            </w:pPr>
            <w:r>
              <w:rPr>
                <w:rFonts w:ascii="Times New Roman" w:cs="Times New Roman" w:eastAsia="Times New Roman" w:hAnsi="Times New Roman"/>
                <w:sz w:val="20"/>
                <w:szCs w:val="20"/>
                <w:color w:val="auto"/>
                <w:w w:val="99"/>
              </w:rPr>
              <w:t>61</w:t>
            </w:r>
          </w:p>
        </w:tc>
        <w:tc>
          <w:tcPr>
            <w:tcW w:w="0" w:type="dxa"/>
            <w:vAlign w:val="bottom"/>
          </w:tcPr>
          <w:p>
            <w:pPr>
              <w:spacing w:after="0" w:line="20" w:lineRule="exact"/>
              <w:rPr>
                <w:sz w:val="1"/>
                <w:szCs w:val="1"/>
                <w:color w:val="auto"/>
              </w:rPr>
            </w:pPr>
          </w:p>
        </w:tc>
      </w:tr>
      <w:tr>
        <w:trPr>
          <w:trHeight w:val="210"/>
        </w:trPr>
        <w:tc>
          <w:tcPr>
            <w:tcW w:w="920" w:type="dxa"/>
            <w:vAlign w:val="bottom"/>
            <w:vMerge w:val="continue"/>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Unregistered Sales of Equity Securities and Use of Proceeds</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3.</w:t>
            </w: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2280" w:type="dxa"/>
            <w:vAlign w:val="bottom"/>
            <w:gridSpan w:val="7"/>
            <w:shd w:val="clear" w:color="auto" w:fill="0000FF"/>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620" w:type="dxa"/>
            <w:vAlign w:val="bottom"/>
            <w:vMerge w:val="restart"/>
          </w:tcPr>
          <w:p>
            <w:pPr>
              <w:jc w:val="center"/>
              <w:ind w:left="401"/>
              <w:spacing w:after="0"/>
              <w:rPr>
                <w:sz w:val="20"/>
                <w:szCs w:val="20"/>
                <w:color w:val="auto"/>
              </w:rPr>
            </w:pPr>
            <w:r>
              <w:rPr>
                <w:rFonts w:ascii="Times New Roman" w:cs="Times New Roman" w:eastAsia="Times New Roman" w:hAnsi="Times New Roman"/>
                <w:sz w:val="20"/>
                <w:szCs w:val="20"/>
                <w:color w:val="auto"/>
                <w:w w:val="99"/>
              </w:rPr>
              <w:t>61</w:t>
            </w:r>
          </w:p>
        </w:tc>
        <w:tc>
          <w:tcPr>
            <w:tcW w:w="0" w:type="dxa"/>
            <w:vAlign w:val="bottom"/>
          </w:tcPr>
          <w:p>
            <w:pPr>
              <w:spacing w:after="0" w:line="20" w:lineRule="exact"/>
              <w:rPr>
                <w:sz w:val="1"/>
                <w:szCs w:val="1"/>
                <w:color w:val="auto"/>
              </w:rPr>
            </w:pPr>
          </w:p>
        </w:tc>
      </w:tr>
      <w:tr>
        <w:trPr>
          <w:trHeight w:val="210"/>
        </w:trPr>
        <w:tc>
          <w:tcPr>
            <w:tcW w:w="920" w:type="dxa"/>
            <w:vAlign w:val="bottom"/>
            <w:vMerge w:val="continue"/>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Defaults upon Senior Securities</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4.</w:t>
            </w: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6200" w:type="dxa"/>
            <w:vAlign w:val="bottom"/>
            <w:gridSpan w:val="9"/>
          </w:tcPr>
          <w:p>
            <w:pPr>
              <w:spacing w:after="0" w:line="20" w:lineRule="exact"/>
              <w:rPr>
                <w:sz w:val="1"/>
                <w:szCs w:val="1"/>
                <w:color w:val="auto"/>
              </w:rPr>
            </w:pPr>
          </w:p>
        </w:tc>
        <w:tc>
          <w:tcPr>
            <w:tcW w:w="1620" w:type="dxa"/>
            <w:vAlign w:val="bottom"/>
            <w:vMerge w:val="restart"/>
          </w:tcPr>
          <w:p>
            <w:pPr>
              <w:jc w:val="center"/>
              <w:ind w:left="401"/>
              <w:spacing w:after="0"/>
              <w:rPr>
                <w:sz w:val="20"/>
                <w:szCs w:val="20"/>
                <w:color w:val="auto"/>
              </w:rPr>
            </w:pPr>
            <w:r>
              <w:rPr>
                <w:rFonts w:ascii="Times New Roman" w:cs="Times New Roman" w:eastAsia="Times New Roman" w:hAnsi="Times New Roman"/>
                <w:sz w:val="20"/>
                <w:szCs w:val="20"/>
                <w:color w:val="auto"/>
                <w:w w:val="99"/>
              </w:rPr>
              <w:t>61</w:t>
            </w:r>
          </w:p>
        </w:tc>
        <w:tc>
          <w:tcPr>
            <w:tcW w:w="0" w:type="dxa"/>
            <w:vAlign w:val="bottom"/>
          </w:tcPr>
          <w:p>
            <w:pPr>
              <w:spacing w:after="0" w:line="20" w:lineRule="exact"/>
              <w:rPr>
                <w:sz w:val="1"/>
                <w:szCs w:val="1"/>
                <w:color w:val="auto"/>
              </w:rPr>
            </w:pPr>
          </w:p>
        </w:tc>
      </w:tr>
      <w:tr>
        <w:trPr>
          <w:trHeight w:val="209"/>
        </w:trPr>
        <w:tc>
          <w:tcPr>
            <w:tcW w:w="920" w:type="dxa"/>
            <w:vAlign w:val="bottom"/>
            <w:vMerge w:val="continue"/>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Mine Safety Disclosures</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5.</w:t>
            </w: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760" w:type="dxa"/>
            <w:vAlign w:val="bottom"/>
            <w:gridSpan w:val="10"/>
          </w:tcPr>
          <w:p>
            <w:pPr>
              <w:spacing w:after="0" w:line="20" w:lineRule="exact"/>
              <w:rPr>
                <w:sz w:val="1"/>
                <w:szCs w:val="1"/>
                <w:color w:val="auto"/>
              </w:rPr>
            </w:pPr>
          </w:p>
        </w:tc>
        <w:tc>
          <w:tcPr>
            <w:tcW w:w="1620" w:type="dxa"/>
            <w:vAlign w:val="bottom"/>
            <w:vMerge w:val="restart"/>
          </w:tcPr>
          <w:p>
            <w:pPr>
              <w:jc w:val="center"/>
              <w:ind w:left="401"/>
              <w:spacing w:after="0"/>
              <w:rPr>
                <w:sz w:val="20"/>
                <w:szCs w:val="20"/>
                <w:color w:val="auto"/>
              </w:rPr>
            </w:pPr>
            <w:r>
              <w:rPr>
                <w:rFonts w:ascii="Times New Roman" w:cs="Times New Roman" w:eastAsia="Times New Roman" w:hAnsi="Times New Roman"/>
                <w:sz w:val="20"/>
                <w:szCs w:val="20"/>
                <w:color w:val="auto"/>
                <w:w w:val="99"/>
              </w:rPr>
              <w:t>61</w:t>
            </w:r>
          </w:p>
        </w:tc>
        <w:tc>
          <w:tcPr>
            <w:tcW w:w="0" w:type="dxa"/>
            <w:vAlign w:val="bottom"/>
          </w:tcPr>
          <w:p>
            <w:pPr>
              <w:spacing w:after="0" w:line="20" w:lineRule="exact"/>
              <w:rPr>
                <w:sz w:val="1"/>
                <w:szCs w:val="1"/>
                <w:color w:val="auto"/>
              </w:rPr>
            </w:pPr>
          </w:p>
        </w:tc>
      </w:tr>
      <w:tr>
        <w:trPr>
          <w:trHeight w:val="210"/>
        </w:trPr>
        <w:tc>
          <w:tcPr>
            <w:tcW w:w="920" w:type="dxa"/>
            <w:vAlign w:val="bottom"/>
            <w:vMerge w:val="continue"/>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Other information</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6.</w:t>
            </w: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280" w:type="dxa"/>
            <w:vAlign w:val="bottom"/>
            <w:gridSpan w:val="11"/>
          </w:tcPr>
          <w:p>
            <w:pPr>
              <w:spacing w:after="0" w:line="20" w:lineRule="exact"/>
              <w:rPr>
                <w:sz w:val="1"/>
                <w:szCs w:val="1"/>
                <w:color w:val="auto"/>
              </w:rPr>
            </w:pPr>
          </w:p>
        </w:tc>
        <w:tc>
          <w:tcPr>
            <w:tcW w:w="1620" w:type="dxa"/>
            <w:vAlign w:val="bottom"/>
            <w:vMerge w:val="restart"/>
          </w:tcPr>
          <w:p>
            <w:pPr>
              <w:jc w:val="center"/>
              <w:ind w:left="401"/>
              <w:spacing w:after="0"/>
              <w:rPr>
                <w:sz w:val="20"/>
                <w:szCs w:val="20"/>
                <w:color w:val="auto"/>
              </w:rPr>
            </w:pPr>
            <w:r>
              <w:rPr>
                <w:rFonts w:ascii="Times New Roman" w:cs="Times New Roman" w:eastAsia="Times New Roman" w:hAnsi="Times New Roman"/>
                <w:sz w:val="20"/>
                <w:szCs w:val="20"/>
                <w:color w:val="auto"/>
                <w:w w:val="99"/>
              </w:rPr>
              <w:t>62</w:t>
            </w:r>
          </w:p>
        </w:tc>
        <w:tc>
          <w:tcPr>
            <w:tcW w:w="0" w:type="dxa"/>
            <w:vAlign w:val="bottom"/>
          </w:tcPr>
          <w:p>
            <w:pPr>
              <w:spacing w:after="0" w:line="20" w:lineRule="exact"/>
              <w:rPr>
                <w:sz w:val="1"/>
                <w:szCs w:val="1"/>
                <w:color w:val="auto"/>
              </w:rPr>
            </w:pPr>
          </w:p>
        </w:tc>
      </w:tr>
      <w:tr>
        <w:trPr>
          <w:trHeight w:val="210"/>
        </w:trPr>
        <w:tc>
          <w:tcPr>
            <w:tcW w:w="920" w:type="dxa"/>
            <w:vAlign w:val="bottom"/>
            <w:vMerge w:val="continue"/>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Exhibits</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40" w:type="dxa"/>
            <w:vAlign w:val="bottom"/>
            <w:gridSpan w:val="1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62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SIGNATURES</w:t>
            </w:r>
          </w:p>
        </w:tc>
        <w:tc>
          <w:tcPr>
            <w:tcW w:w="1620" w:type="dxa"/>
            <w:vAlign w:val="bottom"/>
          </w:tcPr>
          <w:p>
            <w:pPr>
              <w:jc w:val="center"/>
              <w:ind w:left="401"/>
              <w:spacing w:after="0"/>
              <w:rPr>
                <w:sz w:val="20"/>
                <w:szCs w:val="20"/>
                <w:color w:val="auto"/>
              </w:rPr>
            </w:pPr>
            <w:r>
              <w:rPr>
                <w:rFonts w:ascii="Times New Roman" w:cs="Times New Roman" w:eastAsia="Times New Roman" w:hAnsi="Times New Roman"/>
                <w:sz w:val="20"/>
                <w:szCs w:val="20"/>
                <w:color w:val="auto"/>
                <w:w w:val="99"/>
              </w:rPr>
              <w:t>62</w:t>
            </w:r>
          </w:p>
        </w:tc>
        <w:tc>
          <w:tcPr>
            <w:tcW w:w="0" w:type="dxa"/>
            <w:vAlign w:val="bottom"/>
          </w:tcPr>
          <w:p>
            <w:pPr>
              <w:spacing w:after="0"/>
              <w:rPr>
                <w:sz w:val="1"/>
                <w:szCs w:val="1"/>
                <w:color w:val="auto"/>
              </w:rPr>
            </w:pPr>
          </w:p>
        </w:tc>
      </w:tr>
      <w:tr>
        <w:trPr>
          <w:trHeight w:val="1243"/>
        </w:trPr>
        <w:tc>
          <w:tcPr>
            <w:tcW w:w="9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 Consolidated Financial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Condition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160" w:type="dxa"/>
            <w:vAlign w:val="bottom"/>
          </w:tcPr>
          <w:p>
            <w:pPr>
              <w:spacing w:after="0"/>
              <w:rPr>
                <w:sz w:val="16"/>
                <w:szCs w:val="16"/>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March 31,</w:t>
            </w:r>
          </w:p>
        </w:tc>
        <w:tc>
          <w:tcPr>
            <w:tcW w:w="30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auto"/>
            </w:tcBorders>
            <w:gridSpan w:val="3"/>
            <w:vMerge w:val="continue"/>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2026</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59"/>
        </w:trPr>
        <w:tc>
          <w:tcPr>
            <w:tcW w:w="758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ASSETS:</w:t>
            </w: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 and due from banks</w:t>
            </w:r>
          </w:p>
        </w:tc>
        <w:tc>
          <w:tcPr>
            <w:tcW w:w="11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13,915</w:t>
            </w: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11,521</w:t>
            </w:r>
          </w:p>
        </w:tc>
        <w:tc>
          <w:tcPr>
            <w:tcW w:w="0" w:type="dxa"/>
            <w:vAlign w:val="bottom"/>
          </w:tcPr>
          <w:p>
            <w:pPr>
              <w:spacing w:after="0"/>
              <w:rPr>
                <w:sz w:val="1"/>
                <w:szCs w:val="1"/>
                <w:color w:val="auto"/>
              </w:rPr>
            </w:pPr>
          </w:p>
        </w:tc>
      </w:tr>
      <w:tr>
        <w:trPr>
          <w:trHeight w:val="203"/>
        </w:trPr>
        <w:tc>
          <w:tcPr>
            <w:tcW w:w="7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Interest-earning deposits</w:t>
            </w:r>
          </w:p>
        </w:tc>
        <w:tc>
          <w:tcPr>
            <w:tcW w:w="1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25,244</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19,649</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auto"/>
            </w:tcBorders>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1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39,159</w:t>
            </w: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31,170</w:t>
            </w:r>
          </w:p>
        </w:tc>
        <w:tc>
          <w:tcPr>
            <w:tcW w:w="0" w:type="dxa"/>
            <w:vAlign w:val="bottom"/>
          </w:tcPr>
          <w:p>
            <w:pPr>
              <w:spacing w:after="0"/>
              <w:rPr>
                <w:sz w:val="1"/>
                <w:szCs w:val="1"/>
                <w:color w:val="auto"/>
              </w:rPr>
            </w:pPr>
          </w:p>
        </w:tc>
      </w:tr>
      <w:tr>
        <w:trPr>
          <w:trHeight w:val="196"/>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Available-for-sale securities, at fair value</w:t>
            </w:r>
          </w:p>
        </w:tc>
        <w:tc>
          <w:tcPr>
            <w:tcW w:w="1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272,971</w:t>
            </w: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276,815</w:t>
            </w:r>
          </w:p>
        </w:tc>
        <w:tc>
          <w:tcPr>
            <w:tcW w:w="0" w:type="dxa"/>
            <w:vAlign w:val="bottom"/>
          </w:tcPr>
          <w:p>
            <w:pPr>
              <w:spacing w:after="0"/>
              <w:rPr>
                <w:sz w:val="1"/>
                <w:szCs w:val="1"/>
                <w:color w:val="auto"/>
              </w:rPr>
            </w:pPr>
          </w:p>
        </w:tc>
      </w:tr>
      <w:tr>
        <w:trPr>
          <w:trHeight w:val="203"/>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Held-to-maturity securities, at amortized cost (fair value of $117,076 and $125,198, respectively)</w:t>
            </w:r>
          </w:p>
        </w:tc>
        <w:tc>
          <w:tcPr>
            <w:tcW w:w="1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122,432</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130,324</w:t>
            </w:r>
          </w:p>
        </w:tc>
        <w:tc>
          <w:tcPr>
            <w:tcW w:w="0" w:type="dxa"/>
            <w:vAlign w:val="bottom"/>
          </w:tcPr>
          <w:p>
            <w:pPr>
              <w:spacing w:after="0"/>
              <w:rPr>
                <w:sz w:val="1"/>
                <w:szCs w:val="1"/>
                <w:color w:val="auto"/>
              </w:rPr>
            </w:pPr>
          </w:p>
        </w:tc>
      </w:tr>
      <w:tr>
        <w:trPr>
          <w:trHeight w:val="203"/>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Marketable equity securities, at fair value</w:t>
            </w:r>
          </w:p>
        </w:tc>
        <w:tc>
          <w:tcPr>
            <w:tcW w:w="1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6,207</w:t>
            </w: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6,034</w:t>
            </w:r>
          </w:p>
        </w:tc>
        <w:tc>
          <w:tcPr>
            <w:tcW w:w="0" w:type="dxa"/>
            <w:vAlign w:val="bottom"/>
          </w:tcPr>
          <w:p>
            <w:pPr>
              <w:spacing w:after="0"/>
              <w:rPr>
                <w:sz w:val="1"/>
                <w:szCs w:val="1"/>
                <w:color w:val="auto"/>
              </w:rPr>
            </w:pPr>
          </w:p>
        </w:tc>
      </w:tr>
      <w:tr>
        <w:trPr>
          <w:trHeight w:val="203"/>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Federal Home Loan Bank stock, at cost</w:t>
            </w:r>
          </w:p>
        </w:tc>
        <w:tc>
          <w:tcPr>
            <w:tcW w:w="1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2,169</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2,560</w:t>
            </w:r>
          </w:p>
        </w:tc>
        <w:tc>
          <w:tcPr>
            <w:tcW w:w="0" w:type="dxa"/>
            <w:vAlign w:val="bottom"/>
          </w:tcPr>
          <w:p>
            <w:pPr>
              <w:spacing w:after="0"/>
              <w:rPr>
                <w:sz w:val="1"/>
                <w:szCs w:val="1"/>
                <w:color w:val="auto"/>
              </w:rPr>
            </w:pPr>
          </w:p>
        </w:tc>
      </w:tr>
      <w:tr>
        <w:trPr>
          <w:trHeight w:val="203"/>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Loans held-for-sale</w:t>
            </w:r>
          </w:p>
        </w:tc>
        <w:tc>
          <w:tcPr>
            <w:tcW w:w="1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5,700</w:t>
            </w: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5,900</w:t>
            </w:r>
          </w:p>
        </w:tc>
        <w:tc>
          <w:tcPr>
            <w:tcW w:w="0" w:type="dxa"/>
            <w:vAlign w:val="bottom"/>
          </w:tcPr>
          <w:p>
            <w:pPr>
              <w:spacing w:after="0"/>
              <w:rPr>
                <w:sz w:val="1"/>
                <w:szCs w:val="1"/>
                <w:color w:val="auto"/>
              </w:rPr>
            </w:pPr>
          </w:p>
        </w:tc>
      </w:tr>
      <w:tr>
        <w:trPr>
          <w:trHeight w:val="203"/>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Loans, net of deferred fees</w:t>
            </w:r>
          </w:p>
        </w:tc>
        <w:tc>
          <w:tcPr>
            <w:tcW w:w="1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895,202</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896,670</w:t>
            </w:r>
          </w:p>
        </w:tc>
        <w:tc>
          <w:tcPr>
            <w:tcW w:w="0" w:type="dxa"/>
            <w:vAlign w:val="bottom"/>
          </w:tcPr>
          <w:p>
            <w:pPr>
              <w:spacing w:after="0"/>
              <w:rPr>
                <w:sz w:val="1"/>
                <w:szCs w:val="1"/>
                <w:color w:val="auto"/>
              </w:rPr>
            </w:pPr>
          </w:p>
        </w:tc>
      </w:tr>
      <w:tr>
        <w:trPr>
          <w:trHeight w:val="203"/>
        </w:trPr>
        <w:tc>
          <w:tcPr>
            <w:tcW w:w="7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28,966</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29,436</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auto"/>
            </w:tcBorders>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Loans receivable, net</w:t>
            </w:r>
          </w:p>
        </w:tc>
        <w:tc>
          <w:tcPr>
            <w:tcW w:w="1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866,236</w:t>
            </w: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867,234</w:t>
            </w:r>
          </w:p>
        </w:tc>
        <w:tc>
          <w:tcPr>
            <w:tcW w:w="0" w:type="dxa"/>
            <w:vAlign w:val="bottom"/>
          </w:tcPr>
          <w:p>
            <w:pPr>
              <w:spacing w:after="0"/>
              <w:rPr>
                <w:sz w:val="1"/>
                <w:szCs w:val="1"/>
                <w:color w:val="auto"/>
              </w:rPr>
            </w:pPr>
          </w:p>
        </w:tc>
      </w:tr>
      <w:tr>
        <w:trPr>
          <w:trHeight w:val="196"/>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17,882</w:t>
            </w: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18,008</w:t>
            </w:r>
          </w:p>
        </w:tc>
        <w:tc>
          <w:tcPr>
            <w:tcW w:w="0" w:type="dxa"/>
            <w:vAlign w:val="bottom"/>
          </w:tcPr>
          <w:p>
            <w:pPr>
              <w:spacing w:after="0"/>
              <w:rPr>
                <w:sz w:val="1"/>
                <w:szCs w:val="1"/>
                <w:color w:val="auto"/>
              </w:rPr>
            </w:pPr>
          </w:p>
        </w:tc>
      </w:tr>
      <w:tr>
        <w:trPr>
          <w:trHeight w:val="203"/>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1,072</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1,098</w:t>
            </w:r>
          </w:p>
        </w:tc>
        <w:tc>
          <w:tcPr>
            <w:tcW w:w="0" w:type="dxa"/>
            <w:vAlign w:val="bottom"/>
          </w:tcPr>
          <w:p>
            <w:pPr>
              <w:spacing w:after="0"/>
              <w:rPr>
                <w:sz w:val="1"/>
                <w:szCs w:val="1"/>
                <w:color w:val="auto"/>
              </w:rPr>
            </w:pPr>
          </w:p>
        </w:tc>
      </w:tr>
      <w:tr>
        <w:trPr>
          <w:trHeight w:val="203"/>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1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15,687</w:t>
            </w: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15,885</w:t>
            </w:r>
          </w:p>
        </w:tc>
        <w:tc>
          <w:tcPr>
            <w:tcW w:w="0" w:type="dxa"/>
            <w:vAlign w:val="bottom"/>
          </w:tcPr>
          <w:p>
            <w:pPr>
              <w:spacing w:after="0"/>
              <w:rPr>
                <w:sz w:val="1"/>
                <w:szCs w:val="1"/>
                <w:color w:val="auto"/>
              </w:rPr>
            </w:pPr>
          </w:p>
        </w:tc>
      </w:tr>
      <w:tr>
        <w:trPr>
          <w:trHeight w:val="203"/>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5,832</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6,328</w:t>
            </w:r>
          </w:p>
        </w:tc>
        <w:tc>
          <w:tcPr>
            <w:tcW w:w="0" w:type="dxa"/>
            <w:vAlign w:val="bottom"/>
          </w:tcPr>
          <w:p>
            <w:pPr>
              <w:spacing w:after="0"/>
              <w:rPr>
                <w:sz w:val="1"/>
                <w:szCs w:val="1"/>
                <w:color w:val="auto"/>
              </w:rPr>
            </w:pPr>
          </w:p>
        </w:tc>
      </w:tr>
      <w:tr>
        <w:trPr>
          <w:trHeight w:val="203"/>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Foreclosed real estate</w:t>
            </w:r>
          </w:p>
        </w:tc>
        <w:tc>
          <w:tcPr>
            <w:tcW w:w="1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137</w:t>
            </w: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03"/>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Intangible assets, net</w:t>
            </w:r>
          </w:p>
        </w:tc>
        <w:tc>
          <w:tcPr>
            <w:tcW w:w="1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5,205</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5,362</w:t>
            </w:r>
          </w:p>
        </w:tc>
        <w:tc>
          <w:tcPr>
            <w:tcW w:w="0" w:type="dxa"/>
            <w:vAlign w:val="bottom"/>
          </w:tcPr>
          <w:p>
            <w:pPr>
              <w:spacing w:after="0"/>
              <w:rPr>
                <w:sz w:val="1"/>
                <w:szCs w:val="1"/>
                <w:color w:val="auto"/>
              </w:rPr>
            </w:pPr>
          </w:p>
        </w:tc>
      </w:tr>
      <w:tr>
        <w:trPr>
          <w:trHeight w:val="203"/>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Goodwill</w:t>
            </w:r>
          </w:p>
        </w:tc>
        <w:tc>
          <w:tcPr>
            <w:tcW w:w="1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5,056</w:t>
            </w: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5,056</w:t>
            </w:r>
          </w:p>
        </w:tc>
        <w:tc>
          <w:tcPr>
            <w:tcW w:w="0" w:type="dxa"/>
            <w:vAlign w:val="bottom"/>
          </w:tcPr>
          <w:p>
            <w:pPr>
              <w:spacing w:after="0"/>
              <w:rPr>
                <w:sz w:val="1"/>
                <w:szCs w:val="1"/>
                <w:color w:val="auto"/>
              </w:rPr>
            </w:pPr>
          </w:p>
        </w:tc>
      </w:tr>
      <w:tr>
        <w:trPr>
          <w:trHeight w:val="203"/>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Bank owned life insurance</w:t>
            </w:r>
          </w:p>
        </w:tc>
        <w:tc>
          <w:tcPr>
            <w:tcW w:w="1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31,631</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31,374</w:t>
            </w:r>
          </w:p>
        </w:tc>
        <w:tc>
          <w:tcPr>
            <w:tcW w:w="0" w:type="dxa"/>
            <w:vAlign w:val="bottom"/>
          </w:tcPr>
          <w:p>
            <w:pPr>
              <w:spacing w:after="0"/>
              <w:rPr>
                <w:sz w:val="1"/>
                <w:szCs w:val="1"/>
                <w:color w:val="auto"/>
              </w:rPr>
            </w:pPr>
          </w:p>
        </w:tc>
      </w:tr>
      <w:tr>
        <w:trPr>
          <w:trHeight w:val="203"/>
        </w:trPr>
        <w:tc>
          <w:tcPr>
            <w:tcW w:w="7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Other assets</w:t>
            </w:r>
          </w:p>
        </w:tc>
        <w:tc>
          <w:tcPr>
            <w:tcW w:w="1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24,606</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23,351</w:t>
            </w:r>
          </w:p>
        </w:tc>
        <w:tc>
          <w:tcPr>
            <w:tcW w:w="0" w:type="dxa"/>
            <w:vAlign w:val="bottom"/>
          </w:tcPr>
          <w:p>
            <w:pPr>
              <w:spacing w:after="0"/>
              <w:rPr>
                <w:sz w:val="1"/>
                <w:szCs w:val="1"/>
                <w:color w:val="auto"/>
              </w:rPr>
            </w:pPr>
          </w:p>
        </w:tc>
      </w:tr>
      <w:tr>
        <w:trPr>
          <w:trHeight w:val="236"/>
        </w:trPr>
        <w:tc>
          <w:tcPr>
            <w:tcW w:w="7580" w:type="dxa"/>
            <w:vAlign w:val="bottom"/>
            <w:tcBorders>
              <w:bottom w:val="single" w:sz="8" w:color="auto"/>
            </w:tcBorders>
            <w:gridSpan w:val="3"/>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assets</w:t>
            </w:r>
          </w:p>
        </w:tc>
        <w:tc>
          <w:tcPr>
            <w:tcW w:w="116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1,421,982</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1,426,636</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80" w:type="dxa"/>
            <w:vAlign w:val="bottom"/>
            <w:gridSpan w:val="3"/>
            <w:shd w:val="clear" w:color="auto" w:fill="CFF0FC"/>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Deposits:</w:t>
            </w:r>
          </w:p>
        </w:tc>
        <w:tc>
          <w:tcPr>
            <w:tcW w:w="4020" w:type="dxa"/>
            <w:vAlign w:val="bottom"/>
            <w:tcBorders>
              <w:top w:val="single" w:sz="8" w:color="CFF0FC"/>
            </w:tcBorders>
          </w:tcPr>
          <w:p>
            <w:pPr>
              <w:spacing w:after="0"/>
              <w:rPr>
                <w:sz w:val="17"/>
                <w:szCs w:val="17"/>
                <w:color w:val="auto"/>
              </w:rPr>
            </w:pPr>
          </w:p>
        </w:tc>
        <w:tc>
          <w:tcPr>
            <w:tcW w:w="1160" w:type="dxa"/>
            <w:vAlign w:val="bottom"/>
            <w:tcBorders>
              <w:top w:val="single" w:sz="8" w:color="CFF0FC"/>
            </w:tcBorders>
          </w:tcPr>
          <w:p>
            <w:pPr>
              <w:spacing w:after="0"/>
              <w:rPr>
                <w:sz w:val="17"/>
                <w:szCs w:val="17"/>
                <w:color w:val="auto"/>
              </w:rPr>
            </w:pPr>
          </w:p>
        </w:tc>
        <w:tc>
          <w:tcPr>
            <w:tcW w:w="106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14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Interest-bearing</w:t>
            </w:r>
          </w:p>
        </w:tc>
        <w:tc>
          <w:tcPr>
            <w:tcW w:w="11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1,005,092</w:t>
            </w: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987,471</w:t>
            </w:r>
          </w:p>
        </w:tc>
        <w:tc>
          <w:tcPr>
            <w:tcW w:w="0" w:type="dxa"/>
            <w:vAlign w:val="bottom"/>
          </w:tcPr>
          <w:p>
            <w:pPr>
              <w:spacing w:after="0"/>
              <w:rPr>
                <w:sz w:val="1"/>
                <w:szCs w:val="1"/>
                <w:color w:val="auto"/>
              </w:rPr>
            </w:pPr>
          </w:p>
        </w:tc>
      </w:tr>
      <w:tr>
        <w:trPr>
          <w:trHeight w:val="203"/>
        </w:trPr>
        <w:tc>
          <w:tcPr>
            <w:tcW w:w="75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color w:val="auto"/>
              </w:rPr>
              <w:t>Noninterest-bearing</w:t>
            </w:r>
          </w:p>
        </w:tc>
        <w:tc>
          <w:tcPr>
            <w:tcW w:w="1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206,635</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196,377</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auto"/>
            </w:tcBorders>
            <w:gridSpan w:val="3"/>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deposits</w:t>
            </w:r>
          </w:p>
        </w:tc>
        <w:tc>
          <w:tcPr>
            <w:tcW w:w="1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1,211,727</w:t>
            </w: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1,183,848</w:t>
            </w:r>
          </w:p>
        </w:tc>
        <w:tc>
          <w:tcPr>
            <w:tcW w:w="0" w:type="dxa"/>
            <w:vAlign w:val="bottom"/>
          </w:tcPr>
          <w:p>
            <w:pPr>
              <w:spacing w:after="0"/>
              <w:rPr>
                <w:sz w:val="1"/>
                <w:szCs w:val="1"/>
                <w:color w:val="auto"/>
              </w:rPr>
            </w:pPr>
          </w:p>
        </w:tc>
      </w:tr>
      <w:tr>
        <w:trPr>
          <w:trHeight w:val="196"/>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Short-term borrowings</w:t>
            </w:r>
          </w:p>
        </w:tc>
        <w:tc>
          <w:tcPr>
            <w:tcW w:w="1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15,000</w:t>
            </w: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44,000</w:t>
            </w:r>
          </w:p>
        </w:tc>
        <w:tc>
          <w:tcPr>
            <w:tcW w:w="0" w:type="dxa"/>
            <w:vAlign w:val="bottom"/>
          </w:tcPr>
          <w:p>
            <w:pPr>
              <w:spacing w:after="0"/>
              <w:rPr>
                <w:sz w:val="1"/>
                <w:szCs w:val="1"/>
                <w:color w:val="auto"/>
              </w:rPr>
            </w:pPr>
          </w:p>
        </w:tc>
      </w:tr>
      <w:tr>
        <w:trPr>
          <w:trHeight w:val="203"/>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Long-term borrowings</w:t>
            </w:r>
          </w:p>
        </w:tc>
        <w:tc>
          <w:tcPr>
            <w:tcW w:w="1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12,374</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14,074</w:t>
            </w:r>
          </w:p>
        </w:tc>
        <w:tc>
          <w:tcPr>
            <w:tcW w:w="0" w:type="dxa"/>
            <w:vAlign w:val="bottom"/>
          </w:tcPr>
          <w:p>
            <w:pPr>
              <w:spacing w:after="0"/>
              <w:rPr>
                <w:sz w:val="1"/>
                <w:szCs w:val="1"/>
                <w:color w:val="auto"/>
              </w:rPr>
            </w:pPr>
          </w:p>
        </w:tc>
      </w:tr>
      <w:tr>
        <w:trPr>
          <w:trHeight w:val="203"/>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Subordinated debt</w:t>
            </w:r>
          </w:p>
        </w:tc>
        <w:tc>
          <w:tcPr>
            <w:tcW w:w="1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30,155</w:t>
            </w: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30,155</w:t>
            </w:r>
          </w:p>
        </w:tc>
        <w:tc>
          <w:tcPr>
            <w:tcW w:w="0" w:type="dxa"/>
            <w:vAlign w:val="bottom"/>
          </w:tcPr>
          <w:p>
            <w:pPr>
              <w:spacing w:after="0"/>
              <w:rPr>
                <w:sz w:val="1"/>
                <w:szCs w:val="1"/>
                <w:color w:val="auto"/>
              </w:rPr>
            </w:pPr>
          </w:p>
        </w:tc>
      </w:tr>
      <w:tr>
        <w:trPr>
          <w:trHeight w:val="203"/>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451</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424</w:t>
            </w:r>
          </w:p>
        </w:tc>
        <w:tc>
          <w:tcPr>
            <w:tcW w:w="0" w:type="dxa"/>
            <w:vAlign w:val="bottom"/>
          </w:tcPr>
          <w:p>
            <w:pPr>
              <w:spacing w:after="0"/>
              <w:rPr>
                <w:sz w:val="1"/>
                <w:szCs w:val="1"/>
                <w:color w:val="auto"/>
              </w:rPr>
            </w:pPr>
          </w:p>
        </w:tc>
      </w:tr>
      <w:tr>
        <w:trPr>
          <w:trHeight w:val="202"/>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1,282</w:t>
            </w: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1,304</w:t>
            </w:r>
          </w:p>
        </w:tc>
        <w:tc>
          <w:tcPr>
            <w:tcW w:w="0" w:type="dxa"/>
            <w:vAlign w:val="bottom"/>
          </w:tcPr>
          <w:p>
            <w:pPr>
              <w:spacing w:after="0"/>
              <w:rPr>
                <w:sz w:val="1"/>
                <w:szCs w:val="1"/>
                <w:color w:val="auto"/>
              </w:rPr>
            </w:pPr>
          </w:p>
        </w:tc>
      </w:tr>
      <w:tr>
        <w:trPr>
          <w:trHeight w:val="203"/>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16,295</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16,390</w:t>
            </w:r>
          </w:p>
        </w:tc>
        <w:tc>
          <w:tcPr>
            <w:tcW w:w="0" w:type="dxa"/>
            <w:vAlign w:val="bottom"/>
          </w:tcPr>
          <w:p>
            <w:pPr>
              <w:spacing w:after="0"/>
              <w:rPr>
                <w:sz w:val="1"/>
                <w:szCs w:val="1"/>
                <w:color w:val="auto"/>
              </w:rPr>
            </w:pPr>
          </w:p>
        </w:tc>
      </w:tr>
      <w:tr>
        <w:trPr>
          <w:trHeight w:val="203"/>
        </w:trPr>
        <w:tc>
          <w:tcPr>
            <w:tcW w:w="7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Other liabilities</w:t>
            </w:r>
          </w:p>
        </w:tc>
        <w:tc>
          <w:tcPr>
            <w:tcW w:w="1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11,115</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13,990</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auto"/>
            </w:tcBorders>
            <w:gridSpan w:val="3"/>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liabilities</w:t>
            </w:r>
          </w:p>
        </w:tc>
        <w:tc>
          <w:tcPr>
            <w:tcW w:w="1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1,298,399</w:t>
            </w: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1,304,185</w:t>
            </w:r>
          </w:p>
        </w:tc>
        <w:tc>
          <w:tcPr>
            <w:tcW w:w="0" w:type="dxa"/>
            <w:vAlign w:val="bottom"/>
          </w:tcPr>
          <w:p>
            <w:pPr>
              <w:spacing w:after="0"/>
              <w:rPr>
                <w:sz w:val="1"/>
                <w:szCs w:val="1"/>
                <w:color w:val="auto"/>
              </w:rPr>
            </w:pPr>
          </w:p>
        </w:tc>
      </w:tr>
      <w:tr>
        <w:trPr>
          <w:trHeight w:val="196"/>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Shareholders' equity:</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Voting common stock, par value $0.01; 25,000,000 authorized shares; 4,876,213 and 4,805,361 shares</w:t>
            </w:r>
          </w:p>
        </w:tc>
        <w:tc>
          <w:tcPr>
            <w:tcW w:w="11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8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issued and outstanding, respectively</w:t>
            </w:r>
          </w:p>
        </w:tc>
        <w:tc>
          <w:tcPr>
            <w:tcW w:w="1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49</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89"/>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Non-Voting common stock, par value $0.01; 1,505,283 authorized shares; 1,380,283 shares</w:t>
            </w: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issued and outstanding, respectively</w:t>
            </w:r>
          </w:p>
        </w:tc>
        <w:tc>
          <w:tcPr>
            <w:tcW w:w="116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30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6"/>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55,095</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54,390</w:t>
            </w:r>
          </w:p>
        </w:tc>
        <w:tc>
          <w:tcPr>
            <w:tcW w:w="0" w:type="dxa"/>
            <w:vAlign w:val="bottom"/>
          </w:tcPr>
          <w:p>
            <w:pPr>
              <w:spacing w:after="0"/>
              <w:rPr>
                <w:sz w:val="1"/>
                <w:szCs w:val="1"/>
                <w:color w:val="auto"/>
              </w:rPr>
            </w:pPr>
          </w:p>
        </w:tc>
      </w:tr>
      <w:tr>
        <w:trPr>
          <w:trHeight w:val="203"/>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Retained earnings</w:t>
            </w:r>
          </w:p>
        </w:tc>
        <w:tc>
          <w:tcPr>
            <w:tcW w:w="1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75,140</w:t>
            </w: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73,366</w:t>
            </w:r>
          </w:p>
        </w:tc>
        <w:tc>
          <w:tcPr>
            <w:tcW w:w="0" w:type="dxa"/>
            <w:vAlign w:val="bottom"/>
          </w:tcPr>
          <w:p>
            <w:pPr>
              <w:spacing w:after="0"/>
              <w:rPr>
                <w:sz w:val="1"/>
                <w:szCs w:val="1"/>
                <w:color w:val="auto"/>
              </w:rPr>
            </w:pPr>
          </w:p>
        </w:tc>
      </w:tr>
      <w:tr>
        <w:trPr>
          <w:trHeight w:val="203"/>
        </w:trPr>
        <w:tc>
          <w:tcPr>
            <w:tcW w:w="7580" w:type="dxa"/>
            <w:vAlign w:val="bottom"/>
            <w:tcBorders>
              <w:bottom w:val="single" w:sz="8" w:color="auto"/>
            </w:tcBorders>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(6,715)</w:t>
            </w: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(5,367)</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123,583</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122,451</w:t>
            </w:r>
          </w:p>
        </w:tc>
        <w:tc>
          <w:tcPr>
            <w:tcW w:w="0" w:type="dxa"/>
            <w:vAlign w:val="bottom"/>
          </w:tcPr>
          <w:p>
            <w:pPr>
              <w:spacing w:after="0"/>
              <w:rPr>
                <w:sz w:val="1"/>
                <w:szCs w:val="1"/>
                <w:color w:val="auto"/>
              </w:rPr>
            </w:pPr>
          </w:p>
        </w:tc>
      </w:tr>
      <w:tr>
        <w:trPr>
          <w:trHeight w:val="236"/>
        </w:trPr>
        <w:tc>
          <w:tcPr>
            <w:tcW w:w="7580" w:type="dxa"/>
            <w:vAlign w:val="bottom"/>
            <w:tcBorders>
              <w:bottom w:val="single" w:sz="8" w:color="auto"/>
            </w:tcBorders>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16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1,421,982</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1,426,636</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jc w:val="center"/>
        <w:spacing w:after="0" w:line="233" w:lineRule="auto"/>
        <w:rPr>
          <w:sz w:val="20"/>
          <w:szCs w:val="20"/>
          <w:color w:val="auto"/>
        </w:rPr>
      </w:pPr>
      <w:r>
        <w:rPr>
          <w:rFonts w:ascii="Times New Roman" w:cs="Times New Roman" w:eastAsia="Times New Roman" w:hAnsi="Times New Roman"/>
          <w:sz w:val="20"/>
          <w:szCs w:val="20"/>
          <w:b w:val="1"/>
          <w:bCs w:val="1"/>
          <w:color w:val="auto"/>
        </w:rPr>
        <w:t>(Unaudited)</w:t>
      </w:r>
    </w:p>
    <w:tbl>
      <w:tblPr>
        <w:tblLayout w:type="fixed"/>
        <w:tblInd w:w="0" w:type="dxa"/>
        <w:tblCellMar>
          <w:top w:w="0" w:type="dxa"/>
          <w:left w:w="0" w:type="dxa"/>
          <w:bottom w:w="0" w:type="dxa"/>
          <w:right w:w="0" w:type="dxa"/>
        </w:tblCellMar>
      </w:tblPr>
      <w:tr>
        <w:trPr>
          <w:trHeight w:val="156"/>
        </w:trPr>
        <w:tc>
          <w:tcPr>
            <w:tcW w:w="5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8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For the three months ended</w:t>
            </w: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auto"/>
            </w:tcBorders>
            <w:vMerge w:val="continue"/>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March 31, 2026</w:t>
            </w:r>
          </w:p>
        </w:tc>
        <w:tc>
          <w:tcPr>
            <w:tcW w:w="7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March 31, 2025</w:t>
            </w:r>
          </w:p>
        </w:tc>
        <w:tc>
          <w:tcPr>
            <w:tcW w:w="0" w:type="dxa"/>
            <w:vAlign w:val="bottom"/>
          </w:tcPr>
          <w:p>
            <w:pPr>
              <w:spacing w:after="0"/>
              <w:rPr>
                <w:sz w:val="1"/>
                <w:szCs w:val="1"/>
                <w:color w:val="auto"/>
              </w:rPr>
            </w:pPr>
          </w:p>
        </w:tc>
      </w:tr>
      <w:tr>
        <w:trPr>
          <w:trHeight w:val="142"/>
        </w:trPr>
        <w:tc>
          <w:tcPr>
            <w:tcW w:w="58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Interest and dividend income:</w:t>
            </w:r>
          </w:p>
        </w:tc>
        <w:tc>
          <w:tcPr>
            <w:tcW w:w="18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Loans, including fees</w:t>
            </w:r>
          </w:p>
        </w:tc>
        <w:tc>
          <w:tcPr>
            <w:tcW w:w="22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12,357</w:t>
            </w:r>
          </w:p>
        </w:tc>
        <w:tc>
          <w:tcPr>
            <w:tcW w:w="780" w:type="dxa"/>
            <w:vAlign w:val="bottom"/>
          </w:tcPr>
          <w:p>
            <w:pPr>
              <w:jc w:val="right"/>
              <w:ind w:right="5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13,672</w:t>
            </w:r>
          </w:p>
        </w:tc>
        <w:tc>
          <w:tcPr>
            <w:tcW w:w="0" w:type="dxa"/>
            <w:vAlign w:val="bottom"/>
          </w:tcPr>
          <w:p>
            <w:pPr>
              <w:spacing w:after="0"/>
              <w:rPr>
                <w:sz w:val="1"/>
                <w:szCs w:val="1"/>
                <w:color w:val="auto"/>
              </w:rPr>
            </w:pPr>
          </w:p>
        </w:tc>
      </w:tr>
      <w:tr>
        <w:trPr>
          <w:trHeight w:val="149"/>
        </w:trPr>
        <w:tc>
          <w:tcPr>
            <w:tcW w:w="5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Debt securities:</w:t>
            </w:r>
          </w:p>
        </w:tc>
        <w:tc>
          <w:tcPr>
            <w:tcW w:w="18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Taxable</w:t>
            </w:r>
          </w:p>
        </w:tc>
        <w:tc>
          <w:tcPr>
            <w:tcW w:w="1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4,599</w:t>
            </w:r>
          </w:p>
        </w:tc>
        <w:tc>
          <w:tcPr>
            <w:tcW w:w="78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5,185</w:t>
            </w:r>
          </w:p>
        </w:tc>
        <w:tc>
          <w:tcPr>
            <w:tcW w:w="0" w:type="dxa"/>
            <w:vAlign w:val="bottom"/>
          </w:tcPr>
          <w:p>
            <w:pPr>
              <w:spacing w:after="0"/>
              <w:rPr>
                <w:sz w:val="1"/>
                <w:szCs w:val="1"/>
                <w:color w:val="auto"/>
              </w:rPr>
            </w:pPr>
          </w:p>
        </w:tc>
      </w:tr>
      <w:tr>
        <w:trPr>
          <w:trHeight w:val="148"/>
        </w:trPr>
        <w:tc>
          <w:tcPr>
            <w:tcW w:w="58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Tax-exempt</w:t>
            </w:r>
          </w:p>
        </w:tc>
        <w:tc>
          <w:tcPr>
            <w:tcW w:w="18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7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402</w:t>
            </w:r>
          </w:p>
        </w:tc>
        <w:tc>
          <w:tcPr>
            <w:tcW w:w="0" w:type="dxa"/>
            <w:vAlign w:val="bottom"/>
          </w:tcPr>
          <w:p>
            <w:pPr>
              <w:spacing w:after="0"/>
              <w:rPr>
                <w:sz w:val="1"/>
                <w:szCs w:val="1"/>
                <w:color w:val="auto"/>
              </w:rPr>
            </w:pPr>
          </w:p>
        </w:tc>
      </w:tr>
      <w:tr>
        <w:trPr>
          <w:trHeight w:val="148"/>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w:t>
            </w:r>
          </w:p>
        </w:tc>
        <w:tc>
          <w:tcPr>
            <w:tcW w:w="1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78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48"/>
        </w:trPr>
        <w:tc>
          <w:tcPr>
            <w:tcW w:w="580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Federal funds sold and interest earning deposits</w:t>
            </w:r>
          </w:p>
        </w:tc>
        <w:tc>
          <w:tcPr>
            <w:tcW w:w="18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7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42"/>
        </w:trPr>
        <w:tc>
          <w:tcPr>
            <w:tcW w:w="580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interest and dividend income</w:t>
            </w:r>
          </w:p>
        </w:tc>
        <w:tc>
          <w:tcPr>
            <w:tcW w:w="18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17,502</w:t>
            </w:r>
          </w:p>
        </w:tc>
        <w:tc>
          <w:tcPr>
            <w:tcW w:w="7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19,441</w:t>
            </w:r>
          </w:p>
        </w:tc>
        <w:tc>
          <w:tcPr>
            <w:tcW w:w="0" w:type="dxa"/>
            <w:vAlign w:val="bottom"/>
          </w:tcPr>
          <w:p>
            <w:pPr>
              <w:spacing w:after="0"/>
              <w:rPr>
                <w:sz w:val="1"/>
                <w:szCs w:val="1"/>
                <w:color w:val="auto"/>
              </w:rPr>
            </w:pPr>
          </w:p>
        </w:tc>
      </w:tr>
      <w:tr>
        <w:trPr>
          <w:trHeight w:val="142"/>
        </w:trPr>
        <w:tc>
          <w:tcPr>
            <w:tcW w:w="58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Interest expense:</w:t>
            </w:r>
          </w:p>
        </w:tc>
        <w:tc>
          <w:tcPr>
            <w:tcW w:w="18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on deposits</w:t>
            </w:r>
          </w:p>
        </w:tc>
        <w:tc>
          <w:tcPr>
            <w:tcW w:w="1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6,133</w:t>
            </w:r>
          </w:p>
        </w:tc>
        <w:tc>
          <w:tcPr>
            <w:tcW w:w="78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6,945</w:t>
            </w:r>
          </w:p>
        </w:tc>
        <w:tc>
          <w:tcPr>
            <w:tcW w:w="0" w:type="dxa"/>
            <w:vAlign w:val="bottom"/>
          </w:tcPr>
          <w:p>
            <w:pPr>
              <w:spacing w:after="0"/>
              <w:rPr>
                <w:sz w:val="1"/>
                <w:szCs w:val="1"/>
                <w:color w:val="auto"/>
              </w:rPr>
            </w:pPr>
          </w:p>
        </w:tc>
      </w:tr>
      <w:tr>
        <w:trPr>
          <w:trHeight w:val="148"/>
        </w:trPr>
        <w:tc>
          <w:tcPr>
            <w:tcW w:w="5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 on short-term borrowings</w:t>
            </w:r>
          </w:p>
        </w:tc>
        <w:tc>
          <w:tcPr>
            <w:tcW w:w="18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7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149"/>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on long-term borrowings</w:t>
            </w:r>
          </w:p>
        </w:tc>
        <w:tc>
          <w:tcPr>
            <w:tcW w:w="1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78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48"/>
        </w:trPr>
        <w:tc>
          <w:tcPr>
            <w:tcW w:w="580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 on subordinated debt</w:t>
            </w:r>
          </w:p>
        </w:tc>
        <w:tc>
          <w:tcPr>
            <w:tcW w:w="18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649</w:t>
            </w:r>
          </w:p>
        </w:tc>
        <w:tc>
          <w:tcPr>
            <w:tcW w:w="7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142"/>
        </w:trPr>
        <w:tc>
          <w:tcPr>
            <w:tcW w:w="580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interest expense</w:t>
            </w:r>
          </w:p>
        </w:tc>
        <w:tc>
          <w:tcPr>
            <w:tcW w:w="18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7,162</w:t>
            </w:r>
          </w:p>
        </w:tc>
        <w:tc>
          <w:tcPr>
            <w:tcW w:w="7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8,030</w:t>
            </w:r>
          </w:p>
        </w:tc>
        <w:tc>
          <w:tcPr>
            <w:tcW w:w="0" w:type="dxa"/>
            <w:vAlign w:val="bottom"/>
          </w:tcPr>
          <w:p>
            <w:pPr>
              <w:spacing w:after="0"/>
              <w:rPr>
                <w:sz w:val="1"/>
                <w:szCs w:val="1"/>
                <w:color w:val="auto"/>
              </w:rPr>
            </w:pPr>
          </w:p>
        </w:tc>
      </w:tr>
      <w:tr>
        <w:trPr>
          <w:trHeight w:val="142"/>
        </w:trPr>
        <w:tc>
          <w:tcPr>
            <w:tcW w:w="580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Net interest income</w:t>
            </w:r>
          </w:p>
        </w:tc>
        <w:tc>
          <w:tcPr>
            <w:tcW w:w="18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10,340</w:t>
            </w:r>
          </w:p>
        </w:tc>
        <w:tc>
          <w:tcPr>
            <w:tcW w:w="7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11,411</w:t>
            </w:r>
          </w:p>
        </w:tc>
        <w:tc>
          <w:tcPr>
            <w:tcW w:w="0" w:type="dxa"/>
            <w:vAlign w:val="bottom"/>
          </w:tcPr>
          <w:p>
            <w:pPr>
              <w:spacing w:after="0"/>
              <w:rPr>
                <w:sz w:val="1"/>
                <w:szCs w:val="1"/>
                <w:color w:val="auto"/>
              </w:rPr>
            </w:pPr>
          </w:p>
        </w:tc>
      </w:tr>
      <w:tr>
        <w:trPr>
          <w:trHeight w:val="148"/>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(Benefit from) provision for credit losses:</w:t>
            </w:r>
          </w:p>
        </w:tc>
        <w:tc>
          <w:tcPr>
            <w:tcW w:w="1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18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7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148"/>
        </w:trPr>
        <w:tc>
          <w:tcPr>
            <w:tcW w:w="5800" w:type="dxa"/>
            <w:vAlign w:val="bottom"/>
            <w:tcBorders>
              <w:bottom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Unfunded commitments</w:t>
            </w:r>
          </w:p>
        </w:tc>
        <w:tc>
          <w:tcPr>
            <w:tcW w:w="18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7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2"/>
        </w:trPr>
        <w:tc>
          <w:tcPr>
            <w:tcW w:w="5800" w:type="dxa"/>
            <w:vAlign w:val="bottom"/>
            <w:tcBorders>
              <w:bottom w:val="single" w:sz="8" w:color="auto"/>
            </w:tcBorders>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(benefit from) provision for credit losses, net</w:t>
            </w:r>
          </w:p>
        </w:tc>
        <w:tc>
          <w:tcPr>
            <w:tcW w:w="18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(168)</w:t>
            </w:r>
          </w:p>
        </w:tc>
        <w:tc>
          <w:tcPr>
            <w:tcW w:w="7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142"/>
        </w:trPr>
        <w:tc>
          <w:tcPr>
            <w:tcW w:w="580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18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10,508</w:t>
            </w:r>
          </w:p>
        </w:tc>
        <w:tc>
          <w:tcPr>
            <w:tcW w:w="7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10,954</w:t>
            </w:r>
          </w:p>
        </w:tc>
        <w:tc>
          <w:tcPr>
            <w:tcW w:w="0" w:type="dxa"/>
            <w:vAlign w:val="bottom"/>
          </w:tcPr>
          <w:p>
            <w:pPr>
              <w:spacing w:after="0"/>
              <w:rPr>
                <w:sz w:val="1"/>
                <w:szCs w:val="1"/>
                <w:color w:val="auto"/>
              </w:rPr>
            </w:pPr>
          </w:p>
        </w:tc>
      </w:tr>
      <w:tr>
        <w:trPr>
          <w:trHeight w:val="142"/>
        </w:trPr>
        <w:tc>
          <w:tcPr>
            <w:tcW w:w="58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Noninterest income:</w:t>
            </w:r>
          </w:p>
        </w:tc>
        <w:tc>
          <w:tcPr>
            <w:tcW w:w="18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Service charges on deposit accounts</w:t>
            </w:r>
          </w:p>
        </w:tc>
        <w:tc>
          <w:tcPr>
            <w:tcW w:w="1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376</w:t>
            </w:r>
          </w:p>
        </w:tc>
        <w:tc>
          <w:tcPr>
            <w:tcW w:w="78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149"/>
        </w:trPr>
        <w:tc>
          <w:tcPr>
            <w:tcW w:w="5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Earnings and gain on bank owned life insurance</w:t>
            </w:r>
          </w:p>
        </w:tc>
        <w:tc>
          <w:tcPr>
            <w:tcW w:w="18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7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48"/>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Loan servicing fees</w:t>
            </w:r>
          </w:p>
        </w:tc>
        <w:tc>
          <w:tcPr>
            <w:tcW w:w="1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78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48"/>
        </w:trPr>
        <w:tc>
          <w:tcPr>
            <w:tcW w:w="5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realized losses on sales and redemptions of investment securities</w:t>
            </w:r>
          </w:p>
        </w:tc>
        <w:tc>
          <w:tcPr>
            <w:tcW w:w="18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7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26"/>
        </w:trPr>
        <w:tc>
          <w:tcPr>
            <w:tcW w:w="5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unrealized gains on marketable equity securities</w:t>
            </w:r>
          </w:p>
        </w:tc>
        <w:tc>
          <w:tcPr>
            <w:tcW w:w="1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jc w:val="right"/>
              <w:ind w:right="88"/>
              <w:spacing w:after="0" w:line="126" w:lineRule="exact"/>
              <w:rPr>
                <w:sz w:val="20"/>
                <w:szCs w:val="20"/>
                <w:color w:val="auto"/>
              </w:rPr>
            </w:pPr>
            <w:r>
              <w:rPr>
                <w:rFonts w:ascii="Times New Roman" w:cs="Times New Roman" w:eastAsia="Times New Roman" w:hAnsi="Times New Roman"/>
                <w:sz w:val="14"/>
                <w:szCs w:val="14"/>
                <w:color w:val="auto"/>
              </w:rPr>
              <w:t>76</w:t>
            </w:r>
          </w:p>
        </w:tc>
        <w:tc>
          <w:tcPr>
            <w:tcW w:w="780" w:type="dxa"/>
            <w:vAlign w:val="bottom"/>
          </w:tcPr>
          <w:p>
            <w:pPr>
              <w:spacing w:after="0"/>
              <w:rPr>
                <w:sz w:val="10"/>
                <w:szCs w:val="10"/>
                <w:color w:val="auto"/>
              </w:rPr>
            </w:pPr>
          </w:p>
        </w:tc>
        <w:tc>
          <w:tcPr>
            <w:tcW w:w="1080" w:type="dxa"/>
            <w:vAlign w:val="bottom"/>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44"/>
        </w:trPr>
        <w:tc>
          <w:tcPr>
            <w:tcW w:w="58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Gains on sales of loans and foreclosed real estate</w:t>
            </w:r>
          </w:p>
        </w:tc>
        <w:tc>
          <w:tcPr>
            <w:tcW w:w="1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jc w:val="right"/>
              <w:ind w:right="88"/>
              <w:spacing w:after="0" w:line="145" w:lineRule="exact"/>
              <w:rPr>
                <w:sz w:val="20"/>
                <w:szCs w:val="20"/>
                <w:color w:val="auto"/>
              </w:rPr>
            </w:pPr>
            <w:r>
              <w:rPr>
                <w:rFonts w:ascii="Times New Roman" w:cs="Times New Roman" w:eastAsia="Times New Roman" w:hAnsi="Times New Roman"/>
                <w:sz w:val="14"/>
                <w:szCs w:val="14"/>
                <w:color w:val="auto"/>
              </w:rPr>
              <w:t>186</w:t>
            </w:r>
          </w:p>
        </w:tc>
        <w:tc>
          <w:tcPr>
            <w:tcW w:w="780" w:type="dxa"/>
            <w:vAlign w:val="bottom"/>
          </w:tcPr>
          <w:p>
            <w:pPr>
              <w:spacing w:after="0"/>
              <w:rPr>
                <w:sz w:val="12"/>
                <w:szCs w:val="12"/>
                <w:color w:val="auto"/>
              </w:rPr>
            </w:pPr>
          </w:p>
        </w:tc>
        <w:tc>
          <w:tcPr>
            <w:tcW w:w="1080" w:type="dxa"/>
            <w:vAlign w:val="bottom"/>
          </w:tcPr>
          <w:p>
            <w:pPr>
              <w:jc w:val="right"/>
              <w:ind w:right="68"/>
              <w:spacing w:after="0" w:line="145"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76"/>
        </w:trPr>
        <w:tc>
          <w:tcPr>
            <w:tcW w:w="580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Fair value adjustment to loans held-for-sale </w:t>
            </w:r>
            <w:r>
              <w:rPr>
                <w:rFonts w:ascii="Times New Roman" w:cs="Times New Roman" w:eastAsia="Times New Roman" w:hAnsi="Times New Roman"/>
                <w:sz w:val="19"/>
                <w:szCs w:val="19"/>
                <w:color w:val="auto"/>
                <w:vertAlign w:val="superscript"/>
              </w:rPr>
              <w:t>1</w:t>
            </w:r>
          </w:p>
        </w:tc>
        <w:tc>
          <w:tcPr>
            <w:tcW w:w="1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(203)</w:t>
            </w:r>
          </w:p>
        </w:tc>
        <w:tc>
          <w:tcPr>
            <w:tcW w:w="7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Debit card interchange fees</w:t>
            </w:r>
          </w:p>
        </w:tc>
        <w:tc>
          <w:tcPr>
            <w:tcW w:w="18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7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580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Other charges, commissions &amp; fees</w:t>
            </w:r>
          </w:p>
        </w:tc>
        <w:tc>
          <w:tcPr>
            <w:tcW w:w="18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7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42"/>
        </w:trPr>
        <w:tc>
          <w:tcPr>
            <w:tcW w:w="5800" w:type="dxa"/>
            <w:vAlign w:val="bottom"/>
            <w:tcBorders>
              <w:bottom w:val="single" w:sz="8" w:color="auto"/>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noninterest income</w:t>
            </w:r>
          </w:p>
        </w:tc>
        <w:tc>
          <w:tcPr>
            <w:tcW w:w="18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1,127</w:t>
            </w:r>
          </w:p>
        </w:tc>
        <w:tc>
          <w:tcPr>
            <w:tcW w:w="7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1,197</w:t>
            </w:r>
          </w:p>
        </w:tc>
        <w:tc>
          <w:tcPr>
            <w:tcW w:w="0" w:type="dxa"/>
            <w:vAlign w:val="bottom"/>
          </w:tcPr>
          <w:p>
            <w:pPr>
              <w:spacing w:after="0"/>
              <w:rPr>
                <w:sz w:val="1"/>
                <w:szCs w:val="1"/>
                <w:color w:val="auto"/>
              </w:rPr>
            </w:pPr>
          </w:p>
        </w:tc>
      </w:tr>
      <w:tr>
        <w:trPr>
          <w:trHeight w:val="142"/>
        </w:trPr>
        <w:tc>
          <w:tcPr>
            <w:tcW w:w="58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Noninterest expense:</w:t>
            </w:r>
          </w:p>
        </w:tc>
        <w:tc>
          <w:tcPr>
            <w:tcW w:w="1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Salaries and employee benefits</w:t>
            </w:r>
          </w:p>
        </w:tc>
        <w:tc>
          <w:tcPr>
            <w:tcW w:w="18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4,857</w:t>
            </w:r>
          </w:p>
        </w:tc>
        <w:tc>
          <w:tcPr>
            <w:tcW w:w="7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4,450</w:t>
            </w:r>
          </w:p>
        </w:tc>
        <w:tc>
          <w:tcPr>
            <w:tcW w:w="0" w:type="dxa"/>
            <w:vAlign w:val="bottom"/>
          </w:tcPr>
          <w:p>
            <w:pPr>
              <w:spacing w:after="0"/>
              <w:rPr>
                <w:sz w:val="1"/>
                <w:szCs w:val="1"/>
                <w:color w:val="auto"/>
              </w:rPr>
            </w:pPr>
          </w:p>
        </w:tc>
      </w:tr>
      <w:tr>
        <w:trPr>
          <w:trHeight w:val="148"/>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Building and occupancy</w:t>
            </w:r>
          </w:p>
        </w:tc>
        <w:tc>
          <w:tcPr>
            <w:tcW w:w="1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1,327</w:t>
            </w:r>
          </w:p>
        </w:tc>
        <w:tc>
          <w:tcPr>
            <w:tcW w:w="78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1,347</w:t>
            </w:r>
          </w:p>
        </w:tc>
        <w:tc>
          <w:tcPr>
            <w:tcW w:w="0" w:type="dxa"/>
            <w:vAlign w:val="bottom"/>
          </w:tcPr>
          <w:p>
            <w:pPr>
              <w:spacing w:after="0"/>
              <w:rPr>
                <w:sz w:val="1"/>
                <w:szCs w:val="1"/>
                <w:color w:val="auto"/>
              </w:rPr>
            </w:pPr>
          </w:p>
        </w:tc>
      </w:tr>
      <w:tr>
        <w:trPr>
          <w:trHeight w:val="149"/>
        </w:trPr>
        <w:tc>
          <w:tcPr>
            <w:tcW w:w="5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Data processing</w:t>
            </w:r>
          </w:p>
        </w:tc>
        <w:tc>
          <w:tcPr>
            <w:tcW w:w="18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7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666</w:t>
            </w:r>
          </w:p>
        </w:tc>
        <w:tc>
          <w:tcPr>
            <w:tcW w:w="0" w:type="dxa"/>
            <w:vAlign w:val="bottom"/>
          </w:tcPr>
          <w:p>
            <w:pPr>
              <w:spacing w:after="0"/>
              <w:rPr>
                <w:sz w:val="1"/>
                <w:szCs w:val="1"/>
                <w:color w:val="auto"/>
              </w:rPr>
            </w:pPr>
          </w:p>
        </w:tc>
      </w:tr>
      <w:tr>
        <w:trPr>
          <w:trHeight w:val="148"/>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Professional and other services</w:t>
            </w:r>
          </w:p>
        </w:tc>
        <w:tc>
          <w:tcPr>
            <w:tcW w:w="1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680</w:t>
            </w:r>
          </w:p>
        </w:tc>
        <w:tc>
          <w:tcPr>
            <w:tcW w:w="78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148"/>
        </w:trPr>
        <w:tc>
          <w:tcPr>
            <w:tcW w:w="5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Advertising</w:t>
            </w:r>
          </w:p>
        </w:tc>
        <w:tc>
          <w:tcPr>
            <w:tcW w:w="18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7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49"/>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FDIC assessments</w:t>
            </w:r>
          </w:p>
        </w:tc>
        <w:tc>
          <w:tcPr>
            <w:tcW w:w="1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78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48"/>
        </w:trPr>
        <w:tc>
          <w:tcPr>
            <w:tcW w:w="5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Audits and exams</w:t>
            </w:r>
          </w:p>
        </w:tc>
        <w:tc>
          <w:tcPr>
            <w:tcW w:w="18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7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48"/>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 expense</w:t>
            </w:r>
          </w:p>
        </w:tc>
        <w:tc>
          <w:tcPr>
            <w:tcW w:w="1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78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49"/>
        </w:trPr>
        <w:tc>
          <w:tcPr>
            <w:tcW w:w="5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Community service activities</w:t>
            </w:r>
          </w:p>
        </w:tc>
        <w:tc>
          <w:tcPr>
            <w:tcW w:w="18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7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8"/>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Foreclosed real estate expenses</w:t>
            </w:r>
          </w:p>
        </w:tc>
        <w:tc>
          <w:tcPr>
            <w:tcW w:w="1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78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9"/>
        </w:trPr>
        <w:tc>
          <w:tcPr>
            <w:tcW w:w="580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18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7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691</w:t>
            </w:r>
          </w:p>
        </w:tc>
        <w:tc>
          <w:tcPr>
            <w:tcW w:w="0" w:type="dxa"/>
            <w:vAlign w:val="bottom"/>
          </w:tcPr>
          <w:p>
            <w:pPr>
              <w:spacing w:after="0"/>
              <w:rPr>
                <w:sz w:val="1"/>
                <w:szCs w:val="1"/>
                <w:color w:val="auto"/>
              </w:rPr>
            </w:pPr>
          </w:p>
        </w:tc>
      </w:tr>
      <w:tr>
        <w:trPr>
          <w:trHeight w:val="142"/>
        </w:trPr>
        <w:tc>
          <w:tcPr>
            <w:tcW w:w="580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noninterest expense</w:t>
            </w:r>
          </w:p>
        </w:tc>
        <w:tc>
          <w:tcPr>
            <w:tcW w:w="18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8,692</w:t>
            </w:r>
          </w:p>
        </w:tc>
        <w:tc>
          <w:tcPr>
            <w:tcW w:w="7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8,433</w:t>
            </w:r>
          </w:p>
        </w:tc>
        <w:tc>
          <w:tcPr>
            <w:tcW w:w="0" w:type="dxa"/>
            <w:vAlign w:val="bottom"/>
          </w:tcPr>
          <w:p>
            <w:pPr>
              <w:spacing w:after="0"/>
              <w:rPr>
                <w:sz w:val="1"/>
                <w:szCs w:val="1"/>
                <w:color w:val="auto"/>
              </w:rPr>
            </w:pPr>
          </w:p>
        </w:tc>
      </w:tr>
      <w:tr>
        <w:trPr>
          <w:trHeight w:val="142"/>
        </w:trPr>
        <w:tc>
          <w:tcPr>
            <w:tcW w:w="58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before provision for income taxes</w:t>
            </w:r>
          </w:p>
        </w:tc>
        <w:tc>
          <w:tcPr>
            <w:tcW w:w="18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2,943</w:t>
            </w:r>
          </w:p>
        </w:tc>
        <w:tc>
          <w:tcPr>
            <w:tcW w:w="7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3,718</w:t>
            </w:r>
          </w:p>
        </w:tc>
        <w:tc>
          <w:tcPr>
            <w:tcW w:w="0" w:type="dxa"/>
            <w:vAlign w:val="bottom"/>
          </w:tcPr>
          <w:p>
            <w:pPr>
              <w:spacing w:after="0"/>
              <w:rPr>
                <w:sz w:val="1"/>
                <w:szCs w:val="1"/>
                <w:color w:val="auto"/>
              </w:rPr>
            </w:pPr>
          </w:p>
        </w:tc>
      </w:tr>
      <w:tr>
        <w:trPr>
          <w:trHeight w:val="149"/>
        </w:trPr>
        <w:tc>
          <w:tcPr>
            <w:tcW w:w="580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18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530</w:t>
            </w:r>
          </w:p>
        </w:tc>
        <w:tc>
          <w:tcPr>
            <w:tcW w:w="7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744</w:t>
            </w:r>
          </w:p>
        </w:tc>
        <w:tc>
          <w:tcPr>
            <w:tcW w:w="0" w:type="dxa"/>
            <w:vAlign w:val="bottom"/>
          </w:tcPr>
          <w:p>
            <w:pPr>
              <w:spacing w:after="0"/>
              <w:rPr>
                <w:sz w:val="1"/>
                <w:szCs w:val="1"/>
                <w:color w:val="auto"/>
              </w:rPr>
            </w:pPr>
          </w:p>
        </w:tc>
      </w:tr>
      <w:tr>
        <w:trPr>
          <w:trHeight w:val="182"/>
        </w:trPr>
        <w:tc>
          <w:tcPr>
            <w:tcW w:w="580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2200" w:type="dxa"/>
            <w:vAlign w:val="bottom"/>
            <w:tcBorders>
              <w:bottom w:val="single" w:sz="8" w:color="auto"/>
            </w:tcBorders>
            <w:gridSpan w:val="2"/>
            <w:shd w:val="clear" w:color="auto" w:fill="CFF0FC"/>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2,413</w:t>
            </w:r>
          </w:p>
        </w:tc>
        <w:tc>
          <w:tcPr>
            <w:tcW w:w="780" w:type="dxa"/>
            <w:vAlign w:val="bottom"/>
            <w:tcBorders>
              <w:bottom w:val="single" w:sz="8" w:color="auto"/>
            </w:tcBorders>
            <w:shd w:val="clear" w:color="auto" w:fill="CFF0FC"/>
          </w:tcPr>
          <w:p>
            <w:pPr>
              <w:jc w:val="right"/>
              <w:ind w:right="5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2,974</w:t>
            </w:r>
          </w:p>
        </w:tc>
        <w:tc>
          <w:tcPr>
            <w:tcW w:w="0" w:type="dxa"/>
            <w:vAlign w:val="bottom"/>
          </w:tcPr>
          <w:p>
            <w:pPr>
              <w:spacing w:after="0"/>
              <w:rPr>
                <w:sz w:val="1"/>
                <w:szCs w:val="1"/>
                <w:color w:val="auto"/>
              </w:rPr>
            </w:pPr>
          </w:p>
        </w:tc>
      </w:tr>
      <w:tr>
        <w:trPr>
          <w:trHeight w:val="129"/>
        </w:trPr>
        <w:tc>
          <w:tcPr>
            <w:tcW w:w="580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80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Voting Earnings per common share - basic</w:t>
            </w:r>
          </w:p>
        </w:tc>
        <w:tc>
          <w:tcPr>
            <w:tcW w:w="2200" w:type="dxa"/>
            <w:vAlign w:val="bottom"/>
            <w:tcBorders>
              <w:bottom w:val="single" w:sz="8" w:color="auto"/>
            </w:tcBorders>
            <w:gridSpan w:val="2"/>
            <w:shd w:val="clear" w:color="auto" w:fill="CFF0FC"/>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0.38</w:t>
            </w:r>
          </w:p>
        </w:tc>
        <w:tc>
          <w:tcPr>
            <w:tcW w:w="780" w:type="dxa"/>
            <w:vAlign w:val="bottom"/>
            <w:tcBorders>
              <w:bottom w:val="single" w:sz="8" w:color="auto"/>
            </w:tcBorders>
            <w:shd w:val="clear" w:color="auto" w:fill="CFF0FC"/>
          </w:tcPr>
          <w:p>
            <w:pPr>
              <w:jc w:val="right"/>
              <w:ind w:right="5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0.48</w:t>
            </w:r>
          </w:p>
        </w:tc>
        <w:tc>
          <w:tcPr>
            <w:tcW w:w="0" w:type="dxa"/>
            <w:vAlign w:val="bottom"/>
          </w:tcPr>
          <w:p>
            <w:pPr>
              <w:spacing w:after="0"/>
              <w:rPr>
                <w:sz w:val="1"/>
                <w:szCs w:val="1"/>
                <w:color w:val="auto"/>
              </w:rPr>
            </w:pPr>
          </w:p>
        </w:tc>
      </w:tr>
      <w:tr>
        <w:trPr>
          <w:trHeight w:val="129"/>
        </w:trPr>
        <w:tc>
          <w:tcPr>
            <w:tcW w:w="58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Voting Earnings per common share - diluted</w:t>
            </w:r>
          </w:p>
        </w:tc>
        <w:tc>
          <w:tcPr>
            <w:tcW w:w="2200" w:type="dxa"/>
            <w:vAlign w:val="bottom"/>
            <w:tcBorders>
              <w:bottom w:val="single" w:sz="8" w:color="auto"/>
            </w:tcBorders>
            <w:gridSpan w:val="2"/>
          </w:tcPr>
          <w:p>
            <w:pPr>
              <w:jc w:val="right"/>
              <w:ind w:right="3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0.38</w:t>
            </w:r>
          </w:p>
        </w:tc>
        <w:tc>
          <w:tcPr>
            <w:tcW w:w="780" w:type="dxa"/>
            <w:vAlign w:val="bottom"/>
            <w:tcBorders>
              <w:bottom w:val="single" w:sz="8" w:color="auto"/>
            </w:tcBorders>
          </w:tcPr>
          <w:p>
            <w:pPr>
              <w:jc w:val="right"/>
              <w:ind w:right="5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0.47</w:t>
            </w:r>
          </w:p>
        </w:tc>
        <w:tc>
          <w:tcPr>
            <w:tcW w:w="0" w:type="dxa"/>
            <w:vAlign w:val="bottom"/>
          </w:tcPr>
          <w:p>
            <w:pPr>
              <w:spacing w:after="0"/>
              <w:rPr>
                <w:sz w:val="1"/>
                <w:szCs w:val="1"/>
                <w:color w:val="auto"/>
              </w:rPr>
            </w:pP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00" w:type="dxa"/>
            <w:vAlign w:val="bottom"/>
            <w:tcBorders>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Series A Non-Voting Earnings per common share- basic</w:t>
            </w:r>
          </w:p>
        </w:tc>
        <w:tc>
          <w:tcPr>
            <w:tcW w:w="2200" w:type="dxa"/>
            <w:vAlign w:val="bottom"/>
            <w:tcBorders>
              <w:bottom w:val="single" w:sz="8" w:color="auto"/>
            </w:tcBorders>
            <w:gridSpan w:val="2"/>
            <w:shd w:val="clear" w:color="auto" w:fill="CFF0FC"/>
          </w:tcPr>
          <w:p>
            <w:pPr>
              <w:jc w:val="right"/>
              <w:ind w:right="3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0.38</w:t>
            </w:r>
          </w:p>
        </w:tc>
        <w:tc>
          <w:tcPr>
            <w:tcW w:w="780" w:type="dxa"/>
            <w:vAlign w:val="bottom"/>
            <w:tcBorders>
              <w:bottom w:val="single" w:sz="8" w:color="auto"/>
            </w:tcBorders>
            <w:shd w:val="clear" w:color="auto" w:fill="CFF0FC"/>
          </w:tcPr>
          <w:p>
            <w:pPr>
              <w:jc w:val="right"/>
              <w:ind w:right="5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0.48</w:t>
            </w:r>
          </w:p>
        </w:tc>
        <w:tc>
          <w:tcPr>
            <w:tcW w:w="0" w:type="dxa"/>
            <w:vAlign w:val="bottom"/>
          </w:tcPr>
          <w:p>
            <w:pPr>
              <w:spacing w:after="0"/>
              <w:rPr>
                <w:sz w:val="1"/>
                <w:szCs w:val="1"/>
                <w:color w:val="auto"/>
              </w:rPr>
            </w:pPr>
          </w:p>
        </w:tc>
      </w:tr>
      <w:tr>
        <w:trPr>
          <w:trHeight w:val="129"/>
        </w:trPr>
        <w:tc>
          <w:tcPr>
            <w:tcW w:w="58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Series A Non-Voting Earnings per common share- diluted</w:t>
            </w:r>
          </w:p>
        </w:tc>
        <w:tc>
          <w:tcPr>
            <w:tcW w:w="2200" w:type="dxa"/>
            <w:vAlign w:val="bottom"/>
            <w:tcBorders>
              <w:bottom w:val="single" w:sz="8" w:color="auto"/>
            </w:tcBorders>
            <w:gridSpan w:val="2"/>
          </w:tcPr>
          <w:p>
            <w:pPr>
              <w:jc w:val="right"/>
              <w:ind w:right="3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0.38</w:t>
            </w:r>
          </w:p>
        </w:tc>
        <w:tc>
          <w:tcPr>
            <w:tcW w:w="780" w:type="dxa"/>
            <w:vAlign w:val="bottom"/>
            <w:tcBorders>
              <w:bottom w:val="single" w:sz="8" w:color="auto"/>
            </w:tcBorders>
          </w:tcPr>
          <w:p>
            <w:pPr>
              <w:jc w:val="right"/>
              <w:ind w:right="5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0.47</w:t>
            </w:r>
          </w:p>
        </w:tc>
        <w:tc>
          <w:tcPr>
            <w:tcW w:w="0" w:type="dxa"/>
            <w:vAlign w:val="bottom"/>
          </w:tcPr>
          <w:p>
            <w:pPr>
              <w:spacing w:after="0"/>
              <w:rPr>
                <w:sz w:val="1"/>
                <w:szCs w:val="1"/>
                <w:color w:val="auto"/>
              </w:rPr>
            </w:pP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Dividends per common share (Voting and Series A Non-Voting)</w:t>
            </w:r>
          </w:p>
        </w:tc>
        <w:tc>
          <w:tcPr>
            <w:tcW w:w="2200" w:type="dxa"/>
            <w:vAlign w:val="bottom"/>
            <w:tcBorders>
              <w:bottom w:val="single" w:sz="8" w:color="auto"/>
            </w:tcBorders>
            <w:gridSpan w:val="2"/>
          </w:tcPr>
          <w:p>
            <w:pPr>
              <w:jc w:val="right"/>
              <w:ind w:right="3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0.10</w:t>
            </w:r>
          </w:p>
        </w:tc>
        <w:tc>
          <w:tcPr>
            <w:tcW w:w="780" w:type="dxa"/>
            <w:vAlign w:val="bottom"/>
            <w:tcBorders>
              <w:bottom w:val="single" w:sz="8" w:color="auto"/>
            </w:tcBorders>
          </w:tcPr>
          <w:p>
            <w:pPr>
              <w:jc w:val="right"/>
              <w:ind w:right="5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-2733675</wp:posOffset>
            </wp:positionV>
            <wp:extent cx="7132320" cy="93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1" w:lineRule="exact"/>
        <w:rPr>
          <w:sz w:val="20"/>
          <w:szCs w:val="20"/>
          <w:color w:val="auto"/>
        </w:rPr>
      </w:pPr>
    </w:p>
    <w:p>
      <w:pPr>
        <w:ind w:right="3500" w:firstLine="8"/>
        <w:spacing w:after="0" w:line="397" w:lineRule="auto"/>
        <w:tabs>
          <w:tab w:leader="none" w:pos="72"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Lower-of-cost-or-market (LOCOM) adjustment on loans held-for-sale to the estimated market value based on sale negotiation terms. The accompanying notes are an integral part of the consolidated financial statements.</w:t>
      </w:r>
    </w:p>
    <w:p>
      <w:pPr>
        <w:spacing w:after="0" w:line="142" w:lineRule="exact"/>
        <w:rPr>
          <w:rFonts w:ascii="Times New Roman" w:cs="Times New Roman" w:eastAsia="Times New Roman" w:hAnsi="Times New Roman"/>
          <w:sz w:val="19"/>
          <w:szCs w:val="19"/>
          <w:color w:val="auto"/>
          <w:vertAlign w:val="superscript"/>
        </w:rPr>
      </w:pPr>
    </w:p>
    <w:p>
      <w:pPr>
        <w:ind w:left="5580" w:hanging="106"/>
        <w:spacing w:after="0"/>
        <w:tabs>
          <w:tab w:leader="none" w:pos="55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color w:val="auto"/>
              </w:rPr>
              <w:t>For the three months ended</w:t>
            </w:r>
          </w:p>
        </w:tc>
      </w:tr>
      <w:tr>
        <w:trPr>
          <w:trHeight w:val="202"/>
        </w:trPr>
        <w:tc>
          <w:tcPr>
            <w:tcW w:w="7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March 31, 2026</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March 31, 2025</w:t>
            </w:r>
          </w:p>
        </w:tc>
      </w:tr>
      <w:tr>
        <w:trPr>
          <w:trHeight w:val="196"/>
        </w:trPr>
        <w:tc>
          <w:tcPr>
            <w:tcW w:w="7080" w:type="dxa"/>
            <w:vAlign w:val="bottom"/>
            <w:tcBorders>
              <w:bottom w:val="single" w:sz="8" w:color="auto"/>
            </w:tcBorders>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2,413</w:t>
            </w:r>
          </w:p>
        </w:tc>
        <w:tc>
          <w:tcPr>
            <w:tcW w:w="3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2,974</w:t>
            </w:r>
          </w:p>
        </w:tc>
      </w:tr>
      <w:tr>
        <w:trPr>
          <w:trHeight w:val="196"/>
        </w:trPr>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0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Comprehensive Income</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162"/>
        </w:trPr>
        <w:tc>
          <w:tcPr>
            <w:tcW w:w="7080" w:type="dxa"/>
            <w:vAlign w:val="bottom"/>
            <w:gridSpan w:val="5"/>
          </w:tcPr>
          <w:p>
            <w:pPr>
              <w:spacing w:after="0" w:line="162" w:lineRule="exact"/>
              <w:rPr>
                <w:sz w:val="20"/>
                <w:szCs w:val="20"/>
                <w:color w:val="auto"/>
              </w:rPr>
            </w:pPr>
            <w:r>
              <w:rPr>
                <w:rFonts w:ascii="Times New Roman" w:cs="Times New Roman" w:eastAsia="Times New Roman" w:hAnsi="Times New Roman"/>
                <w:sz w:val="16"/>
                <w:szCs w:val="16"/>
                <w:color w:val="auto"/>
              </w:rPr>
              <w:t>Retirement Plans:</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03"/>
        </w:trPr>
        <w:tc>
          <w:tcPr>
            <w:tcW w:w="7080" w:type="dxa"/>
            <w:vAlign w:val="bottom"/>
            <w:tcBorders>
              <w:bottom w:val="single" w:sz="8" w:color="auto"/>
            </w:tcBorders>
            <w:gridSpan w:val="5"/>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Retirement plan net (losses) gains recognized in plan expenses</w:t>
            </w:r>
          </w:p>
        </w:tc>
        <w:tc>
          <w:tcPr>
            <w:tcW w:w="8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3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r>
      <w:tr>
        <w:trPr>
          <w:trHeight w:val="196"/>
        </w:trPr>
        <w:tc>
          <w:tcPr>
            <w:tcW w:w="7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Net unrealized (losses) gains on retirement plans</w:t>
            </w: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r>
      <w:tr>
        <w:trPr>
          <w:trHeight w:val="196"/>
        </w:trPr>
        <w:tc>
          <w:tcPr>
            <w:tcW w:w="1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162"/>
        </w:trPr>
        <w:tc>
          <w:tcPr>
            <w:tcW w:w="7080" w:type="dxa"/>
            <w:vAlign w:val="bottom"/>
            <w:gridSpan w:val="5"/>
          </w:tcPr>
          <w:p>
            <w:pPr>
              <w:spacing w:after="0" w:line="162" w:lineRule="exact"/>
              <w:rPr>
                <w:sz w:val="20"/>
                <w:szCs w:val="20"/>
                <w:color w:val="auto"/>
              </w:rPr>
            </w:pPr>
            <w:r>
              <w:rPr>
                <w:rFonts w:ascii="Times New Roman" w:cs="Times New Roman" w:eastAsia="Times New Roman" w:hAnsi="Times New Roman"/>
                <w:sz w:val="16"/>
                <w:szCs w:val="16"/>
                <w:color w:val="auto"/>
              </w:rPr>
              <w:t>Unrealized holding (losses) gains on available-for-sale securities:</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03"/>
        </w:trPr>
        <w:tc>
          <w:tcPr>
            <w:tcW w:w="708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Unrealized holding (losses) gains arising during the period</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(1,742)</w:t>
            </w: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1,006</w:t>
            </w:r>
          </w:p>
        </w:tc>
      </w:tr>
      <w:tr>
        <w:trPr>
          <w:trHeight w:val="203"/>
        </w:trPr>
        <w:tc>
          <w:tcPr>
            <w:tcW w:w="70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color w:val="auto"/>
              </w:rPr>
              <w:t>Reclassification adjustment for net gains included in net income</w:t>
            </w: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r>
      <w:tr>
        <w:trPr>
          <w:trHeight w:val="196"/>
        </w:trPr>
        <w:tc>
          <w:tcPr>
            <w:tcW w:w="7080" w:type="dxa"/>
            <w:vAlign w:val="bottom"/>
            <w:tcBorders>
              <w:bottom w:val="single" w:sz="8" w:color="auto"/>
            </w:tcBorders>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unrealized (losses) gains on available-for-sale securities</w:t>
            </w:r>
          </w:p>
        </w:tc>
        <w:tc>
          <w:tcPr>
            <w:tcW w:w="8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(1,742)</w:t>
            </w:r>
          </w:p>
        </w:tc>
        <w:tc>
          <w:tcPr>
            <w:tcW w:w="3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1,011</w:t>
            </w:r>
          </w:p>
        </w:tc>
      </w:tr>
      <w:tr>
        <w:trPr>
          <w:trHeight w:val="196"/>
        </w:trPr>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62"/>
        </w:trPr>
        <w:tc>
          <w:tcPr>
            <w:tcW w:w="7080" w:type="dxa"/>
            <w:vAlign w:val="bottom"/>
            <w:gridSpan w:val="5"/>
            <w:shd w:val="clear" w:color="auto" w:fill="CFF0FC"/>
          </w:tcPr>
          <w:p>
            <w:pPr>
              <w:spacing w:after="0" w:line="162" w:lineRule="exact"/>
              <w:rPr>
                <w:sz w:val="20"/>
                <w:szCs w:val="20"/>
                <w:color w:val="auto"/>
              </w:rPr>
            </w:pPr>
            <w:r>
              <w:rPr>
                <w:rFonts w:ascii="Times New Roman" w:cs="Times New Roman" w:eastAsia="Times New Roman" w:hAnsi="Times New Roman"/>
                <w:sz w:val="16"/>
                <w:szCs w:val="16"/>
                <w:color w:val="auto"/>
              </w:rPr>
              <w:t>Derivatives and hedging activities:</w:t>
            </w: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r>
      <w:tr>
        <w:trPr>
          <w:trHeight w:val="21"/>
        </w:trPr>
        <w:tc>
          <w:tcPr>
            <w:tcW w:w="1160" w:type="dxa"/>
            <w:vAlign w:val="bottom"/>
            <w:tcBorders>
              <w:top w:val="single" w:sz="8" w:color="auto"/>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CFF0FC"/>
          </w:tcPr>
          <w:p>
            <w:pPr>
              <w:spacing w:after="0" w:line="20" w:lineRule="exact"/>
              <w:rPr>
                <w:sz w:val="1"/>
                <w:szCs w:val="1"/>
                <w:color w:val="auto"/>
              </w:rPr>
            </w:pPr>
          </w:p>
        </w:tc>
        <w:tc>
          <w:tcPr>
            <w:tcW w:w="19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r>
      <w:tr>
        <w:trPr>
          <w:trHeight w:val="203"/>
        </w:trPr>
        <w:tc>
          <w:tcPr>
            <w:tcW w:w="70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color w:val="auto"/>
              </w:rPr>
              <w:t>Unrealized holding losses arising during the period</w:t>
            </w: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196"/>
        </w:trPr>
        <w:tc>
          <w:tcPr>
            <w:tcW w:w="7080" w:type="dxa"/>
            <w:vAlign w:val="bottom"/>
            <w:tcBorders>
              <w:bottom w:val="single" w:sz="8" w:color="auto"/>
            </w:tcBorders>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unrealized losses on derivatives and hedging activities</w:t>
            </w:r>
          </w:p>
        </w:tc>
        <w:tc>
          <w:tcPr>
            <w:tcW w:w="8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w:t>
            </w:r>
          </w:p>
        </w:tc>
        <w:tc>
          <w:tcPr>
            <w:tcW w:w="3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196"/>
        </w:trPr>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0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 income, before tax</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(1,823)</w:t>
            </w: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963</w:t>
            </w:r>
          </w:p>
        </w:tc>
      </w:tr>
      <w:tr>
        <w:trPr>
          <w:trHeight w:val="203"/>
        </w:trPr>
        <w:tc>
          <w:tcPr>
            <w:tcW w:w="7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Tax effect</w:t>
            </w: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475</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196"/>
        </w:trPr>
        <w:tc>
          <w:tcPr>
            <w:tcW w:w="7080" w:type="dxa"/>
            <w:vAlign w:val="bottom"/>
            <w:tcBorders>
              <w:bottom w:val="single" w:sz="8" w:color="auto"/>
            </w:tcBorders>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8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(1,348)</w:t>
            </w:r>
          </w:p>
        </w:tc>
        <w:tc>
          <w:tcPr>
            <w:tcW w:w="3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712</w:t>
            </w:r>
          </w:p>
        </w:tc>
      </w:tr>
      <w:tr>
        <w:trPr>
          <w:trHeight w:val="196"/>
        </w:trPr>
        <w:tc>
          <w:tcPr>
            <w:tcW w:w="7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1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1,065</w:t>
            </w:r>
          </w:p>
        </w:tc>
        <w:tc>
          <w:tcPr>
            <w:tcW w:w="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3,686</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1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9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62"/>
        </w:trPr>
        <w:tc>
          <w:tcPr>
            <w:tcW w:w="7080" w:type="dxa"/>
            <w:vAlign w:val="bottom"/>
            <w:gridSpan w:val="5"/>
          </w:tcPr>
          <w:p>
            <w:pPr>
              <w:spacing w:after="0" w:line="162" w:lineRule="exact"/>
              <w:rPr>
                <w:sz w:val="20"/>
                <w:szCs w:val="20"/>
                <w:color w:val="auto"/>
              </w:rPr>
            </w:pPr>
            <w:r>
              <w:rPr>
                <w:rFonts w:ascii="Times New Roman" w:cs="Times New Roman" w:eastAsia="Times New Roman" w:hAnsi="Times New Roman"/>
                <w:sz w:val="16"/>
                <w:szCs w:val="16"/>
                <w:color w:val="auto"/>
              </w:rPr>
              <w:t>Tax Effect Allocated to Each Component of Other Comprehensive (Income) Loss</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03"/>
        </w:trPr>
        <w:tc>
          <w:tcPr>
            <w:tcW w:w="7080" w:type="dxa"/>
            <w:vAlign w:val="bottom"/>
            <w:tcBorders>
              <w:bottom w:val="single" w:sz="8" w:color="auto"/>
            </w:tcBorders>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Retirement plan net gains recognized in plan expenses</w:t>
            </w:r>
          </w:p>
        </w:tc>
        <w:tc>
          <w:tcPr>
            <w:tcW w:w="112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96"/>
        </w:trPr>
        <w:tc>
          <w:tcPr>
            <w:tcW w:w="7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Unrealized holding losses (gains) on available-for-sale securities arising during the period</w:t>
            </w: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455</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196"/>
        </w:trPr>
        <w:tc>
          <w:tcPr>
            <w:tcW w:w="7080" w:type="dxa"/>
            <w:vAlign w:val="bottom"/>
            <w:tcBorders>
              <w:bottom w:val="single" w:sz="8" w:color="auto"/>
            </w:tcBorders>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Reclassification adjustment for net gains on available-for-sale securities included in net income</w:t>
            </w:r>
          </w:p>
        </w:tc>
        <w:tc>
          <w:tcPr>
            <w:tcW w:w="8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96"/>
        </w:trPr>
        <w:tc>
          <w:tcPr>
            <w:tcW w:w="7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Unrealized losses on derivatives and hedging arising during the period</w:t>
            </w: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r>
      <w:tr>
        <w:trPr>
          <w:trHeight w:val="236"/>
        </w:trPr>
        <w:tc>
          <w:tcPr>
            <w:tcW w:w="7080" w:type="dxa"/>
            <w:vAlign w:val="bottom"/>
            <w:tcBorders>
              <w:bottom w:val="single" w:sz="8" w:color="auto"/>
            </w:tcBorders>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effect related to other comprehensive loss (income)</w:t>
            </w:r>
          </w:p>
        </w:tc>
        <w:tc>
          <w:tcPr>
            <w:tcW w:w="112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475</w:t>
            </w:r>
          </w:p>
        </w:tc>
        <w:tc>
          <w:tcPr>
            <w:tcW w:w="3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5" w:name="page6"/>
    <w:bookmarkEnd w:id="5"/>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Shareholders' Equity</w:t>
      </w: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Three months ended March 31, 2026 and March 31, 2025</w:t>
      </w: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Accumulated</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Non-Voting</w:t>
            </w:r>
          </w:p>
        </w:tc>
        <w:tc>
          <w:tcPr>
            <w:tcW w:w="24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Additional</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Common</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Common</w:t>
            </w:r>
          </w:p>
        </w:tc>
        <w:tc>
          <w:tcPr>
            <w:tcW w:w="240" w:type="dxa"/>
            <w:vAlign w:val="bottom"/>
          </w:tcPr>
          <w:p>
            <w:pPr>
              <w:spacing w:after="0"/>
              <w:rPr>
                <w:sz w:val="17"/>
                <w:szCs w:val="17"/>
                <w:color w:val="auto"/>
              </w:rPr>
            </w:pPr>
          </w:p>
        </w:tc>
        <w:tc>
          <w:tcPr>
            <w:tcW w:w="9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Paid in</w:t>
            </w:r>
          </w:p>
        </w:tc>
        <w:tc>
          <w:tcPr>
            <w:tcW w:w="240" w:type="dxa"/>
            <w:vAlign w:val="bottom"/>
          </w:tcPr>
          <w:p>
            <w:pPr>
              <w:spacing w:after="0"/>
              <w:rPr>
                <w:sz w:val="17"/>
                <w:szCs w:val="17"/>
                <w:color w:val="auto"/>
              </w:rPr>
            </w:pPr>
          </w:p>
        </w:tc>
        <w:tc>
          <w:tcPr>
            <w:tcW w:w="9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Retained</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Comprehensi</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Stock</w:t>
            </w: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Stock</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Capital</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Earnings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ve Loss</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January 1, 2026</w:t>
            </w:r>
          </w:p>
        </w:tc>
        <w:tc>
          <w:tcPr>
            <w:tcW w:w="94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48</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54,390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73,366</w:t>
            </w:r>
          </w:p>
        </w:tc>
        <w:tc>
          <w:tcPr>
            <w:tcW w:w="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(5,367)</w:t>
            </w:r>
          </w:p>
        </w:tc>
        <w:tc>
          <w:tcPr>
            <w:tcW w:w="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122,451</w:t>
            </w:r>
          </w:p>
        </w:tc>
        <w:tc>
          <w:tcPr>
            <w:tcW w:w="0" w:type="dxa"/>
            <w:vAlign w:val="bottom"/>
          </w:tcPr>
          <w:p>
            <w:pPr>
              <w:spacing w:after="0"/>
              <w:rPr>
                <w:sz w:val="1"/>
                <w:szCs w:val="1"/>
                <w:color w:val="auto"/>
              </w:rPr>
            </w:pPr>
          </w:p>
        </w:tc>
      </w:tr>
      <w:tr>
        <w:trPr>
          <w:trHeight w:val="203"/>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2,413</w:t>
            </w:r>
          </w:p>
        </w:tc>
        <w:tc>
          <w:tcPr>
            <w:tcW w:w="24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2,413</w:t>
            </w: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0" w:type="dxa"/>
            <w:vAlign w:val="bottom"/>
          </w:tcPr>
          <w:p>
            <w:pPr>
              <w:spacing w:after="0"/>
              <w:rPr>
                <w:sz w:val="1"/>
                <w:szCs w:val="1"/>
                <w:color w:val="auto"/>
              </w:rPr>
            </w:pPr>
          </w:p>
        </w:tc>
      </w:tr>
      <w:tr>
        <w:trPr>
          <w:trHeight w:val="203"/>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based compensation</w:t>
            </w:r>
          </w:p>
        </w:tc>
        <w:tc>
          <w:tcPr>
            <w:tcW w:w="94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260</w:t>
            </w:r>
          </w:p>
        </w:tc>
        <w:tc>
          <w:tcPr>
            <w:tcW w:w="24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 options exercised</w:t>
            </w: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445</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446</w:t>
            </w:r>
          </w:p>
        </w:tc>
        <w:tc>
          <w:tcPr>
            <w:tcW w:w="0" w:type="dxa"/>
            <w:vAlign w:val="bottom"/>
          </w:tcPr>
          <w:p>
            <w:pPr>
              <w:spacing w:after="0"/>
              <w:rPr>
                <w:sz w:val="1"/>
                <w:szCs w:val="1"/>
                <w:color w:val="auto"/>
              </w:rPr>
            </w:pPr>
          </w:p>
        </w:tc>
      </w:tr>
      <w:tr>
        <w:trPr>
          <w:trHeight w:val="203"/>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Voting common stock dividends declared ($0.10 per share)</w:t>
            </w:r>
          </w:p>
        </w:tc>
        <w:tc>
          <w:tcPr>
            <w:tcW w:w="94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24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Non-Voting common stock dividends declared ($0.10 per</w:t>
            </w:r>
          </w:p>
        </w:tc>
        <w:tc>
          <w:tcPr>
            <w:tcW w:w="9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share)</w:t>
            </w: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3"/>
        </w:trPr>
        <w:tc>
          <w:tcPr>
            <w:tcW w:w="4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Warrant dividends declared ($0.10 per share)</w:t>
            </w:r>
          </w:p>
        </w:tc>
        <w:tc>
          <w:tcPr>
            <w:tcW w:w="9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6"/>
        </w:trPr>
        <w:tc>
          <w:tcPr>
            <w:tcW w:w="40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March 31, 2026</w:t>
            </w:r>
          </w:p>
        </w:tc>
        <w:tc>
          <w:tcPr>
            <w:tcW w:w="94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49</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55,095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75,140</w:t>
            </w:r>
          </w:p>
        </w:tc>
        <w:tc>
          <w:tcPr>
            <w:tcW w:w="2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(6,715)</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123,583</w:t>
            </w:r>
          </w:p>
        </w:tc>
        <w:tc>
          <w:tcPr>
            <w:tcW w:w="0" w:type="dxa"/>
            <w:vAlign w:val="bottom"/>
          </w:tcPr>
          <w:p>
            <w:pPr>
              <w:spacing w:after="0"/>
              <w:rPr>
                <w:sz w:val="1"/>
                <w:szCs w:val="1"/>
                <w:color w:val="auto"/>
              </w:rPr>
            </w:pPr>
          </w:p>
        </w:tc>
      </w:tr>
      <w:tr>
        <w:trPr>
          <w:trHeight w:val="383"/>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January 1, 2025</w:t>
            </w:r>
          </w:p>
        </w:tc>
        <w:tc>
          <w:tcPr>
            <w:tcW w:w="94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47</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52,750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77,816</w:t>
            </w:r>
          </w:p>
        </w:tc>
        <w:tc>
          <w:tcPr>
            <w:tcW w:w="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(9,144)</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121,483</w:t>
            </w:r>
          </w:p>
        </w:tc>
        <w:tc>
          <w:tcPr>
            <w:tcW w:w="0" w:type="dxa"/>
            <w:vAlign w:val="bottom"/>
          </w:tcPr>
          <w:p>
            <w:pPr>
              <w:spacing w:after="0"/>
              <w:rPr>
                <w:sz w:val="1"/>
                <w:szCs w:val="1"/>
                <w:color w:val="auto"/>
              </w:rPr>
            </w:pPr>
          </w:p>
        </w:tc>
      </w:tr>
      <w:tr>
        <w:trPr>
          <w:trHeight w:val="206"/>
        </w:trPr>
        <w:tc>
          <w:tcPr>
            <w:tcW w:w="4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2,974</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2,974</w:t>
            </w:r>
          </w:p>
        </w:tc>
        <w:tc>
          <w:tcPr>
            <w:tcW w:w="0" w:type="dxa"/>
            <w:vAlign w:val="bottom"/>
          </w:tcPr>
          <w:p>
            <w:pPr>
              <w:spacing w:after="0"/>
              <w:rPr>
                <w:sz w:val="1"/>
                <w:szCs w:val="1"/>
                <w:color w:val="auto"/>
              </w:rPr>
            </w:pPr>
          </w:p>
        </w:tc>
      </w:tr>
      <w:tr>
        <w:trPr>
          <w:trHeight w:val="203"/>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4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712</w:t>
            </w:r>
          </w:p>
        </w:tc>
        <w:tc>
          <w:tcPr>
            <w:tcW w:w="2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 based compensation</w:t>
            </w: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174</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03"/>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options exercised</w:t>
            </w:r>
          </w:p>
        </w:tc>
        <w:tc>
          <w:tcPr>
            <w:tcW w:w="940" w:type="dxa"/>
            <w:vAlign w:val="bottom"/>
          </w:tcPr>
          <w:p>
            <w:pPr>
              <w:spacing w:after="0"/>
              <w:rPr>
                <w:sz w:val="17"/>
                <w:szCs w:val="17"/>
                <w:color w:val="auto"/>
              </w:rPr>
            </w:pP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179</w:t>
            </w:r>
          </w:p>
        </w:tc>
        <w:tc>
          <w:tcPr>
            <w:tcW w:w="24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02"/>
        </w:trPr>
        <w:tc>
          <w:tcPr>
            <w:tcW w:w="4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Voting common stock dividends declared ($0.10 per share)</w:t>
            </w: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Non-Voting common stock dividends declared ($0.10 per</w:t>
            </w: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w:t>
            </w:r>
          </w:p>
        </w:tc>
        <w:tc>
          <w:tcPr>
            <w:tcW w:w="940" w:type="dxa"/>
            <w:vAlign w:val="bottom"/>
          </w:tcPr>
          <w:p>
            <w:pPr>
              <w:spacing w:after="0"/>
              <w:rPr>
                <w:sz w:val="18"/>
                <w:szCs w:val="18"/>
                <w:color w:val="auto"/>
              </w:rPr>
            </w:pP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4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5"/>
        </w:trPr>
        <w:tc>
          <w:tcPr>
            <w:tcW w:w="40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Warrant dividends declared ($0.10 per share)</w:t>
            </w:r>
          </w:p>
        </w:tc>
        <w:tc>
          <w:tcPr>
            <w:tcW w:w="94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Balance, March 31, 2025</w:t>
            </w:r>
          </w:p>
        </w:tc>
        <w:tc>
          <w:tcPr>
            <w:tcW w:w="9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48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53,103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80,163</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124,896</w:t>
            </w:r>
          </w:p>
        </w:tc>
        <w:tc>
          <w:tcPr>
            <w:tcW w:w="0" w:type="dxa"/>
            <w:vAlign w:val="bottom"/>
          </w:tcPr>
          <w:p>
            <w:pPr>
              <w:spacing w:after="0"/>
              <w:rPr>
                <w:sz w:val="1"/>
                <w:szCs w:val="1"/>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Pathfinder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For the three months ended March 31,</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Borders>
              <w:bottom w:val="single" w:sz="8" w:color="auto"/>
            </w:tcBorders>
            <w:vMerge w:val="continue"/>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42"/>
        </w:trPr>
        <w:tc>
          <w:tcPr>
            <w:tcW w:w="63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6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2,413</w:t>
            </w:r>
          </w:p>
        </w:tc>
        <w:tc>
          <w:tcPr>
            <w:tcW w:w="1160" w:type="dxa"/>
            <w:vAlign w:val="bottom"/>
          </w:tcPr>
          <w:p>
            <w:pPr>
              <w:jc w:val="right"/>
              <w:ind w:right="9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2,974</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flows from operating activities:</w:t>
            </w:r>
          </w:p>
        </w:tc>
        <w:tc>
          <w:tcPr>
            <w:tcW w:w="1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(Benefit from) provision for credit losses</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116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149"/>
        </w:trPr>
        <w:tc>
          <w:tcPr>
            <w:tcW w:w="63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sales of loans held-for-sale</w:t>
            </w:r>
          </w:p>
        </w:tc>
        <w:tc>
          <w:tcPr>
            <w:tcW w:w="1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5,401</w:t>
            </w:r>
          </w:p>
        </w:tc>
        <w:tc>
          <w:tcPr>
            <w:tcW w:w="116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2,600</w:t>
            </w:r>
          </w:p>
        </w:tc>
        <w:tc>
          <w:tcPr>
            <w:tcW w:w="0" w:type="dxa"/>
            <w:vAlign w:val="bottom"/>
          </w:tcPr>
          <w:p>
            <w:pPr>
              <w:spacing w:after="0"/>
              <w:rPr>
                <w:sz w:val="1"/>
                <w:szCs w:val="1"/>
                <w:color w:val="auto"/>
              </w:rPr>
            </w:pPr>
          </w:p>
        </w:tc>
      </w:tr>
      <w:tr>
        <w:trPr>
          <w:trHeight w:val="148"/>
        </w:trPr>
        <w:tc>
          <w:tcPr>
            <w:tcW w:w="63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Originations of loans held-for-sale</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(5,215)</w:t>
            </w:r>
          </w:p>
        </w:tc>
        <w:tc>
          <w:tcPr>
            <w:tcW w:w="1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(2,535)</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Realized (gains) losses on sales, redemptions and calls of:</w:t>
            </w:r>
          </w:p>
        </w:tc>
        <w:tc>
          <w:tcPr>
            <w:tcW w:w="1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1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Available-for-sale investment securities</w:t>
            </w:r>
          </w:p>
        </w:tc>
        <w:tc>
          <w:tcPr>
            <w:tcW w:w="1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9"/>
        </w:trPr>
        <w:tc>
          <w:tcPr>
            <w:tcW w:w="63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Held-to-maturity investment securities</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16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Marketable securities</w:t>
            </w:r>
          </w:p>
        </w:tc>
        <w:tc>
          <w:tcPr>
            <w:tcW w:w="1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116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Amortization of mortgage servicing rights</w:t>
            </w:r>
          </w:p>
        </w:tc>
        <w:tc>
          <w:tcPr>
            <w:tcW w:w="1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 of deferred loan fees and costs</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16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Amortization of operating and finance leases, net</w:t>
            </w:r>
          </w:p>
        </w:tc>
        <w:tc>
          <w:tcPr>
            <w:tcW w:w="1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16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49"/>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fees from subordinated debt</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Earnings on bank owned life insurance</w:t>
            </w:r>
          </w:p>
        </w:tc>
        <w:tc>
          <w:tcPr>
            <w:tcW w:w="1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1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amortization of premiums and discounts on investment securities</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1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amortization of premiums on intangible assets</w:t>
            </w:r>
          </w:p>
        </w:tc>
        <w:tc>
          <w:tcPr>
            <w:tcW w:w="1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116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 expense</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116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49"/>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change in accrued interest receivable</w:t>
            </w:r>
          </w:p>
        </w:tc>
        <w:tc>
          <w:tcPr>
            <w:tcW w:w="1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496</w:t>
            </w:r>
          </w:p>
        </w:tc>
        <w:tc>
          <w:tcPr>
            <w:tcW w:w="116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48"/>
        </w:trPr>
        <w:tc>
          <w:tcPr>
            <w:tcW w:w="634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Net change in other assets and liabilities</w:t>
            </w:r>
          </w:p>
        </w:tc>
        <w:tc>
          <w:tcPr>
            <w:tcW w:w="13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(3,432)</w:t>
            </w:r>
          </w:p>
        </w:tc>
        <w:tc>
          <w:tcPr>
            <w:tcW w:w="1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1,657</w:t>
            </w:r>
          </w:p>
        </w:tc>
        <w:tc>
          <w:tcPr>
            <w:tcW w:w="0" w:type="dxa"/>
            <w:vAlign w:val="bottom"/>
          </w:tcPr>
          <w:p>
            <w:pPr>
              <w:spacing w:after="0"/>
              <w:rPr>
                <w:sz w:val="1"/>
                <w:szCs w:val="1"/>
                <w:color w:val="auto"/>
              </w:rPr>
            </w:pPr>
          </w:p>
        </w:tc>
      </w:tr>
      <w:tr>
        <w:trPr>
          <w:trHeight w:val="142"/>
        </w:trPr>
        <w:tc>
          <w:tcPr>
            <w:tcW w:w="6340" w:type="dxa"/>
            <w:vAlign w:val="bottom"/>
            <w:tcBorders>
              <w:bottom w:val="single" w:sz="8" w:color="auto"/>
            </w:tcBorders>
            <w:shd w:val="clear" w:color="auto" w:fill="CFF0FC"/>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Net cash (outflows) inflows from operating activities</w:t>
            </w:r>
          </w:p>
        </w:tc>
        <w:tc>
          <w:tcPr>
            <w:tcW w:w="130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(241)</w:t>
            </w:r>
          </w:p>
        </w:tc>
        <w:tc>
          <w:tcPr>
            <w:tcW w:w="1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5,697</w:t>
            </w:r>
          </w:p>
        </w:tc>
        <w:tc>
          <w:tcPr>
            <w:tcW w:w="0" w:type="dxa"/>
            <w:vAlign w:val="bottom"/>
          </w:tcPr>
          <w:p>
            <w:pPr>
              <w:spacing w:after="0"/>
              <w:rPr>
                <w:sz w:val="1"/>
                <w:szCs w:val="1"/>
                <w:color w:val="auto"/>
              </w:rPr>
            </w:pPr>
          </w:p>
        </w:tc>
      </w:tr>
      <w:tr>
        <w:trPr>
          <w:trHeight w:val="142"/>
        </w:trPr>
        <w:tc>
          <w:tcPr>
            <w:tcW w:w="63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Purchase of available-for-sale securities</w:t>
            </w:r>
          </w:p>
        </w:tc>
        <w:tc>
          <w:tcPr>
            <w:tcW w:w="1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(20,576)</w:t>
            </w:r>
          </w:p>
        </w:tc>
        <w:tc>
          <w:tcPr>
            <w:tcW w:w="1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(25,882)</w:t>
            </w: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held-to-maturity securities</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(6,196)</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Purchase of marketable securities</w:t>
            </w:r>
          </w:p>
        </w:tc>
        <w:tc>
          <w:tcPr>
            <w:tcW w:w="1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Federal Home Loan Bank stock</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(1,112)</w:t>
            </w:r>
          </w:p>
        </w:tc>
        <w:tc>
          <w:tcPr>
            <w:tcW w:w="1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w:t>
            </w:r>
          </w:p>
        </w:tc>
        <w:tc>
          <w:tcPr>
            <w:tcW w:w="0" w:type="dxa"/>
            <w:vAlign w:val="bottom"/>
          </w:tcPr>
          <w:p>
            <w:pPr>
              <w:spacing w:after="0"/>
              <w:rPr>
                <w:sz w:val="1"/>
                <w:szCs w:val="1"/>
                <w:color w:val="auto"/>
              </w:rPr>
            </w:pPr>
          </w:p>
        </w:tc>
      </w:tr>
      <w:tr>
        <w:trPr>
          <w:trHeight w:val="149"/>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redemption of Federal Home Loan Bank stock</w:t>
            </w:r>
          </w:p>
        </w:tc>
        <w:tc>
          <w:tcPr>
            <w:tcW w:w="1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1,503</w:t>
            </w:r>
          </w:p>
        </w:tc>
        <w:tc>
          <w:tcPr>
            <w:tcW w:w="116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3,472</w:t>
            </w: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maturities and principal reductions of available-for-sale securities</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22,585</w:t>
            </w:r>
          </w:p>
        </w:tc>
        <w:tc>
          <w:tcPr>
            <w:tcW w:w="116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10,473</w:t>
            </w:r>
          </w:p>
        </w:tc>
        <w:tc>
          <w:tcPr>
            <w:tcW w:w="0" w:type="dxa"/>
            <w:vAlign w:val="bottom"/>
          </w:tcPr>
          <w:p>
            <w:pPr>
              <w:spacing w:after="0"/>
              <w:rPr>
                <w:sz w:val="1"/>
                <w:szCs w:val="1"/>
                <w:color w:val="auto"/>
              </w:rPr>
            </w:pPr>
          </w:p>
        </w:tc>
      </w:tr>
      <w:tr>
        <w:trPr>
          <w:trHeight w:val="149"/>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maturities and principal reductions of held-to-maturity securities</w:t>
            </w:r>
          </w:p>
        </w:tc>
        <w:tc>
          <w:tcPr>
            <w:tcW w:w="1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5,771</w:t>
            </w:r>
          </w:p>
        </w:tc>
        <w:tc>
          <w:tcPr>
            <w:tcW w:w="116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6,612</w:t>
            </w: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sales, redemptions and calls of:</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Available-for-sale securities</w:t>
            </w:r>
          </w:p>
        </w:tc>
        <w:tc>
          <w:tcPr>
            <w:tcW w:w="1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2,995</w:t>
            </w:r>
          </w:p>
        </w:tc>
        <w:tc>
          <w:tcPr>
            <w:tcW w:w="0" w:type="dxa"/>
            <w:vAlign w:val="bottom"/>
          </w:tcPr>
          <w:p>
            <w:pPr>
              <w:spacing w:after="0"/>
              <w:rPr>
                <w:sz w:val="1"/>
                <w:szCs w:val="1"/>
                <w:color w:val="auto"/>
              </w:rPr>
            </w:pPr>
          </w:p>
        </w:tc>
      </w:tr>
      <w:tr>
        <w:trPr>
          <w:trHeight w:val="149"/>
        </w:trPr>
        <w:tc>
          <w:tcPr>
            <w:tcW w:w="63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Held-to-maturity securities</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2,065</w:t>
            </w:r>
          </w:p>
        </w:tc>
        <w:tc>
          <w:tcPr>
            <w:tcW w:w="116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2,507</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change in loans</w:t>
            </w:r>
          </w:p>
        </w:tc>
        <w:tc>
          <w:tcPr>
            <w:tcW w:w="1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1,345</w:t>
            </w:r>
          </w:p>
        </w:tc>
        <w:tc>
          <w:tcPr>
            <w:tcW w:w="116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6,679</w:t>
            </w:r>
          </w:p>
        </w:tc>
        <w:tc>
          <w:tcPr>
            <w:tcW w:w="0" w:type="dxa"/>
            <w:vAlign w:val="bottom"/>
          </w:tcPr>
          <w:p>
            <w:pPr>
              <w:spacing w:after="0"/>
              <w:rPr>
                <w:sz w:val="1"/>
                <w:szCs w:val="1"/>
                <w:color w:val="auto"/>
              </w:rPr>
            </w:pPr>
          </w:p>
        </w:tc>
      </w:tr>
      <w:tr>
        <w:trPr>
          <w:trHeight w:val="149"/>
        </w:trPr>
        <w:tc>
          <w:tcPr>
            <w:tcW w:w="634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Purchase of premises and equipment</w:t>
            </w:r>
          </w:p>
        </w:tc>
        <w:tc>
          <w:tcPr>
            <w:tcW w:w="13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1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142"/>
        </w:trPr>
        <w:tc>
          <w:tcPr>
            <w:tcW w:w="6340" w:type="dxa"/>
            <w:vAlign w:val="bottom"/>
            <w:tcBorders>
              <w:bottom w:val="single" w:sz="8" w:color="auto"/>
            </w:tcBorders>
            <w:shd w:val="clear" w:color="auto" w:fill="CFF0FC"/>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Net cash inflows (outflows) from investing activities</w:t>
            </w:r>
          </w:p>
        </w:tc>
        <w:tc>
          <w:tcPr>
            <w:tcW w:w="130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11,236</w:t>
            </w:r>
          </w:p>
        </w:tc>
        <w:tc>
          <w:tcPr>
            <w:tcW w:w="1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(1,872)</w:t>
            </w:r>
          </w:p>
        </w:tc>
        <w:tc>
          <w:tcPr>
            <w:tcW w:w="0" w:type="dxa"/>
            <w:vAlign w:val="bottom"/>
          </w:tcPr>
          <w:p>
            <w:pPr>
              <w:spacing w:after="0"/>
              <w:rPr>
                <w:sz w:val="1"/>
                <w:szCs w:val="1"/>
                <w:color w:val="auto"/>
              </w:rPr>
            </w:pPr>
          </w:p>
        </w:tc>
      </w:tr>
      <w:tr>
        <w:trPr>
          <w:trHeight w:val="142"/>
        </w:trPr>
        <w:tc>
          <w:tcPr>
            <w:tcW w:w="63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3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Net change in demand deposits, NOW accounts, savings accounts, money management</w:t>
            </w:r>
          </w:p>
        </w:tc>
        <w:tc>
          <w:tcPr>
            <w:tcW w:w="1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2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62,297</w:t>
            </w:r>
          </w:p>
        </w:tc>
        <w:tc>
          <w:tcPr>
            <w:tcW w:w="116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63,551</w:t>
            </w:r>
          </w:p>
        </w:tc>
        <w:tc>
          <w:tcPr>
            <w:tcW w:w="0" w:type="dxa"/>
            <w:vAlign w:val="bottom"/>
          </w:tcPr>
          <w:p>
            <w:pPr>
              <w:spacing w:after="0"/>
              <w:rPr>
                <w:sz w:val="1"/>
                <w:szCs w:val="1"/>
                <w:color w:val="auto"/>
              </w:rPr>
            </w:pPr>
          </w:p>
        </w:tc>
      </w:tr>
      <w:tr>
        <w:trPr>
          <w:trHeight w:val="171"/>
        </w:trPr>
        <w:tc>
          <w:tcPr>
            <w:tcW w:w="6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deposit accounts, MMDA accounts and escrow deposits</w:t>
            </w:r>
          </w:p>
        </w:tc>
        <w:tc>
          <w:tcPr>
            <w:tcW w:w="1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20" w:type="dxa"/>
            <w:vAlign w:val="bottom"/>
            <w:vMerge w:val="continue"/>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change in time deposits</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(19,642)</w:t>
            </w:r>
          </w:p>
        </w:tc>
        <w:tc>
          <w:tcPr>
            <w:tcW w:w="116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8,347</w:t>
            </w:r>
          </w:p>
        </w:tc>
        <w:tc>
          <w:tcPr>
            <w:tcW w:w="0" w:type="dxa"/>
            <w:vAlign w:val="bottom"/>
          </w:tcPr>
          <w:p>
            <w:pPr>
              <w:spacing w:after="0"/>
              <w:rPr>
                <w:sz w:val="1"/>
                <w:szCs w:val="1"/>
                <w:color w:val="auto"/>
              </w:rPr>
            </w:pPr>
          </w:p>
        </w:tc>
      </w:tr>
      <w:tr>
        <w:trPr>
          <w:trHeight w:val="149"/>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change in brokered deposits</w:t>
            </w:r>
          </w:p>
        </w:tc>
        <w:tc>
          <w:tcPr>
            <w:tcW w:w="1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(14,776)</w:t>
            </w:r>
          </w:p>
        </w:tc>
        <w:tc>
          <w:tcPr>
            <w:tcW w:w="1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(11,942)</w:t>
            </w: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change in short-term borrowings</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(29,000)</w:t>
            </w:r>
          </w:p>
        </w:tc>
        <w:tc>
          <w:tcPr>
            <w:tcW w:w="1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(34,000)</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Payments on long-term borrowings</w:t>
            </w:r>
          </w:p>
        </w:tc>
        <w:tc>
          <w:tcPr>
            <w:tcW w:w="1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(9,440)</w:t>
            </w:r>
          </w:p>
        </w:tc>
        <w:tc>
          <w:tcPr>
            <w:tcW w:w="0" w:type="dxa"/>
            <w:vAlign w:val="bottom"/>
          </w:tcPr>
          <w:p>
            <w:pPr>
              <w:spacing w:after="0"/>
              <w:rPr>
                <w:sz w:val="1"/>
                <w:szCs w:val="1"/>
                <w:color w:val="auto"/>
              </w:rPr>
            </w:pPr>
          </w:p>
        </w:tc>
      </w:tr>
      <w:tr>
        <w:trPr>
          <w:trHeight w:val="149"/>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long-term borrowings</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(1,700)</w:t>
            </w:r>
          </w:p>
        </w:tc>
        <w:tc>
          <w:tcPr>
            <w:tcW w:w="116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1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446</w:t>
            </w:r>
          </w:p>
        </w:tc>
        <w:tc>
          <w:tcPr>
            <w:tcW w:w="116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paid to common voting shareholders</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(480)</w:t>
            </w:r>
          </w:p>
        </w:tc>
        <w:tc>
          <w:tcPr>
            <w:tcW w:w="1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49"/>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dividends paid to common non-voting shareholders</w:t>
            </w:r>
          </w:p>
        </w:tc>
        <w:tc>
          <w:tcPr>
            <w:tcW w:w="1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1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48"/>
        </w:trPr>
        <w:tc>
          <w:tcPr>
            <w:tcW w:w="634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Cash dividends paid on warrants</w:t>
            </w:r>
          </w:p>
        </w:tc>
        <w:tc>
          <w:tcPr>
            <w:tcW w:w="13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2"/>
        </w:trPr>
        <w:tc>
          <w:tcPr>
            <w:tcW w:w="6340" w:type="dxa"/>
            <w:vAlign w:val="bottom"/>
            <w:tcBorders>
              <w:bottom w:val="single" w:sz="8" w:color="auto"/>
            </w:tcBorders>
            <w:shd w:val="clear" w:color="auto" w:fill="CFF0FC"/>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Net cash (outflows) inflows from financing activities</w:t>
            </w:r>
          </w:p>
        </w:tc>
        <w:tc>
          <w:tcPr>
            <w:tcW w:w="130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(3,006)</w:t>
            </w:r>
          </w:p>
        </w:tc>
        <w:tc>
          <w:tcPr>
            <w:tcW w:w="1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16,071</w:t>
            </w:r>
          </w:p>
        </w:tc>
        <w:tc>
          <w:tcPr>
            <w:tcW w:w="0" w:type="dxa"/>
            <w:vAlign w:val="bottom"/>
          </w:tcPr>
          <w:p>
            <w:pPr>
              <w:spacing w:after="0"/>
              <w:rPr>
                <w:sz w:val="1"/>
                <w:szCs w:val="1"/>
                <w:color w:val="auto"/>
              </w:rPr>
            </w:pPr>
          </w:p>
        </w:tc>
      </w:tr>
      <w:tr>
        <w:trPr>
          <w:trHeight w:val="142"/>
        </w:trPr>
        <w:tc>
          <w:tcPr>
            <w:tcW w:w="63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Change in cash and cash equivalents</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7,989</w:t>
            </w:r>
          </w:p>
        </w:tc>
        <w:tc>
          <w:tcPr>
            <w:tcW w:w="1160" w:type="dxa"/>
            <w:vAlign w:val="bottom"/>
          </w:tcPr>
          <w:p>
            <w:pPr>
              <w:spacing w:after="0"/>
              <w:rPr>
                <w:sz w:val="12"/>
                <w:szCs w:val="12"/>
                <w:color w:val="auto"/>
              </w:rPr>
            </w:pPr>
          </w:p>
        </w:tc>
        <w:tc>
          <w:tcPr>
            <w:tcW w:w="6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19,896</w:t>
            </w:r>
          </w:p>
        </w:tc>
        <w:tc>
          <w:tcPr>
            <w:tcW w:w="0" w:type="dxa"/>
            <w:vAlign w:val="bottom"/>
          </w:tcPr>
          <w:p>
            <w:pPr>
              <w:spacing w:after="0"/>
              <w:rPr>
                <w:sz w:val="1"/>
                <w:szCs w:val="1"/>
                <w:color w:val="auto"/>
              </w:rPr>
            </w:pPr>
          </w:p>
        </w:tc>
      </w:tr>
      <w:tr>
        <w:trPr>
          <w:trHeight w:val="148"/>
        </w:trPr>
        <w:tc>
          <w:tcPr>
            <w:tcW w:w="634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30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31,170</w:t>
            </w:r>
          </w:p>
        </w:tc>
        <w:tc>
          <w:tcPr>
            <w:tcW w:w="1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31,572</w:t>
            </w:r>
          </w:p>
        </w:tc>
        <w:tc>
          <w:tcPr>
            <w:tcW w:w="0" w:type="dxa"/>
            <w:vAlign w:val="bottom"/>
          </w:tcPr>
          <w:p>
            <w:pPr>
              <w:spacing w:after="0"/>
              <w:rPr>
                <w:sz w:val="1"/>
                <w:szCs w:val="1"/>
                <w:color w:val="auto"/>
              </w:rPr>
            </w:pPr>
          </w:p>
        </w:tc>
      </w:tr>
      <w:tr>
        <w:trPr>
          <w:trHeight w:val="142"/>
        </w:trPr>
        <w:tc>
          <w:tcPr>
            <w:tcW w:w="63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1660" w:type="dxa"/>
            <w:vAlign w:val="bottom"/>
            <w:tcBorders>
              <w:bottom w:val="single" w:sz="8" w:color="auto"/>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39,159</w:t>
            </w:r>
          </w:p>
        </w:tc>
        <w:tc>
          <w:tcPr>
            <w:tcW w:w="1160" w:type="dxa"/>
            <w:vAlign w:val="bottom"/>
            <w:tcBorders>
              <w:bottom w:val="single" w:sz="8" w:color="auto"/>
            </w:tcBorders>
          </w:tcPr>
          <w:p>
            <w:pPr>
              <w:jc w:val="right"/>
              <w:ind w:right="9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51,468</w:t>
            </w:r>
          </w:p>
        </w:tc>
        <w:tc>
          <w:tcPr>
            <w:tcW w:w="0" w:type="dxa"/>
            <w:vAlign w:val="bottom"/>
          </w:tcPr>
          <w:p>
            <w:pPr>
              <w:spacing w:after="0"/>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CASH PAID DURING THE PERIOD FOR:</w:t>
            </w:r>
          </w:p>
        </w:tc>
        <w:tc>
          <w:tcPr>
            <w:tcW w:w="13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3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16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7,135</w:t>
            </w:r>
          </w:p>
        </w:tc>
        <w:tc>
          <w:tcPr>
            <w:tcW w:w="1160" w:type="dxa"/>
            <w:vAlign w:val="bottom"/>
          </w:tcPr>
          <w:p>
            <w:pPr>
              <w:jc w:val="right"/>
              <w:ind w:right="9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7,732</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ACTIVITY</w:t>
            </w:r>
          </w:p>
        </w:tc>
        <w:tc>
          <w:tcPr>
            <w:tcW w:w="1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634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Fair value adjustment to loans held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for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sale</w:t>
            </w: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w:t>
            </w:r>
          </w:p>
        </w:tc>
        <w:tc>
          <w:tcPr>
            <w:tcW w:w="116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auto"/>
        </w:rPr>
        <w:t>Notes to Consolidated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Basis of Presentation</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accompanying unaudited consolidated financial statements of Pathfinder Bancorp, Inc., (the “Company”), Pathfinder Bank (the “Bank”) and its other wholly owned subsidiaries have been prepared in accordance with accounting principles generally accepted in the United States of America for interim financial information, the instructions for Form 10-Q and Article 8 of Regulation S-X. Accordingly, they do not include all of the information and footnotes necessary for a complete presentation of consolidated financial condition, results of operations and cash flows in conformity with generally accepted accounting principles. In the opinion of management, all adjustments, consisting of normal recurring accruals considered necessary for a fair presentation, have been included. Certain amounts in the 2025 consolidated financial statements may have been reclassified to conform to the current period presentation. These reclassifications had no effect on net income or comprehensive income as previously reported. Operating results for the three months ended March 31, 2026 are not necessarily indicative of the results that may be expected for the full year ending December 31, 2026 or any other interim period.</w:t>
      </w:r>
    </w:p>
    <w:p>
      <w:pPr>
        <w:spacing w:after="0" w:line="19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Company's consolidated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financial statements and accompanying notes. These estimates, assumptions, and judgments are based on information available as of the date of the consolidated financial statements; accordingly, as this information changes, the consolidated financial statements could reflect different estimates, assumptions, and judgments. Certain accounting policies inherently have a greater reliance on the use of estimates, assumptions, and judgments and as such, have a greater possibility of producing results that could be materially different than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unaffiliated third-party sources, when available. When third party information is not available, valuation adjustments are estimated in good faith by management.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Note 2:  New Accounting Pronouncements</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Financial Accounting Standards Board (“FASB”) and, to a lesser extent, other authoritative rulemaking bodies promulgate generally accepted accounting principles (“GAAP”) to regulate the standards of accounting in the United States. From time to time, the FASB issues new GAAP standards, known as Accounting Standards Updates (“ASUs”) some of which, upon adoption, may have the potential to change the way in which the Company recognizes or reports within its consolidated financial statements. The following table provides a description of the accounting standards that are not currently effective, but could have an impact on the Company's consolidated financial statements upon adoption.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Standards Not Yet Adopted as of March 31, 2026</w:t>
      </w:r>
    </w:p>
    <w:p>
      <w:pPr>
        <w:spacing w:after="0" w:line="28"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2180" w:type="dxa"/>
            <w:vAlign w:val="bottom"/>
            <w:tcBorders>
              <w:top w:val="single" w:sz="8" w:color="auto"/>
              <w:left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Standard</w:t>
            </w:r>
          </w:p>
        </w:tc>
        <w:tc>
          <w:tcPr>
            <w:tcW w:w="4980" w:type="dxa"/>
            <w:vAlign w:val="bottom"/>
            <w:tcBorders>
              <w:top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820" w:type="dxa"/>
            <w:vAlign w:val="bottom"/>
            <w:tcBorders>
              <w:top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Required Date</w:t>
            </w:r>
          </w:p>
        </w:tc>
        <w:tc>
          <w:tcPr>
            <w:tcW w:w="2260" w:type="dxa"/>
            <w:vAlign w:val="bottom"/>
            <w:tcBorders>
              <w:top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Effect on Consolidated</w:t>
            </w:r>
          </w:p>
        </w:tc>
      </w:tr>
      <w:tr>
        <w:trPr>
          <w:trHeight w:val="215"/>
        </w:trPr>
        <w:tc>
          <w:tcPr>
            <w:tcW w:w="2180" w:type="dxa"/>
            <w:vAlign w:val="bottom"/>
            <w:tcBorders>
              <w:left w:val="single" w:sz="8" w:color="auto"/>
              <w:bottom w:val="single" w:sz="8" w:color="auto"/>
              <w:right w:val="single" w:sz="8" w:color="auto"/>
            </w:tcBorders>
            <w:shd w:val="clear" w:color="auto" w:fill="CFF0FC"/>
          </w:tcPr>
          <w:p>
            <w:pPr>
              <w:spacing w:after="0"/>
              <w:rPr>
                <w:sz w:val="18"/>
                <w:szCs w:val="18"/>
                <w:color w:val="auto"/>
              </w:rPr>
            </w:pPr>
          </w:p>
        </w:tc>
        <w:tc>
          <w:tcPr>
            <w:tcW w:w="4980" w:type="dxa"/>
            <w:vAlign w:val="bottom"/>
            <w:tcBorders>
              <w:bottom w:val="single" w:sz="8" w:color="auto"/>
              <w:right w:val="single" w:sz="8" w:color="auto"/>
            </w:tcBorders>
            <w:shd w:val="clear" w:color="auto" w:fill="CFF0FC"/>
          </w:tcPr>
          <w:p>
            <w:pPr>
              <w:spacing w:after="0"/>
              <w:rPr>
                <w:sz w:val="18"/>
                <w:szCs w:val="18"/>
                <w:color w:val="auto"/>
              </w:rPr>
            </w:pPr>
          </w:p>
        </w:tc>
        <w:tc>
          <w:tcPr>
            <w:tcW w:w="182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of Implementation</w:t>
            </w:r>
          </w:p>
        </w:tc>
        <w:tc>
          <w:tcPr>
            <w:tcW w:w="226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Financial Statements</w:t>
            </w:r>
          </w:p>
        </w:tc>
      </w:tr>
      <w:tr>
        <w:trPr>
          <w:trHeight w:val="183"/>
        </w:trPr>
        <w:tc>
          <w:tcPr>
            <w:tcW w:w="21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Income Statement ASU 2024-</w:t>
            </w: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ASU 2024-03 was issued to address requests from investors for more</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Fiscal years beginning</w:t>
            </w:r>
          </w:p>
        </w:tc>
        <w:tc>
          <w:tcPr>
            <w:tcW w:w="2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Management is evaluating the</w:t>
            </w:r>
          </w:p>
        </w:tc>
      </w:tr>
      <w:tr>
        <w:trPr>
          <w:trHeight w:val="203"/>
        </w:trPr>
        <w:tc>
          <w:tcPr>
            <w:tcW w:w="21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xml:space="preserve">03 </w:t>
            </w:r>
            <w:r>
              <w:rPr>
                <w:rFonts w:ascii="Times New Roman" w:cs="Times New Roman" w:eastAsia="Times New Roman" w:hAnsi="Times New Roman"/>
                <w:sz w:val="16"/>
                <w:szCs w:val="16"/>
                <w:i w:val="1"/>
                <w:iCs w:val="1"/>
                <w:color w:val="auto"/>
              </w:rPr>
              <w:t>(Subtopic 220-40):</w:t>
            </w: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detailed information about the types of expenses in commonly presented</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after December 15, 2026,</w:t>
            </w:r>
          </w:p>
        </w:tc>
        <w:tc>
          <w:tcPr>
            <w:tcW w:w="2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adoption of the ASU but does not</w:t>
            </w:r>
          </w:p>
        </w:tc>
      </w:tr>
      <w:tr>
        <w:trPr>
          <w:trHeight w:val="203"/>
        </w:trPr>
        <w:tc>
          <w:tcPr>
            <w:tcW w:w="21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Disaggregation of Income</w:t>
            </w: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income statement captions. The ASU requires new financial statement</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and interim periods within</w:t>
            </w:r>
          </w:p>
        </w:tc>
        <w:tc>
          <w:tcPr>
            <w:tcW w:w="2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expect it will have a material</w:t>
            </w:r>
          </w:p>
        </w:tc>
      </w:tr>
      <w:tr>
        <w:trPr>
          <w:trHeight w:val="204"/>
        </w:trPr>
        <w:tc>
          <w:tcPr>
            <w:tcW w:w="21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Statement Expenses</w:t>
            </w: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disclosures, disaggregating certain expense categories, such as</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fiscal years beginning after</w:t>
            </w:r>
          </w:p>
        </w:tc>
        <w:tc>
          <w:tcPr>
            <w:tcW w:w="2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impact to the Company's</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compensation, depreciation, and amortization of intangible assets. This</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December 15, 2027.</w:t>
            </w:r>
          </w:p>
        </w:tc>
        <w:tc>
          <w:tcPr>
            <w:tcW w:w="2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consolidated financial statements.</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disaggregation is to be presented in a tabular format and aims to provide</w:t>
            </w:r>
          </w:p>
        </w:tc>
        <w:tc>
          <w:tcPr>
            <w:tcW w:w="182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enhanced transparency into the relevant components of income statement</w:t>
            </w:r>
          </w:p>
        </w:tc>
        <w:tc>
          <w:tcPr>
            <w:tcW w:w="182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r>
      <w:tr>
        <w:trPr>
          <w:trHeight w:val="213"/>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4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expenses.</w:t>
            </w:r>
          </w:p>
        </w:tc>
        <w:tc>
          <w:tcPr>
            <w:tcW w:w="182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r>
        <w:trPr>
          <w:trHeight w:val="199"/>
        </w:trPr>
        <w:tc>
          <w:tcPr>
            <w:tcW w:w="2180" w:type="dxa"/>
            <w:vAlign w:val="bottom"/>
            <w:tcBorders>
              <w:left w:val="single" w:sz="8" w:color="auto"/>
              <w:bottom w:val="single" w:sz="8" w:color="auto"/>
              <w:right w:val="single" w:sz="8" w:color="CFF0FC"/>
            </w:tcBorders>
            <w:shd w:val="clear" w:color="auto" w:fill="CFF0FC"/>
          </w:tcPr>
          <w:p>
            <w:pPr>
              <w:spacing w:after="0"/>
              <w:rPr>
                <w:sz w:val="17"/>
                <w:szCs w:val="17"/>
                <w:color w:val="auto"/>
              </w:rPr>
            </w:pPr>
          </w:p>
        </w:tc>
        <w:tc>
          <w:tcPr>
            <w:tcW w:w="4980" w:type="dxa"/>
            <w:vAlign w:val="bottom"/>
            <w:tcBorders>
              <w:bottom w:val="single" w:sz="8" w:color="auto"/>
              <w:right w:val="single" w:sz="8" w:color="CFF0FC"/>
            </w:tcBorders>
            <w:shd w:val="clear" w:color="auto" w:fill="CFF0FC"/>
          </w:tcPr>
          <w:p>
            <w:pPr>
              <w:spacing w:after="0"/>
              <w:rPr>
                <w:sz w:val="17"/>
                <w:szCs w:val="17"/>
                <w:color w:val="auto"/>
              </w:rPr>
            </w:pPr>
          </w:p>
        </w:tc>
        <w:tc>
          <w:tcPr>
            <w:tcW w:w="1820" w:type="dxa"/>
            <w:vAlign w:val="bottom"/>
            <w:tcBorders>
              <w:bottom w:val="single" w:sz="8" w:color="auto"/>
              <w:right w:val="single" w:sz="8" w:color="CFF0FC"/>
            </w:tcBorders>
            <w:shd w:val="clear" w:color="auto" w:fill="CFF0FC"/>
          </w:tcPr>
          <w:p>
            <w:pPr>
              <w:spacing w:after="0"/>
              <w:rPr>
                <w:sz w:val="17"/>
                <w:szCs w:val="17"/>
                <w:color w:val="auto"/>
              </w:rPr>
            </w:pPr>
          </w:p>
        </w:tc>
        <w:tc>
          <w:tcPr>
            <w:tcW w:w="2260" w:type="dxa"/>
            <w:vAlign w:val="bottom"/>
            <w:tcBorders>
              <w:bottom w:val="single" w:sz="8" w:color="auto"/>
              <w:right w:val="single" w:sz="8" w:color="auto"/>
            </w:tcBorders>
            <w:shd w:val="clear" w:color="auto" w:fill="CFF0FC"/>
          </w:tcPr>
          <w:p>
            <w:pPr>
              <w:spacing w:after="0"/>
              <w:rPr>
                <w:sz w:val="17"/>
                <w:szCs w:val="17"/>
                <w:color w:val="auto"/>
              </w:rPr>
            </w:pPr>
          </w:p>
        </w:tc>
      </w:tr>
      <w:tr>
        <w:trPr>
          <w:trHeight w:val="180"/>
        </w:trPr>
        <w:tc>
          <w:tcPr>
            <w:tcW w:w="2180" w:type="dxa"/>
            <w:vAlign w:val="bottom"/>
            <w:tcBorders>
              <w:left w:val="single" w:sz="8" w:color="auto"/>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6"/>
                <w:szCs w:val="16"/>
                <w:color w:val="auto"/>
              </w:rPr>
              <w:t>Financial Instruments - Credit</w:t>
            </w:r>
          </w:p>
        </w:tc>
        <w:tc>
          <w:tcPr>
            <w:tcW w:w="498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ASU 2025-08 simplifies accounting for acquired loans under Current</w:t>
            </w:r>
          </w:p>
        </w:tc>
        <w:tc>
          <w:tcPr>
            <w:tcW w:w="182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The amendments in this</w:t>
            </w:r>
          </w:p>
        </w:tc>
        <w:tc>
          <w:tcPr>
            <w:tcW w:w="226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Management is currently</w:t>
            </w:r>
          </w:p>
        </w:tc>
      </w:tr>
      <w:tr>
        <w:trPr>
          <w:trHeight w:val="203"/>
        </w:trPr>
        <w:tc>
          <w:tcPr>
            <w:tcW w:w="21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xml:space="preserve">Losses ASU 2025-08 </w:t>
            </w:r>
            <w:r>
              <w:rPr>
                <w:rFonts w:ascii="Times New Roman" w:cs="Times New Roman" w:eastAsia="Times New Roman" w:hAnsi="Times New Roman"/>
                <w:sz w:val="16"/>
                <w:szCs w:val="16"/>
                <w:i w:val="1"/>
                <w:iCs w:val="1"/>
                <w:color w:val="auto"/>
              </w:rPr>
              <w:t>(Topic</w:t>
            </w: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Expected Credit Loss ("CECL") framework by expanding use of the gross-</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update are effective for all</w:t>
            </w:r>
          </w:p>
        </w:tc>
        <w:tc>
          <w:tcPr>
            <w:tcW w:w="2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evaluating the impact of adopting</w:t>
            </w:r>
          </w:p>
        </w:tc>
      </w:tr>
      <w:tr>
        <w:trPr>
          <w:trHeight w:val="204"/>
        </w:trPr>
        <w:tc>
          <w:tcPr>
            <w:tcW w:w="21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326): Purchased Loans</w:t>
            </w: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up method to a new category of purchased seasoned loans ("PSLs"). PSLs</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entities for annual</w:t>
            </w:r>
          </w:p>
        </w:tc>
        <w:tc>
          <w:tcPr>
            <w:tcW w:w="2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this guidance on the Company's</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are acquired loans purchased more than 90 days after origination (or</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reporting periods</w:t>
            </w:r>
          </w:p>
        </w:tc>
        <w:tc>
          <w:tcPr>
            <w:tcW w:w="2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consolidated financial statements.</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acquired in a business combination) when the acquirer was not involved in</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beginning after December</w:t>
            </w:r>
          </w:p>
        </w:tc>
        <w:tc>
          <w:tcPr>
            <w:tcW w:w="2260" w:type="dxa"/>
            <w:vAlign w:val="bottom"/>
            <w:tcBorders>
              <w:right w:val="single" w:sz="8" w:color="auto"/>
            </w:tcBorders>
          </w:tcPr>
          <w:p>
            <w:pPr>
              <w:spacing w:after="0"/>
              <w:rPr>
                <w:sz w:val="17"/>
                <w:szCs w:val="17"/>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origination. For PSLs, an allowance for credit losses ("ACL") is recorded at</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15, 2026, and interim</w:t>
            </w:r>
          </w:p>
        </w:tc>
        <w:tc>
          <w:tcPr>
            <w:tcW w:w="2260" w:type="dxa"/>
            <w:vAlign w:val="bottom"/>
            <w:tcBorders>
              <w:right w:val="single" w:sz="8" w:color="auto"/>
            </w:tcBorders>
          </w:tcPr>
          <w:p>
            <w:pPr>
              <w:spacing w:after="0"/>
              <w:rPr>
                <w:sz w:val="17"/>
                <w:szCs w:val="17"/>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acquisition with an equal increase to amortized cost, eliminating Day 1</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reporting periods within</w:t>
            </w:r>
          </w:p>
        </w:tc>
        <w:tc>
          <w:tcPr>
            <w:tcW w:w="2260" w:type="dxa"/>
            <w:vAlign w:val="bottom"/>
            <w:tcBorders>
              <w:right w:val="single" w:sz="8" w:color="auto"/>
            </w:tcBorders>
          </w:tcPr>
          <w:p>
            <w:pPr>
              <w:spacing w:after="0"/>
              <w:rPr>
                <w:sz w:val="17"/>
                <w:szCs w:val="17"/>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credit loss expense. Excludes credit cards, Topic 606 trade receivables, and</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those annual reporting</w:t>
            </w:r>
          </w:p>
        </w:tc>
        <w:tc>
          <w:tcPr>
            <w:tcW w:w="2260" w:type="dxa"/>
            <w:vAlign w:val="bottom"/>
            <w:tcBorders>
              <w:right w:val="single" w:sz="8" w:color="auto"/>
            </w:tcBorders>
          </w:tcPr>
          <w:p>
            <w:pPr>
              <w:spacing w:after="0"/>
              <w:rPr>
                <w:sz w:val="17"/>
                <w:szCs w:val="17"/>
                <w:color w:val="auto"/>
              </w:rPr>
            </w:pPr>
          </w:p>
        </w:tc>
      </w:tr>
      <w:tr>
        <w:trPr>
          <w:trHeight w:val="213"/>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4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debt securities.</w:t>
            </w:r>
          </w:p>
        </w:tc>
        <w:tc>
          <w:tcPr>
            <w:tcW w:w="1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periods.</w:t>
            </w:r>
          </w:p>
        </w:tc>
        <w:tc>
          <w:tcPr>
            <w:tcW w:w="2260" w:type="dxa"/>
            <w:vAlign w:val="bottom"/>
            <w:tcBorders>
              <w:bottom w:val="single" w:sz="8" w:color="auto"/>
              <w:right w:val="single" w:sz="8" w:color="auto"/>
            </w:tcBorders>
          </w:tcPr>
          <w:p>
            <w:pPr>
              <w:spacing w:after="0"/>
              <w:rPr>
                <w:sz w:val="18"/>
                <w:szCs w:val="18"/>
                <w:color w:val="auto"/>
              </w:rPr>
            </w:pPr>
          </w:p>
        </w:tc>
      </w:tr>
      <w:tr>
        <w:trPr>
          <w:trHeight w:val="199"/>
        </w:trPr>
        <w:tc>
          <w:tcPr>
            <w:tcW w:w="2180" w:type="dxa"/>
            <w:vAlign w:val="bottom"/>
            <w:tcBorders>
              <w:left w:val="single" w:sz="8" w:color="auto"/>
              <w:bottom w:val="single" w:sz="8" w:color="auto"/>
              <w:right w:val="single" w:sz="8" w:color="CFF0FC"/>
            </w:tcBorders>
            <w:shd w:val="clear" w:color="auto" w:fill="CFF0FC"/>
          </w:tcPr>
          <w:p>
            <w:pPr>
              <w:spacing w:after="0"/>
              <w:rPr>
                <w:sz w:val="17"/>
                <w:szCs w:val="17"/>
                <w:color w:val="auto"/>
              </w:rPr>
            </w:pPr>
          </w:p>
        </w:tc>
        <w:tc>
          <w:tcPr>
            <w:tcW w:w="4980" w:type="dxa"/>
            <w:vAlign w:val="bottom"/>
            <w:tcBorders>
              <w:bottom w:val="single" w:sz="8" w:color="auto"/>
              <w:right w:val="single" w:sz="8" w:color="CFF0FC"/>
            </w:tcBorders>
            <w:shd w:val="clear" w:color="auto" w:fill="CFF0FC"/>
          </w:tcPr>
          <w:p>
            <w:pPr>
              <w:spacing w:after="0"/>
              <w:rPr>
                <w:sz w:val="17"/>
                <w:szCs w:val="17"/>
                <w:color w:val="auto"/>
              </w:rPr>
            </w:pPr>
          </w:p>
        </w:tc>
        <w:tc>
          <w:tcPr>
            <w:tcW w:w="1820" w:type="dxa"/>
            <w:vAlign w:val="bottom"/>
            <w:tcBorders>
              <w:bottom w:val="single" w:sz="8" w:color="auto"/>
              <w:right w:val="single" w:sz="8" w:color="CFF0FC"/>
            </w:tcBorders>
            <w:shd w:val="clear" w:color="auto" w:fill="CFF0FC"/>
          </w:tcPr>
          <w:p>
            <w:pPr>
              <w:spacing w:after="0"/>
              <w:rPr>
                <w:sz w:val="17"/>
                <w:szCs w:val="17"/>
                <w:color w:val="auto"/>
              </w:rPr>
            </w:pPr>
          </w:p>
        </w:tc>
        <w:tc>
          <w:tcPr>
            <w:tcW w:w="2260" w:type="dxa"/>
            <w:vAlign w:val="bottom"/>
            <w:tcBorders>
              <w:bottom w:val="single" w:sz="8" w:color="auto"/>
              <w:right w:val="single" w:sz="8" w:color="auto"/>
            </w:tcBorders>
            <w:shd w:val="clear" w:color="auto" w:fill="CFF0FC"/>
          </w:tcPr>
          <w:p>
            <w:pPr>
              <w:spacing w:after="0"/>
              <w:rPr>
                <w:sz w:val="17"/>
                <w:szCs w:val="17"/>
                <w:color w:val="auto"/>
              </w:rPr>
            </w:pPr>
          </w:p>
        </w:tc>
      </w:tr>
      <w:tr>
        <w:trPr>
          <w:trHeight w:val="180"/>
        </w:trPr>
        <w:tc>
          <w:tcPr>
            <w:tcW w:w="2180" w:type="dxa"/>
            <w:vAlign w:val="bottom"/>
            <w:tcBorders>
              <w:left w:val="single" w:sz="8" w:color="auto"/>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6"/>
                <w:szCs w:val="16"/>
                <w:color w:val="auto"/>
              </w:rPr>
              <w:t>Derivatives and Hedging ASU</w:t>
            </w:r>
          </w:p>
        </w:tc>
        <w:tc>
          <w:tcPr>
            <w:tcW w:w="498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Provides targeted updates including a new “similar risk exposure” criterion</w:t>
            </w:r>
          </w:p>
        </w:tc>
        <w:tc>
          <w:tcPr>
            <w:tcW w:w="182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Public business entities are</w:t>
            </w:r>
          </w:p>
        </w:tc>
        <w:tc>
          <w:tcPr>
            <w:tcW w:w="226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Management is currently</w:t>
            </w:r>
          </w:p>
        </w:tc>
      </w:tr>
      <w:tr>
        <w:trPr>
          <w:trHeight w:val="203"/>
        </w:trPr>
        <w:tc>
          <w:tcPr>
            <w:tcW w:w="21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xml:space="preserve">2025-09 </w:t>
            </w:r>
            <w:r>
              <w:rPr>
                <w:rFonts w:ascii="Times New Roman" w:cs="Times New Roman" w:eastAsia="Times New Roman" w:hAnsi="Times New Roman"/>
                <w:sz w:val="16"/>
                <w:szCs w:val="16"/>
                <w:i w:val="1"/>
                <w:iCs w:val="1"/>
                <w:color w:val="auto"/>
              </w:rPr>
              <w:t>(Topic 815): Hedge</w:t>
            </w: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for grouping forecasted transactions in cash flow hedges, an optional model</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required to apply this</w:t>
            </w:r>
          </w:p>
        </w:tc>
        <w:tc>
          <w:tcPr>
            <w:tcW w:w="2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evaluating the impact of adopting</w:t>
            </w:r>
          </w:p>
        </w:tc>
      </w:tr>
      <w:tr>
        <w:trPr>
          <w:trHeight w:val="205"/>
        </w:trPr>
        <w:tc>
          <w:tcPr>
            <w:tcW w:w="21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Accounting Improvements</w:t>
            </w: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for hedging forecasted interest payments on choose-your-rate debt,</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guidance to annual</w:t>
            </w:r>
          </w:p>
        </w:tc>
        <w:tc>
          <w:tcPr>
            <w:tcW w:w="2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this guidance on the Company's</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expanded eligibility to hedge price components and subcomponents of</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reporting periods</w:t>
            </w:r>
          </w:p>
        </w:tc>
        <w:tc>
          <w:tcPr>
            <w:tcW w:w="2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consolidated financial statements.</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nonfinancial forecasted transactions using the clearly-and-closely-related</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beginning after December</w:t>
            </w:r>
          </w:p>
        </w:tc>
        <w:tc>
          <w:tcPr>
            <w:tcW w:w="2260" w:type="dxa"/>
            <w:vAlign w:val="bottom"/>
            <w:tcBorders>
              <w:right w:val="single" w:sz="8" w:color="auto"/>
            </w:tcBorders>
          </w:tcPr>
          <w:p>
            <w:pPr>
              <w:spacing w:after="0"/>
              <w:rPr>
                <w:sz w:val="17"/>
                <w:szCs w:val="17"/>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principle, revised eligibility for certain compound derivatives containing</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15, 2026, and interim</w:t>
            </w:r>
          </w:p>
        </w:tc>
        <w:tc>
          <w:tcPr>
            <w:tcW w:w="2260" w:type="dxa"/>
            <w:vAlign w:val="bottom"/>
            <w:tcBorders>
              <w:right w:val="single" w:sz="8" w:color="auto"/>
            </w:tcBorders>
          </w:tcPr>
          <w:p>
            <w:pPr>
              <w:spacing w:after="0"/>
              <w:rPr>
                <w:sz w:val="17"/>
                <w:szCs w:val="17"/>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written options, and corrected effectiveness assessment for dual hedges</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periods within those</w:t>
            </w:r>
          </w:p>
        </w:tc>
        <w:tc>
          <w:tcPr>
            <w:tcW w:w="2260" w:type="dxa"/>
            <w:vAlign w:val="bottom"/>
            <w:tcBorders>
              <w:right w:val="single" w:sz="8" w:color="auto"/>
            </w:tcBorders>
          </w:tcPr>
          <w:p>
            <w:pPr>
              <w:spacing w:after="0"/>
              <w:rPr>
                <w:sz w:val="17"/>
                <w:szCs w:val="17"/>
                <w:color w:val="auto"/>
              </w:rPr>
            </w:pPr>
          </w:p>
        </w:tc>
      </w:tr>
      <w:tr>
        <w:trPr>
          <w:trHeight w:val="213"/>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4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involving foreign-currency-denominated debt.</w:t>
            </w:r>
          </w:p>
        </w:tc>
        <w:tc>
          <w:tcPr>
            <w:tcW w:w="1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annual reporting periods.</w:t>
            </w:r>
          </w:p>
        </w:tc>
        <w:tc>
          <w:tcPr>
            <w:tcW w:w="2260" w:type="dxa"/>
            <w:vAlign w:val="bottom"/>
            <w:tcBorders>
              <w:bottom w:val="single" w:sz="8" w:color="auto"/>
              <w:right w:val="single" w:sz="8" w:color="auto"/>
            </w:tcBorders>
          </w:tcPr>
          <w:p>
            <w:pPr>
              <w:spacing w:after="0"/>
              <w:rPr>
                <w:sz w:val="18"/>
                <w:szCs w:val="18"/>
                <w:color w:val="auto"/>
              </w:rPr>
            </w:pPr>
          </w:p>
        </w:tc>
      </w:tr>
      <w:tr>
        <w:trPr>
          <w:trHeight w:val="199"/>
        </w:trPr>
        <w:tc>
          <w:tcPr>
            <w:tcW w:w="2180" w:type="dxa"/>
            <w:vAlign w:val="bottom"/>
            <w:tcBorders>
              <w:left w:val="single" w:sz="8" w:color="auto"/>
              <w:bottom w:val="single" w:sz="8" w:color="auto"/>
              <w:right w:val="single" w:sz="8" w:color="CFF0FC"/>
            </w:tcBorders>
            <w:shd w:val="clear" w:color="auto" w:fill="CFF0FC"/>
          </w:tcPr>
          <w:p>
            <w:pPr>
              <w:spacing w:after="0"/>
              <w:rPr>
                <w:sz w:val="17"/>
                <w:szCs w:val="17"/>
                <w:color w:val="auto"/>
              </w:rPr>
            </w:pPr>
          </w:p>
        </w:tc>
        <w:tc>
          <w:tcPr>
            <w:tcW w:w="4980" w:type="dxa"/>
            <w:vAlign w:val="bottom"/>
            <w:tcBorders>
              <w:bottom w:val="single" w:sz="8" w:color="auto"/>
              <w:right w:val="single" w:sz="8" w:color="CFF0FC"/>
            </w:tcBorders>
            <w:shd w:val="clear" w:color="auto" w:fill="CFF0FC"/>
          </w:tcPr>
          <w:p>
            <w:pPr>
              <w:spacing w:after="0"/>
              <w:rPr>
                <w:sz w:val="17"/>
                <w:szCs w:val="17"/>
                <w:color w:val="auto"/>
              </w:rPr>
            </w:pPr>
          </w:p>
        </w:tc>
        <w:tc>
          <w:tcPr>
            <w:tcW w:w="1820" w:type="dxa"/>
            <w:vAlign w:val="bottom"/>
            <w:tcBorders>
              <w:bottom w:val="single" w:sz="8" w:color="auto"/>
              <w:right w:val="single" w:sz="8" w:color="CFF0FC"/>
            </w:tcBorders>
            <w:shd w:val="clear" w:color="auto" w:fill="CFF0FC"/>
          </w:tcPr>
          <w:p>
            <w:pPr>
              <w:spacing w:after="0"/>
              <w:rPr>
                <w:sz w:val="17"/>
                <w:szCs w:val="17"/>
                <w:color w:val="auto"/>
              </w:rPr>
            </w:pPr>
          </w:p>
        </w:tc>
        <w:tc>
          <w:tcPr>
            <w:tcW w:w="2260" w:type="dxa"/>
            <w:vAlign w:val="bottom"/>
            <w:tcBorders>
              <w:bottom w:val="single" w:sz="8" w:color="auto"/>
              <w:right w:val="single" w:sz="8" w:color="auto"/>
            </w:tcBorders>
            <w:shd w:val="clear" w:color="auto" w:fill="CFF0FC"/>
          </w:tcPr>
          <w:p>
            <w:pPr>
              <w:spacing w:after="0"/>
              <w:rPr>
                <w:sz w:val="17"/>
                <w:szCs w:val="17"/>
                <w:color w:val="auto"/>
              </w:rPr>
            </w:pPr>
          </w:p>
        </w:tc>
      </w:tr>
      <w:tr>
        <w:trPr>
          <w:trHeight w:val="182"/>
        </w:trPr>
        <w:tc>
          <w:tcPr>
            <w:tcW w:w="2180" w:type="dxa"/>
            <w:vAlign w:val="bottom"/>
            <w:tcBorders>
              <w:left w:val="single" w:sz="8" w:color="auto"/>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Codification Improvements</w:t>
            </w:r>
          </w:p>
        </w:tc>
        <w:tc>
          <w:tcPr>
            <w:tcW w:w="498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6"/>
                <w:szCs w:val="16"/>
                <w:color w:val="auto"/>
              </w:rPr>
              <w:t>Makes targeted technical corrections and clarifications across the</w:t>
            </w:r>
          </w:p>
        </w:tc>
        <w:tc>
          <w:tcPr>
            <w:tcW w:w="182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6"/>
                <w:szCs w:val="16"/>
                <w:color w:val="auto"/>
              </w:rPr>
              <w:t>The amendments in this</w:t>
            </w:r>
          </w:p>
        </w:tc>
        <w:tc>
          <w:tcPr>
            <w:tcW w:w="226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6"/>
                <w:szCs w:val="16"/>
                <w:color w:val="auto"/>
              </w:rPr>
              <w:t>Management is currently</w:t>
            </w:r>
          </w:p>
        </w:tc>
      </w:tr>
      <w:tr>
        <w:trPr>
          <w:trHeight w:val="203"/>
        </w:trPr>
        <w:tc>
          <w:tcPr>
            <w:tcW w:w="21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ASU 2025-12</w:t>
            </w: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codification to address unintended application, outdated references, and</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update are effective for all</w:t>
            </w:r>
          </w:p>
        </w:tc>
        <w:tc>
          <w:tcPr>
            <w:tcW w:w="2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evaluating the impact of adopting</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minor inconsistencies. The ASU affects 33 issues spanning multiple topics,</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entities for annual</w:t>
            </w:r>
          </w:p>
        </w:tc>
        <w:tc>
          <w:tcPr>
            <w:tcW w:w="2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this guidance on the Company's</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including earnings per share, beneficial interests, receivables, transfers and</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reporting periods</w:t>
            </w:r>
          </w:p>
        </w:tc>
        <w:tc>
          <w:tcPr>
            <w:tcW w:w="2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consolidated financial statements.</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servicing, and not-for-profit accounting, and generally is not expected to</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beginning after December</w:t>
            </w:r>
          </w:p>
        </w:tc>
        <w:tc>
          <w:tcPr>
            <w:tcW w:w="2260" w:type="dxa"/>
            <w:vAlign w:val="bottom"/>
            <w:tcBorders>
              <w:right w:val="single" w:sz="8" w:color="auto"/>
            </w:tcBorders>
          </w:tcPr>
          <w:p>
            <w:pPr>
              <w:spacing w:after="0"/>
              <w:rPr>
                <w:sz w:val="17"/>
                <w:szCs w:val="17"/>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significantly change current practice.</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15, 2026, and interim</w:t>
            </w:r>
          </w:p>
        </w:tc>
        <w:tc>
          <w:tcPr>
            <w:tcW w:w="2260" w:type="dxa"/>
            <w:vAlign w:val="bottom"/>
            <w:tcBorders>
              <w:right w:val="single" w:sz="8" w:color="auto"/>
            </w:tcBorders>
          </w:tcPr>
          <w:p>
            <w:pPr>
              <w:spacing w:after="0"/>
              <w:rPr>
                <w:sz w:val="17"/>
                <w:szCs w:val="17"/>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98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reporting periods within</w:t>
            </w:r>
          </w:p>
        </w:tc>
        <w:tc>
          <w:tcPr>
            <w:tcW w:w="2260" w:type="dxa"/>
            <w:vAlign w:val="bottom"/>
            <w:tcBorders>
              <w:right w:val="single" w:sz="8" w:color="auto"/>
            </w:tcBorders>
          </w:tcPr>
          <w:p>
            <w:pPr>
              <w:spacing w:after="0"/>
              <w:rPr>
                <w:sz w:val="17"/>
                <w:szCs w:val="17"/>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98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those annual reporting</w:t>
            </w:r>
          </w:p>
        </w:tc>
        <w:tc>
          <w:tcPr>
            <w:tcW w:w="2260" w:type="dxa"/>
            <w:vAlign w:val="bottom"/>
            <w:tcBorders>
              <w:right w:val="single" w:sz="8" w:color="auto"/>
            </w:tcBorders>
          </w:tcPr>
          <w:p>
            <w:pPr>
              <w:spacing w:after="0"/>
              <w:rPr>
                <w:sz w:val="17"/>
                <w:szCs w:val="17"/>
                <w:color w:val="auto"/>
              </w:rPr>
            </w:pPr>
          </w:p>
        </w:tc>
      </w:tr>
      <w:tr>
        <w:trPr>
          <w:trHeight w:val="213"/>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498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periods.</w:t>
            </w:r>
          </w:p>
        </w:tc>
        <w:tc>
          <w:tcPr>
            <w:tcW w:w="226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Note 3:  Earnings per Common Share</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Following shareholder approval received on June 4, 2021, the Company converted 1,380,283 shares of its Series B Convertible Perpetual Preferred Stock ("Convertible Perpetual Preferred Stock") to an equal number of shares of its newly-created Series A Non-Voting Common Stock. The conversion, which was effective on June 28, 2021, represented 100% of the Company's Convertible Perpetual Preferred Stock outstanding at the time of the conversion and retired the Convertible Perpetual Preferred Stock in perpetuity.</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has voting common stock, non-voting common stock and a warrant that are all eligible to participate in dividends equal to the voting common stock dividends on a per share basis. Securities that participate in dividends, such as the Company’s non-voting common stock and warrant, are considered “participating securities”. The Company calculates net income available to voting common shareholders using the two-class method required for capital structures that include participating securities.</w:t>
      </w:r>
    </w:p>
    <w:p>
      <w:pPr>
        <w:spacing w:after="0" w:line="1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applying the two-class method, basic net income per share was calculated by dividing net income (less any dividends on participating securities) by the weighted average number of shares of voting common stock and participating securities outstanding for the period. Diluted earnings per share may include the additional effect of other securities, if dilutive, in which case the dilutive effect of such securities is calculated by applying either the two-class method or the treasury stock method to the assumed exercise or vesting of potentially dilutive common shares. The method yielding the more dilutive result is ultimately reported for the applicable period. Potentially dilutive common stock equivalents primarily consist of employee stock options and restricted stock units.</w:t>
      </w:r>
    </w:p>
    <w:p>
      <w:pPr>
        <w:spacing w:after="0" w:line="17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Anti-dilutive shares are common stock equivalents with average exercise prices in excess of the weighted average market price for the period presented. There were no anti-dilutive stock options excised for the three months ended March 31, 2026.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calculation of basic and diluted earnings per share: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760" w:type="dxa"/>
            <w:vAlign w:val="bottom"/>
            <w:tcBorders>
              <w:bottom w:val="single" w:sz="8" w:color="auto"/>
            </w:tcBorders>
          </w:tcPr>
          <w:p>
            <w:pPr>
              <w:spacing w:after="0"/>
              <w:rPr>
                <w:sz w:val="18"/>
                <w:szCs w:val="18"/>
                <w:color w:val="auto"/>
              </w:rPr>
            </w:pPr>
          </w:p>
        </w:tc>
      </w:tr>
      <w:tr>
        <w:trPr>
          <w:trHeight w:val="202"/>
        </w:trPr>
        <w:tc>
          <w:tcPr>
            <w:tcW w:w="6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2026</w:t>
            </w:r>
          </w:p>
        </w:tc>
        <w:tc>
          <w:tcPr>
            <w:tcW w:w="1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2025</w:t>
            </w:r>
          </w:p>
        </w:tc>
      </w:tr>
      <w:tr>
        <w:trPr>
          <w:trHeight w:val="196"/>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2,413</w:t>
            </w:r>
          </w:p>
        </w:tc>
        <w:tc>
          <w:tcPr>
            <w:tcW w:w="128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2,974</w:t>
            </w: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Series A Non-Voting Common Stock dividends</w:t>
            </w:r>
          </w:p>
        </w:tc>
        <w:tc>
          <w:tcPr>
            <w:tcW w:w="1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138</w:t>
            </w:r>
          </w:p>
        </w:tc>
        <w:tc>
          <w:tcPr>
            <w:tcW w:w="1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138</w:t>
            </w: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Warrant dividends</w:t>
            </w: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13</w:t>
            </w:r>
          </w:p>
        </w:tc>
        <w:tc>
          <w:tcPr>
            <w:tcW w:w="128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r>
      <w:tr>
        <w:trPr>
          <w:trHeight w:val="203"/>
        </w:trPr>
        <w:tc>
          <w:tcPr>
            <w:tcW w:w="6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Undistributed earnings allocated to participating securities</w:t>
            </w:r>
          </w:p>
        </w:tc>
        <w:tc>
          <w:tcPr>
            <w:tcW w:w="110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421</w:t>
            </w:r>
          </w:p>
        </w:tc>
        <w:tc>
          <w:tcPr>
            <w:tcW w:w="12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565</w:t>
            </w:r>
          </w:p>
        </w:tc>
      </w:tr>
      <w:tr>
        <w:trPr>
          <w:trHeight w:val="196"/>
        </w:trPr>
        <w:tc>
          <w:tcPr>
            <w:tcW w:w="6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income available to common shareholders - Voting</w:t>
            </w:r>
          </w:p>
        </w:tc>
        <w:tc>
          <w:tcPr>
            <w:tcW w:w="160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1,841</w:t>
            </w:r>
          </w:p>
        </w:tc>
        <w:tc>
          <w:tcPr>
            <w:tcW w:w="12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2,258</w:t>
            </w:r>
          </w:p>
        </w:tc>
      </w:tr>
      <w:tr>
        <w:trPr>
          <w:trHeight w:val="20"/>
        </w:trPr>
        <w:tc>
          <w:tcPr>
            <w:tcW w:w="6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6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2,413</w:t>
            </w:r>
          </w:p>
        </w:tc>
        <w:tc>
          <w:tcPr>
            <w:tcW w:w="128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2,974</w:t>
            </w: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Voting Common Stock dividends</w:t>
            </w:r>
          </w:p>
        </w:tc>
        <w:tc>
          <w:tcPr>
            <w:tcW w:w="1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488</w:t>
            </w:r>
          </w:p>
        </w:tc>
        <w:tc>
          <w:tcPr>
            <w:tcW w:w="1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476</w:t>
            </w: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Warrant dividends</w:t>
            </w: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13</w:t>
            </w:r>
          </w:p>
        </w:tc>
        <w:tc>
          <w:tcPr>
            <w:tcW w:w="128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r>
      <w:tr>
        <w:trPr>
          <w:trHeight w:val="203"/>
        </w:trPr>
        <w:tc>
          <w:tcPr>
            <w:tcW w:w="6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Undistributed earnings allocated to participating securities</w:t>
            </w:r>
          </w:p>
        </w:tc>
        <w:tc>
          <w:tcPr>
            <w:tcW w:w="110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1,388</w:t>
            </w:r>
          </w:p>
        </w:tc>
        <w:tc>
          <w:tcPr>
            <w:tcW w:w="12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1,829</w:t>
            </w:r>
          </w:p>
        </w:tc>
      </w:tr>
      <w:tr>
        <w:trPr>
          <w:trHeight w:val="196"/>
        </w:trPr>
        <w:tc>
          <w:tcPr>
            <w:tcW w:w="6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income available to common shareholders - Non-Voting</w:t>
            </w:r>
          </w:p>
        </w:tc>
        <w:tc>
          <w:tcPr>
            <w:tcW w:w="160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524</w:t>
            </w:r>
          </w:p>
        </w:tc>
        <w:tc>
          <w:tcPr>
            <w:tcW w:w="12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656</w:t>
            </w:r>
          </w:p>
        </w:tc>
      </w:tr>
      <w:tr>
        <w:trPr>
          <w:trHeight w:val="20"/>
        </w:trPr>
        <w:tc>
          <w:tcPr>
            <w:tcW w:w="6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6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Basic weighted average common shares outstanding - Voting</w:t>
            </w: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4,838</w:t>
            </w:r>
          </w:p>
        </w:tc>
        <w:tc>
          <w:tcPr>
            <w:tcW w:w="128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4,749</w:t>
            </w: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weighted average common shares outstanding - Series A Non-Voting</w:t>
            </w:r>
          </w:p>
        </w:tc>
        <w:tc>
          <w:tcPr>
            <w:tcW w:w="1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1,380</w:t>
            </w:r>
          </w:p>
        </w:tc>
        <w:tc>
          <w:tcPr>
            <w:tcW w:w="1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1,380</w:t>
            </w: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Diluted weighted average common shares outstanding - Voting</w:t>
            </w: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4,885</w:t>
            </w:r>
          </w:p>
        </w:tc>
        <w:tc>
          <w:tcPr>
            <w:tcW w:w="128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4,819</w:t>
            </w: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weighted average common shares outstanding - Series A Non-Voting</w:t>
            </w:r>
          </w:p>
        </w:tc>
        <w:tc>
          <w:tcPr>
            <w:tcW w:w="1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1,380</w:t>
            </w:r>
          </w:p>
        </w:tc>
        <w:tc>
          <w:tcPr>
            <w:tcW w:w="1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1,380</w:t>
            </w:r>
          </w:p>
        </w:tc>
      </w:tr>
      <w:tr>
        <w:trPr>
          <w:trHeight w:val="203"/>
        </w:trPr>
        <w:tc>
          <w:tcPr>
            <w:tcW w:w="6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and diluted earnings per common share - Voting</w:t>
            </w:r>
          </w:p>
        </w:tc>
        <w:tc>
          <w:tcPr>
            <w:tcW w:w="16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0.38</w:t>
            </w:r>
          </w:p>
        </w:tc>
        <w:tc>
          <w:tcPr>
            <w:tcW w:w="128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0.48</w:t>
            </w: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earnings per common share - Series A Non-Voting</w:t>
            </w: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0.38</w:t>
            </w:r>
          </w:p>
        </w:tc>
        <w:tc>
          <w:tcPr>
            <w:tcW w:w="128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0.48</w:t>
            </w: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earnings per common share - Voting</w:t>
            </w:r>
          </w:p>
        </w:tc>
        <w:tc>
          <w:tcPr>
            <w:tcW w:w="16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0.38</w:t>
            </w:r>
          </w:p>
        </w:tc>
        <w:tc>
          <w:tcPr>
            <w:tcW w:w="128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0.47</w:t>
            </w:r>
          </w:p>
        </w:tc>
      </w:tr>
      <w:tr>
        <w:trPr>
          <w:trHeight w:val="210"/>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per common share - Series A Non-Voting</w:t>
            </w: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0.38</w:t>
            </w:r>
          </w:p>
        </w:tc>
        <w:tc>
          <w:tcPr>
            <w:tcW w:w="128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0.47</w:t>
            </w:r>
          </w:p>
        </w:tc>
      </w:tr>
    </w:tbl>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Note 4:  Investment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amortized cost and estimated fair value of investment securities are summarized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3"/>
          </w:tcPr>
          <w:p>
            <w:pPr>
              <w:jc w:val="right"/>
              <w:ind w:right="1308"/>
              <w:spacing w:after="0"/>
              <w:rPr>
                <w:sz w:val="20"/>
                <w:szCs w:val="20"/>
                <w:color w:val="auto"/>
              </w:rPr>
            </w:pPr>
            <w:r>
              <w:rPr>
                <w:rFonts w:ascii="Times New Roman" w:cs="Times New Roman" w:eastAsia="Times New Roman" w:hAnsi="Times New Roman"/>
                <w:sz w:val="14"/>
                <w:szCs w:val="14"/>
                <w:color w:val="auto"/>
              </w:rPr>
              <w:t>March 31, 2026</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Borders>
              <w:bottom w:val="single" w:sz="8" w:color="auto"/>
            </w:tcBorders>
            <w:gridSpan w:val="3"/>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Amortized Cost</w:t>
            </w:r>
          </w:p>
        </w:tc>
        <w:tc>
          <w:tcPr>
            <w:tcW w:w="3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Gross Unrealized Gains</w:t>
            </w:r>
          </w:p>
        </w:tc>
        <w:tc>
          <w:tcPr>
            <w:tcW w:w="3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Gross Unrealized Losses</w:t>
            </w:r>
          </w:p>
        </w:tc>
        <w:tc>
          <w:tcPr>
            <w:tcW w:w="2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Estimated Fair Value</w:t>
            </w:r>
          </w:p>
        </w:tc>
        <w:tc>
          <w:tcPr>
            <w:tcW w:w="0" w:type="dxa"/>
            <w:vAlign w:val="bottom"/>
          </w:tcPr>
          <w:p>
            <w:pPr>
              <w:spacing w:after="0"/>
              <w:rPr>
                <w:sz w:val="1"/>
                <w:szCs w:val="1"/>
                <w:color w:val="auto"/>
              </w:rPr>
            </w:pPr>
          </w:p>
        </w:tc>
      </w:tr>
      <w:tr>
        <w:trPr>
          <w:trHeight w:val="142"/>
        </w:trPr>
        <w:tc>
          <w:tcPr>
            <w:tcW w:w="4360" w:type="dxa"/>
            <w:vAlign w:val="bottom"/>
            <w:gridSpan w:val="3"/>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Available-for-Sale Portfolio</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4"/>
                <w:szCs w:val="14"/>
                <w:color w:val="auto"/>
              </w:rPr>
              <w:t>Debt investment securities:</w:t>
            </w:r>
          </w:p>
        </w:tc>
        <w:tc>
          <w:tcPr>
            <w:tcW w:w="27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60" w:type="dxa"/>
            <w:vAlign w:val="bottom"/>
            <w:gridSpan w:val="3"/>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US Treasury, agencies and GSEs</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64,997</w:t>
            </w:r>
          </w:p>
        </w:tc>
        <w:tc>
          <w:tcPr>
            <w:tcW w:w="30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284</w:t>
            </w:r>
          </w:p>
        </w:tc>
        <w:tc>
          <w:tcPr>
            <w:tcW w:w="3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(2,502)</w:t>
            </w:r>
          </w:p>
        </w:tc>
        <w:tc>
          <w:tcPr>
            <w:tcW w:w="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62,779</w:t>
            </w:r>
          </w:p>
        </w:tc>
        <w:tc>
          <w:tcPr>
            <w:tcW w:w="0" w:type="dxa"/>
            <w:vAlign w:val="bottom"/>
          </w:tcPr>
          <w:p>
            <w:pPr>
              <w:spacing w:after="0"/>
              <w:rPr>
                <w:sz w:val="1"/>
                <w:szCs w:val="1"/>
                <w:color w:val="auto"/>
              </w:rPr>
            </w:pPr>
          </w:p>
        </w:tc>
      </w:tr>
      <w:tr>
        <w:trPr>
          <w:trHeight w:val="148"/>
        </w:trPr>
        <w:tc>
          <w:tcPr>
            <w:tcW w:w="43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State and political subdivisions</w:t>
            </w:r>
          </w:p>
        </w:tc>
        <w:tc>
          <w:tcPr>
            <w:tcW w:w="120" w:type="dxa"/>
            <w:vAlign w:val="bottom"/>
          </w:tcPr>
          <w:p>
            <w:pPr>
              <w:spacing w:after="0"/>
              <w:rPr>
                <w:sz w:val="12"/>
                <w:szCs w:val="12"/>
                <w:color w:val="auto"/>
              </w:rPr>
            </w:pPr>
          </w:p>
        </w:tc>
        <w:tc>
          <w:tcPr>
            <w:tcW w:w="11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35,457</w:t>
            </w:r>
          </w:p>
        </w:tc>
        <w:tc>
          <w:tcPr>
            <w:tcW w:w="300" w:type="dxa"/>
            <w:vAlign w:val="bottom"/>
          </w:tcPr>
          <w:p>
            <w:pPr>
              <w:spacing w:after="0"/>
              <w:rPr>
                <w:sz w:val="12"/>
                <w:szCs w:val="12"/>
                <w:color w:val="auto"/>
              </w:rPr>
            </w:pPr>
          </w:p>
        </w:tc>
        <w:tc>
          <w:tcPr>
            <w:tcW w:w="1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340" w:type="dxa"/>
            <w:vAlign w:val="bottom"/>
          </w:tcPr>
          <w:p>
            <w:pPr>
              <w:spacing w:after="0"/>
              <w:rPr>
                <w:sz w:val="12"/>
                <w:szCs w:val="12"/>
                <w:color w:val="auto"/>
              </w:rPr>
            </w:pPr>
          </w:p>
        </w:tc>
        <w:tc>
          <w:tcPr>
            <w:tcW w:w="1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(2,424)</w:t>
            </w:r>
          </w:p>
        </w:tc>
        <w:tc>
          <w:tcPr>
            <w:tcW w:w="240" w:type="dxa"/>
            <w:vAlign w:val="bottom"/>
          </w:tcPr>
          <w:p>
            <w:pPr>
              <w:spacing w:after="0"/>
              <w:rPr>
                <w:sz w:val="12"/>
                <w:szCs w:val="12"/>
                <w:color w:val="auto"/>
              </w:rPr>
            </w:pPr>
          </w:p>
        </w:tc>
        <w:tc>
          <w:tcPr>
            <w:tcW w:w="14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33,066</w:t>
            </w:r>
          </w:p>
        </w:tc>
        <w:tc>
          <w:tcPr>
            <w:tcW w:w="0" w:type="dxa"/>
            <w:vAlign w:val="bottom"/>
          </w:tcPr>
          <w:p>
            <w:pPr>
              <w:spacing w:after="0"/>
              <w:rPr>
                <w:sz w:val="1"/>
                <w:szCs w:val="1"/>
                <w:color w:val="auto"/>
              </w:rPr>
            </w:pPr>
          </w:p>
        </w:tc>
      </w:tr>
      <w:tr>
        <w:trPr>
          <w:trHeight w:val="148"/>
        </w:trPr>
        <w:tc>
          <w:tcPr>
            <w:tcW w:w="4360" w:type="dxa"/>
            <w:vAlign w:val="bottom"/>
            <w:gridSpan w:val="3"/>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Corporate</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6,819</w:t>
            </w:r>
          </w:p>
        </w:tc>
        <w:tc>
          <w:tcPr>
            <w:tcW w:w="300" w:type="dxa"/>
            <w:vAlign w:val="bottom"/>
            <w:shd w:val="clear" w:color="auto" w:fill="CFF0FC"/>
          </w:tcPr>
          <w:p>
            <w:pPr>
              <w:spacing w:after="0"/>
              <w:rPr>
                <w:sz w:val="12"/>
                <w:szCs w:val="12"/>
                <w:color w:val="auto"/>
              </w:rPr>
            </w:pPr>
          </w:p>
        </w:tc>
        <w:tc>
          <w:tcPr>
            <w:tcW w:w="1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340" w:type="dxa"/>
            <w:vAlign w:val="bottom"/>
            <w:shd w:val="clear" w:color="auto" w:fill="CFF0FC"/>
          </w:tcPr>
          <w:p>
            <w:pPr>
              <w:spacing w:after="0"/>
              <w:rPr>
                <w:sz w:val="12"/>
                <w:szCs w:val="12"/>
                <w:color w:val="auto"/>
              </w:rPr>
            </w:pPr>
          </w:p>
        </w:tc>
        <w:tc>
          <w:tcPr>
            <w:tcW w:w="17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6,902</w:t>
            </w:r>
          </w:p>
        </w:tc>
        <w:tc>
          <w:tcPr>
            <w:tcW w:w="0" w:type="dxa"/>
            <w:vAlign w:val="bottom"/>
          </w:tcPr>
          <w:p>
            <w:pPr>
              <w:spacing w:after="0"/>
              <w:rPr>
                <w:sz w:val="1"/>
                <w:szCs w:val="1"/>
                <w:color w:val="auto"/>
              </w:rPr>
            </w:pPr>
          </w:p>
        </w:tc>
      </w:tr>
      <w:tr>
        <w:trPr>
          <w:trHeight w:val="149"/>
        </w:trPr>
        <w:tc>
          <w:tcPr>
            <w:tcW w:w="43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Asset backed securities</w:t>
            </w:r>
          </w:p>
        </w:tc>
        <w:tc>
          <w:tcPr>
            <w:tcW w:w="120" w:type="dxa"/>
            <w:vAlign w:val="bottom"/>
          </w:tcPr>
          <w:p>
            <w:pPr>
              <w:spacing w:after="0"/>
              <w:rPr>
                <w:sz w:val="12"/>
                <w:szCs w:val="12"/>
                <w:color w:val="auto"/>
              </w:rPr>
            </w:pPr>
          </w:p>
        </w:tc>
        <w:tc>
          <w:tcPr>
            <w:tcW w:w="11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15,140</w:t>
            </w:r>
          </w:p>
        </w:tc>
        <w:tc>
          <w:tcPr>
            <w:tcW w:w="300" w:type="dxa"/>
            <w:vAlign w:val="bottom"/>
          </w:tcPr>
          <w:p>
            <w:pPr>
              <w:spacing w:after="0"/>
              <w:rPr>
                <w:sz w:val="12"/>
                <w:szCs w:val="12"/>
                <w:color w:val="auto"/>
              </w:rPr>
            </w:pPr>
          </w:p>
        </w:tc>
        <w:tc>
          <w:tcPr>
            <w:tcW w:w="1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340" w:type="dxa"/>
            <w:vAlign w:val="bottom"/>
          </w:tcPr>
          <w:p>
            <w:pPr>
              <w:spacing w:after="0"/>
              <w:rPr>
                <w:sz w:val="12"/>
                <w:szCs w:val="12"/>
                <w:color w:val="auto"/>
              </w:rPr>
            </w:pPr>
          </w:p>
        </w:tc>
        <w:tc>
          <w:tcPr>
            <w:tcW w:w="1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240" w:type="dxa"/>
            <w:vAlign w:val="bottom"/>
          </w:tcPr>
          <w:p>
            <w:pPr>
              <w:spacing w:after="0"/>
              <w:rPr>
                <w:sz w:val="12"/>
                <w:szCs w:val="12"/>
                <w:color w:val="auto"/>
              </w:rPr>
            </w:pPr>
          </w:p>
        </w:tc>
        <w:tc>
          <w:tcPr>
            <w:tcW w:w="14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15,040</w:t>
            </w:r>
          </w:p>
        </w:tc>
        <w:tc>
          <w:tcPr>
            <w:tcW w:w="0" w:type="dxa"/>
            <w:vAlign w:val="bottom"/>
          </w:tcPr>
          <w:p>
            <w:pPr>
              <w:spacing w:after="0"/>
              <w:rPr>
                <w:sz w:val="1"/>
                <w:szCs w:val="1"/>
                <w:color w:val="auto"/>
              </w:rPr>
            </w:pPr>
          </w:p>
        </w:tc>
      </w:tr>
      <w:tr>
        <w:trPr>
          <w:trHeight w:val="148"/>
        </w:trPr>
        <w:tc>
          <w:tcPr>
            <w:tcW w:w="4360" w:type="dxa"/>
            <w:vAlign w:val="bottom"/>
            <w:gridSpan w:val="3"/>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Residential mortgage-backed - US agency</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52,467</w:t>
            </w:r>
          </w:p>
        </w:tc>
        <w:tc>
          <w:tcPr>
            <w:tcW w:w="300" w:type="dxa"/>
            <w:vAlign w:val="bottom"/>
            <w:shd w:val="clear" w:color="auto" w:fill="CFF0FC"/>
          </w:tcPr>
          <w:p>
            <w:pPr>
              <w:spacing w:after="0"/>
              <w:rPr>
                <w:sz w:val="12"/>
                <w:szCs w:val="12"/>
                <w:color w:val="auto"/>
              </w:rPr>
            </w:pPr>
          </w:p>
        </w:tc>
        <w:tc>
          <w:tcPr>
            <w:tcW w:w="1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340" w:type="dxa"/>
            <w:vAlign w:val="bottom"/>
            <w:shd w:val="clear" w:color="auto" w:fill="CFF0FC"/>
          </w:tcPr>
          <w:p>
            <w:pPr>
              <w:spacing w:after="0"/>
              <w:rPr>
                <w:sz w:val="12"/>
                <w:szCs w:val="12"/>
                <w:color w:val="auto"/>
              </w:rPr>
            </w:pPr>
          </w:p>
        </w:tc>
        <w:tc>
          <w:tcPr>
            <w:tcW w:w="17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(1,283)</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51,544</w:t>
            </w:r>
          </w:p>
        </w:tc>
        <w:tc>
          <w:tcPr>
            <w:tcW w:w="0" w:type="dxa"/>
            <w:vAlign w:val="bottom"/>
          </w:tcPr>
          <w:p>
            <w:pPr>
              <w:spacing w:after="0"/>
              <w:rPr>
                <w:sz w:val="1"/>
                <w:szCs w:val="1"/>
                <w:color w:val="auto"/>
              </w:rPr>
            </w:pPr>
          </w:p>
        </w:tc>
      </w:tr>
      <w:tr>
        <w:trPr>
          <w:trHeight w:val="148"/>
        </w:trPr>
        <w:tc>
          <w:tcPr>
            <w:tcW w:w="43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Collateralized mortgage obligations - US agency</w:t>
            </w:r>
          </w:p>
        </w:tc>
        <w:tc>
          <w:tcPr>
            <w:tcW w:w="120" w:type="dxa"/>
            <w:vAlign w:val="bottom"/>
          </w:tcPr>
          <w:p>
            <w:pPr>
              <w:spacing w:after="0"/>
              <w:rPr>
                <w:sz w:val="12"/>
                <w:szCs w:val="12"/>
                <w:color w:val="auto"/>
              </w:rPr>
            </w:pPr>
          </w:p>
        </w:tc>
        <w:tc>
          <w:tcPr>
            <w:tcW w:w="11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21,177</w:t>
            </w:r>
          </w:p>
        </w:tc>
        <w:tc>
          <w:tcPr>
            <w:tcW w:w="300" w:type="dxa"/>
            <w:vAlign w:val="bottom"/>
          </w:tcPr>
          <w:p>
            <w:pPr>
              <w:spacing w:after="0"/>
              <w:rPr>
                <w:sz w:val="12"/>
                <w:szCs w:val="12"/>
                <w:color w:val="auto"/>
              </w:rPr>
            </w:pPr>
          </w:p>
        </w:tc>
        <w:tc>
          <w:tcPr>
            <w:tcW w:w="1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340" w:type="dxa"/>
            <w:vAlign w:val="bottom"/>
          </w:tcPr>
          <w:p>
            <w:pPr>
              <w:spacing w:after="0"/>
              <w:rPr>
                <w:sz w:val="12"/>
                <w:szCs w:val="12"/>
                <w:color w:val="auto"/>
              </w:rPr>
            </w:pPr>
          </w:p>
        </w:tc>
        <w:tc>
          <w:tcPr>
            <w:tcW w:w="1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240" w:type="dxa"/>
            <w:vAlign w:val="bottom"/>
          </w:tcPr>
          <w:p>
            <w:pPr>
              <w:spacing w:after="0"/>
              <w:rPr>
                <w:sz w:val="12"/>
                <w:szCs w:val="12"/>
                <w:color w:val="auto"/>
              </w:rPr>
            </w:pPr>
          </w:p>
        </w:tc>
        <w:tc>
          <w:tcPr>
            <w:tcW w:w="14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20,560</w:t>
            </w:r>
          </w:p>
        </w:tc>
        <w:tc>
          <w:tcPr>
            <w:tcW w:w="0" w:type="dxa"/>
            <w:vAlign w:val="bottom"/>
          </w:tcPr>
          <w:p>
            <w:pPr>
              <w:spacing w:after="0"/>
              <w:rPr>
                <w:sz w:val="1"/>
                <w:szCs w:val="1"/>
                <w:color w:val="auto"/>
              </w:rPr>
            </w:pPr>
          </w:p>
        </w:tc>
      </w:tr>
      <w:tr>
        <w:trPr>
          <w:trHeight w:val="148"/>
        </w:trPr>
        <w:tc>
          <w:tcPr>
            <w:tcW w:w="4360" w:type="dxa"/>
            <w:vAlign w:val="bottom"/>
            <w:tcBorders>
              <w:bottom w:val="single" w:sz="8" w:color="auto"/>
            </w:tcBorders>
            <w:gridSpan w:val="3"/>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Collateralized mortgage obligations - Private label</w:t>
            </w:r>
          </w:p>
        </w:tc>
        <w:tc>
          <w:tcPr>
            <w:tcW w:w="1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84,276</w:t>
            </w:r>
          </w:p>
        </w:tc>
        <w:tc>
          <w:tcPr>
            <w:tcW w:w="30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34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(1,644)</w:t>
            </w:r>
          </w:p>
        </w:tc>
        <w:tc>
          <w:tcPr>
            <w:tcW w:w="24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82,874</w:t>
            </w:r>
          </w:p>
        </w:tc>
        <w:tc>
          <w:tcPr>
            <w:tcW w:w="0" w:type="dxa"/>
            <w:vAlign w:val="bottom"/>
          </w:tcPr>
          <w:p>
            <w:pPr>
              <w:spacing w:after="0"/>
              <w:rPr>
                <w:sz w:val="1"/>
                <w:szCs w:val="1"/>
                <w:color w:val="auto"/>
              </w:rPr>
            </w:pPr>
          </w:p>
        </w:tc>
      </w:tr>
      <w:tr>
        <w:trPr>
          <w:trHeight w:val="142"/>
        </w:trPr>
        <w:tc>
          <w:tcPr>
            <w:tcW w:w="4360" w:type="dxa"/>
            <w:vAlign w:val="bottom"/>
            <w:tcBorders>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280,333</w:t>
            </w:r>
          </w:p>
        </w:tc>
        <w:tc>
          <w:tcPr>
            <w:tcW w:w="3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1,195</w:t>
            </w:r>
          </w:p>
        </w:tc>
        <w:tc>
          <w:tcPr>
            <w:tcW w:w="3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(8,763)</w:t>
            </w:r>
          </w:p>
        </w:tc>
        <w:tc>
          <w:tcPr>
            <w:tcW w:w="2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272,765</w:t>
            </w:r>
          </w:p>
        </w:tc>
        <w:tc>
          <w:tcPr>
            <w:tcW w:w="0" w:type="dxa"/>
            <w:vAlign w:val="bottom"/>
          </w:tcPr>
          <w:p>
            <w:pPr>
              <w:spacing w:after="0"/>
              <w:rPr>
                <w:sz w:val="1"/>
                <w:szCs w:val="1"/>
                <w:color w:val="auto"/>
              </w:rPr>
            </w:pPr>
          </w:p>
        </w:tc>
      </w:tr>
      <w:tr>
        <w:trPr>
          <w:trHeight w:val="128"/>
        </w:trPr>
        <w:tc>
          <w:tcPr>
            <w:tcW w:w="1680" w:type="dxa"/>
            <w:vAlign w:val="bottom"/>
            <w:tcBorders>
              <w:bottom w:val="single" w:sz="8" w:color="auto"/>
            </w:tcBorders>
            <w:gridSpan w:val="2"/>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Equity investment securities:</w:t>
            </w:r>
          </w:p>
        </w:tc>
        <w:tc>
          <w:tcPr>
            <w:tcW w:w="26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160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spacing w:after="0"/>
              <w:rPr>
                <w:sz w:val="11"/>
                <w:szCs w:val="11"/>
                <w:color w:val="auto"/>
              </w:rPr>
            </w:pPr>
          </w:p>
        </w:tc>
        <w:tc>
          <w:tcPr>
            <w:tcW w:w="17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4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60" w:type="dxa"/>
            <w:vAlign w:val="bottom"/>
            <w:tcBorders>
              <w:bottom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color w:val="auto"/>
              </w:rPr>
              <w:t>Common stock - financial services industry</w:t>
            </w: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206</w:t>
            </w:r>
          </w:p>
        </w:tc>
        <w:tc>
          <w:tcPr>
            <w:tcW w:w="3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42"/>
        </w:trPr>
        <w:tc>
          <w:tcPr>
            <w:tcW w:w="4360" w:type="dxa"/>
            <w:vAlign w:val="bottom"/>
            <w:tcBorders>
              <w:bottom w:val="single" w:sz="8" w:color="auto"/>
            </w:tcBorders>
            <w:gridSpan w:val="3"/>
            <w:shd w:val="clear" w:color="auto" w:fill="CFF0FC"/>
          </w:tcPr>
          <w:p>
            <w:pPr>
              <w:ind w:left="16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206</w:t>
            </w:r>
          </w:p>
        </w:tc>
        <w:tc>
          <w:tcPr>
            <w:tcW w:w="30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42"/>
        </w:trPr>
        <w:tc>
          <w:tcPr>
            <w:tcW w:w="436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Total available-for-sale</w:t>
            </w: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280,539</w:t>
            </w:r>
          </w:p>
        </w:tc>
        <w:tc>
          <w:tcPr>
            <w:tcW w:w="3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1,195</w:t>
            </w:r>
          </w:p>
        </w:tc>
        <w:tc>
          <w:tcPr>
            <w:tcW w:w="3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(8,763)</w:t>
            </w:r>
          </w:p>
        </w:tc>
        <w:tc>
          <w:tcPr>
            <w:tcW w:w="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272,971</w:t>
            </w:r>
          </w:p>
        </w:tc>
        <w:tc>
          <w:tcPr>
            <w:tcW w:w="0" w:type="dxa"/>
            <w:vAlign w:val="bottom"/>
          </w:tcPr>
          <w:p>
            <w:pPr>
              <w:spacing w:after="0"/>
              <w:rPr>
                <w:sz w:val="1"/>
                <w:szCs w:val="1"/>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6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Held-to-Maturity Portfolio</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4"/>
                <w:szCs w:val="14"/>
                <w:color w:val="auto"/>
              </w:rPr>
              <w:t>Debt investment securities:</w:t>
            </w:r>
          </w:p>
        </w:tc>
        <w:tc>
          <w:tcPr>
            <w:tcW w:w="27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60" w:type="dxa"/>
            <w:vAlign w:val="bottom"/>
            <w:gridSpan w:val="3"/>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US Treasury, agencies and GSEs</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3,546</w:t>
            </w:r>
          </w:p>
        </w:tc>
        <w:tc>
          <w:tcPr>
            <w:tcW w:w="30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(186)</w:t>
            </w:r>
          </w:p>
        </w:tc>
        <w:tc>
          <w:tcPr>
            <w:tcW w:w="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3,360</w:t>
            </w:r>
          </w:p>
        </w:tc>
        <w:tc>
          <w:tcPr>
            <w:tcW w:w="0" w:type="dxa"/>
            <w:vAlign w:val="bottom"/>
          </w:tcPr>
          <w:p>
            <w:pPr>
              <w:spacing w:after="0"/>
              <w:rPr>
                <w:sz w:val="1"/>
                <w:szCs w:val="1"/>
                <w:color w:val="auto"/>
              </w:rPr>
            </w:pPr>
          </w:p>
        </w:tc>
      </w:tr>
      <w:tr>
        <w:trPr>
          <w:trHeight w:val="148"/>
        </w:trPr>
        <w:tc>
          <w:tcPr>
            <w:tcW w:w="43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State and political subdivisions</w:t>
            </w:r>
          </w:p>
        </w:tc>
        <w:tc>
          <w:tcPr>
            <w:tcW w:w="120" w:type="dxa"/>
            <w:vAlign w:val="bottom"/>
          </w:tcPr>
          <w:p>
            <w:pPr>
              <w:spacing w:after="0"/>
              <w:rPr>
                <w:sz w:val="12"/>
                <w:szCs w:val="12"/>
                <w:color w:val="auto"/>
              </w:rPr>
            </w:pPr>
          </w:p>
        </w:tc>
        <w:tc>
          <w:tcPr>
            <w:tcW w:w="11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14,515</w:t>
            </w:r>
          </w:p>
        </w:tc>
        <w:tc>
          <w:tcPr>
            <w:tcW w:w="300" w:type="dxa"/>
            <w:vAlign w:val="bottom"/>
          </w:tcPr>
          <w:p>
            <w:pPr>
              <w:spacing w:after="0"/>
              <w:rPr>
                <w:sz w:val="12"/>
                <w:szCs w:val="12"/>
                <w:color w:val="auto"/>
              </w:rPr>
            </w:pPr>
          </w:p>
        </w:tc>
        <w:tc>
          <w:tcPr>
            <w:tcW w:w="1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340" w:type="dxa"/>
            <w:vAlign w:val="bottom"/>
          </w:tcPr>
          <w:p>
            <w:pPr>
              <w:spacing w:after="0"/>
              <w:rPr>
                <w:sz w:val="12"/>
                <w:szCs w:val="12"/>
                <w:color w:val="auto"/>
              </w:rPr>
            </w:pPr>
          </w:p>
        </w:tc>
        <w:tc>
          <w:tcPr>
            <w:tcW w:w="1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240" w:type="dxa"/>
            <w:vAlign w:val="bottom"/>
          </w:tcPr>
          <w:p>
            <w:pPr>
              <w:spacing w:after="0"/>
              <w:rPr>
                <w:sz w:val="12"/>
                <w:szCs w:val="12"/>
                <w:color w:val="auto"/>
              </w:rPr>
            </w:pPr>
          </w:p>
        </w:tc>
        <w:tc>
          <w:tcPr>
            <w:tcW w:w="14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13,277</w:t>
            </w:r>
          </w:p>
        </w:tc>
        <w:tc>
          <w:tcPr>
            <w:tcW w:w="0" w:type="dxa"/>
            <w:vAlign w:val="bottom"/>
          </w:tcPr>
          <w:p>
            <w:pPr>
              <w:spacing w:after="0"/>
              <w:rPr>
                <w:sz w:val="1"/>
                <w:szCs w:val="1"/>
                <w:color w:val="auto"/>
              </w:rPr>
            </w:pPr>
          </w:p>
        </w:tc>
      </w:tr>
      <w:tr>
        <w:trPr>
          <w:trHeight w:val="149"/>
        </w:trPr>
        <w:tc>
          <w:tcPr>
            <w:tcW w:w="4360" w:type="dxa"/>
            <w:vAlign w:val="bottom"/>
            <w:gridSpan w:val="3"/>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Corporate</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23,524</w:t>
            </w:r>
          </w:p>
        </w:tc>
        <w:tc>
          <w:tcPr>
            <w:tcW w:w="300" w:type="dxa"/>
            <w:vAlign w:val="bottom"/>
            <w:shd w:val="clear" w:color="auto" w:fill="CFF0FC"/>
          </w:tcPr>
          <w:p>
            <w:pPr>
              <w:spacing w:after="0"/>
              <w:rPr>
                <w:sz w:val="12"/>
                <w:szCs w:val="12"/>
                <w:color w:val="auto"/>
              </w:rPr>
            </w:pPr>
          </w:p>
        </w:tc>
        <w:tc>
          <w:tcPr>
            <w:tcW w:w="1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340" w:type="dxa"/>
            <w:vAlign w:val="bottom"/>
            <w:shd w:val="clear" w:color="auto" w:fill="CFF0FC"/>
          </w:tcPr>
          <w:p>
            <w:pPr>
              <w:spacing w:after="0"/>
              <w:rPr>
                <w:sz w:val="12"/>
                <w:szCs w:val="12"/>
                <w:color w:val="auto"/>
              </w:rPr>
            </w:pPr>
          </w:p>
        </w:tc>
        <w:tc>
          <w:tcPr>
            <w:tcW w:w="17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(1,358)</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22,172</w:t>
            </w:r>
          </w:p>
        </w:tc>
        <w:tc>
          <w:tcPr>
            <w:tcW w:w="0" w:type="dxa"/>
            <w:vAlign w:val="bottom"/>
          </w:tcPr>
          <w:p>
            <w:pPr>
              <w:spacing w:after="0"/>
              <w:rPr>
                <w:sz w:val="1"/>
                <w:szCs w:val="1"/>
                <w:color w:val="auto"/>
              </w:rPr>
            </w:pPr>
          </w:p>
        </w:tc>
      </w:tr>
      <w:tr>
        <w:trPr>
          <w:trHeight w:val="148"/>
        </w:trPr>
        <w:tc>
          <w:tcPr>
            <w:tcW w:w="43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Asset backed securities</w:t>
            </w:r>
          </w:p>
        </w:tc>
        <w:tc>
          <w:tcPr>
            <w:tcW w:w="120" w:type="dxa"/>
            <w:vAlign w:val="bottom"/>
          </w:tcPr>
          <w:p>
            <w:pPr>
              <w:spacing w:after="0"/>
              <w:rPr>
                <w:sz w:val="12"/>
                <w:szCs w:val="12"/>
                <w:color w:val="auto"/>
              </w:rPr>
            </w:pPr>
          </w:p>
        </w:tc>
        <w:tc>
          <w:tcPr>
            <w:tcW w:w="11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14,607</w:t>
            </w:r>
          </w:p>
        </w:tc>
        <w:tc>
          <w:tcPr>
            <w:tcW w:w="300" w:type="dxa"/>
            <w:vAlign w:val="bottom"/>
          </w:tcPr>
          <w:p>
            <w:pPr>
              <w:spacing w:after="0"/>
              <w:rPr>
                <w:sz w:val="12"/>
                <w:szCs w:val="12"/>
                <w:color w:val="auto"/>
              </w:rPr>
            </w:pPr>
          </w:p>
        </w:tc>
        <w:tc>
          <w:tcPr>
            <w:tcW w:w="1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340" w:type="dxa"/>
            <w:vAlign w:val="bottom"/>
          </w:tcPr>
          <w:p>
            <w:pPr>
              <w:spacing w:after="0"/>
              <w:rPr>
                <w:sz w:val="12"/>
                <w:szCs w:val="12"/>
                <w:color w:val="auto"/>
              </w:rPr>
            </w:pPr>
          </w:p>
        </w:tc>
        <w:tc>
          <w:tcPr>
            <w:tcW w:w="1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(954)</w:t>
            </w:r>
          </w:p>
        </w:tc>
        <w:tc>
          <w:tcPr>
            <w:tcW w:w="240" w:type="dxa"/>
            <w:vAlign w:val="bottom"/>
          </w:tcPr>
          <w:p>
            <w:pPr>
              <w:spacing w:after="0"/>
              <w:rPr>
                <w:sz w:val="12"/>
                <w:szCs w:val="12"/>
                <w:color w:val="auto"/>
              </w:rPr>
            </w:pPr>
          </w:p>
        </w:tc>
        <w:tc>
          <w:tcPr>
            <w:tcW w:w="14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13,665</w:t>
            </w:r>
          </w:p>
        </w:tc>
        <w:tc>
          <w:tcPr>
            <w:tcW w:w="0" w:type="dxa"/>
            <w:vAlign w:val="bottom"/>
          </w:tcPr>
          <w:p>
            <w:pPr>
              <w:spacing w:after="0"/>
              <w:rPr>
                <w:sz w:val="1"/>
                <w:szCs w:val="1"/>
                <w:color w:val="auto"/>
              </w:rPr>
            </w:pPr>
          </w:p>
        </w:tc>
      </w:tr>
      <w:tr>
        <w:trPr>
          <w:trHeight w:val="148"/>
        </w:trPr>
        <w:tc>
          <w:tcPr>
            <w:tcW w:w="4360" w:type="dxa"/>
            <w:vAlign w:val="bottom"/>
            <w:gridSpan w:val="3"/>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Residential mortgage-backed - US agency</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7,554</w:t>
            </w:r>
          </w:p>
        </w:tc>
        <w:tc>
          <w:tcPr>
            <w:tcW w:w="300" w:type="dxa"/>
            <w:vAlign w:val="bottom"/>
            <w:shd w:val="clear" w:color="auto" w:fill="CFF0FC"/>
          </w:tcPr>
          <w:p>
            <w:pPr>
              <w:spacing w:after="0"/>
              <w:rPr>
                <w:sz w:val="12"/>
                <w:szCs w:val="12"/>
                <w:color w:val="auto"/>
              </w:rPr>
            </w:pPr>
          </w:p>
        </w:tc>
        <w:tc>
          <w:tcPr>
            <w:tcW w:w="1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340" w:type="dxa"/>
            <w:vAlign w:val="bottom"/>
            <w:shd w:val="clear" w:color="auto" w:fill="CFF0FC"/>
          </w:tcPr>
          <w:p>
            <w:pPr>
              <w:spacing w:after="0"/>
              <w:rPr>
                <w:sz w:val="12"/>
                <w:szCs w:val="12"/>
                <w:color w:val="auto"/>
              </w:rPr>
            </w:pPr>
          </w:p>
        </w:tc>
        <w:tc>
          <w:tcPr>
            <w:tcW w:w="17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7,232</w:t>
            </w:r>
          </w:p>
        </w:tc>
        <w:tc>
          <w:tcPr>
            <w:tcW w:w="0" w:type="dxa"/>
            <w:vAlign w:val="bottom"/>
          </w:tcPr>
          <w:p>
            <w:pPr>
              <w:spacing w:after="0"/>
              <w:rPr>
                <w:sz w:val="1"/>
                <w:szCs w:val="1"/>
                <w:color w:val="auto"/>
              </w:rPr>
            </w:pPr>
          </w:p>
        </w:tc>
      </w:tr>
      <w:tr>
        <w:trPr>
          <w:trHeight w:val="148"/>
        </w:trPr>
        <w:tc>
          <w:tcPr>
            <w:tcW w:w="43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Collateralized mortgage obligations - US agency</w:t>
            </w:r>
          </w:p>
        </w:tc>
        <w:tc>
          <w:tcPr>
            <w:tcW w:w="120" w:type="dxa"/>
            <w:vAlign w:val="bottom"/>
          </w:tcPr>
          <w:p>
            <w:pPr>
              <w:spacing w:after="0"/>
              <w:rPr>
                <w:sz w:val="12"/>
                <w:szCs w:val="12"/>
                <w:color w:val="auto"/>
              </w:rPr>
            </w:pPr>
          </w:p>
        </w:tc>
        <w:tc>
          <w:tcPr>
            <w:tcW w:w="11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9,873</w:t>
            </w:r>
          </w:p>
        </w:tc>
        <w:tc>
          <w:tcPr>
            <w:tcW w:w="300" w:type="dxa"/>
            <w:vAlign w:val="bottom"/>
          </w:tcPr>
          <w:p>
            <w:pPr>
              <w:spacing w:after="0"/>
              <w:rPr>
                <w:sz w:val="12"/>
                <w:szCs w:val="12"/>
                <w:color w:val="auto"/>
              </w:rPr>
            </w:pPr>
          </w:p>
        </w:tc>
        <w:tc>
          <w:tcPr>
            <w:tcW w:w="1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12"/>
                <w:szCs w:val="12"/>
                <w:color w:val="auto"/>
              </w:rPr>
            </w:pPr>
          </w:p>
        </w:tc>
        <w:tc>
          <w:tcPr>
            <w:tcW w:w="1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(969)</w:t>
            </w:r>
          </w:p>
        </w:tc>
        <w:tc>
          <w:tcPr>
            <w:tcW w:w="240" w:type="dxa"/>
            <w:vAlign w:val="bottom"/>
          </w:tcPr>
          <w:p>
            <w:pPr>
              <w:spacing w:after="0"/>
              <w:rPr>
                <w:sz w:val="12"/>
                <w:szCs w:val="12"/>
                <w:color w:val="auto"/>
              </w:rPr>
            </w:pPr>
          </w:p>
        </w:tc>
        <w:tc>
          <w:tcPr>
            <w:tcW w:w="14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8,906</w:t>
            </w:r>
          </w:p>
        </w:tc>
        <w:tc>
          <w:tcPr>
            <w:tcW w:w="0" w:type="dxa"/>
            <w:vAlign w:val="bottom"/>
          </w:tcPr>
          <w:p>
            <w:pPr>
              <w:spacing w:after="0"/>
              <w:rPr>
                <w:sz w:val="1"/>
                <w:szCs w:val="1"/>
                <w:color w:val="auto"/>
              </w:rPr>
            </w:pPr>
          </w:p>
        </w:tc>
      </w:tr>
      <w:tr>
        <w:trPr>
          <w:trHeight w:val="148"/>
        </w:trPr>
        <w:tc>
          <w:tcPr>
            <w:tcW w:w="4360" w:type="dxa"/>
            <w:vAlign w:val="bottom"/>
            <w:tcBorders>
              <w:bottom w:val="single" w:sz="8" w:color="auto"/>
            </w:tcBorders>
            <w:gridSpan w:val="3"/>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Collateralized mortgage obligations - Private label</w:t>
            </w:r>
          </w:p>
        </w:tc>
        <w:tc>
          <w:tcPr>
            <w:tcW w:w="1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48,989</w:t>
            </w:r>
          </w:p>
        </w:tc>
        <w:tc>
          <w:tcPr>
            <w:tcW w:w="30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34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(796)</w:t>
            </w:r>
          </w:p>
        </w:tc>
        <w:tc>
          <w:tcPr>
            <w:tcW w:w="24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48,464</w:t>
            </w:r>
          </w:p>
        </w:tc>
        <w:tc>
          <w:tcPr>
            <w:tcW w:w="0" w:type="dxa"/>
            <w:vAlign w:val="bottom"/>
          </w:tcPr>
          <w:p>
            <w:pPr>
              <w:spacing w:after="0"/>
              <w:rPr>
                <w:sz w:val="1"/>
                <w:szCs w:val="1"/>
                <w:color w:val="auto"/>
              </w:rPr>
            </w:pPr>
          </w:p>
        </w:tc>
      </w:tr>
      <w:tr>
        <w:trPr>
          <w:trHeight w:val="142"/>
        </w:trPr>
        <w:tc>
          <w:tcPr>
            <w:tcW w:w="436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2"/>
                <w:szCs w:val="12"/>
                <w:color w:val="auto"/>
              </w:rPr>
            </w:pPr>
          </w:p>
        </w:tc>
        <w:tc>
          <w:tcPr>
            <w:tcW w:w="11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122,608</w:t>
            </w:r>
          </w:p>
        </w:tc>
        <w:tc>
          <w:tcPr>
            <w:tcW w:w="300" w:type="dxa"/>
            <w:vAlign w:val="bottom"/>
          </w:tcPr>
          <w:p>
            <w:pPr>
              <w:spacing w:after="0"/>
              <w:rPr>
                <w:sz w:val="12"/>
                <w:szCs w:val="12"/>
                <w:color w:val="auto"/>
              </w:rPr>
            </w:pPr>
          </w:p>
        </w:tc>
        <w:tc>
          <w:tcPr>
            <w:tcW w:w="16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341</w:t>
            </w:r>
          </w:p>
        </w:tc>
        <w:tc>
          <w:tcPr>
            <w:tcW w:w="340" w:type="dxa"/>
            <w:vAlign w:val="bottom"/>
          </w:tcPr>
          <w:p>
            <w:pPr>
              <w:spacing w:after="0"/>
              <w:rPr>
                <w:sz w:val="12"/>
                <w:szCs w:val="12"/>
                <w:color w:val="auto"/>
              </w:rPr>
            </w:pPr>
          </w:p>
        </w:tc>
        <w:tc>
          <w:tcPr>
            <w:tcW w:w="17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(5,873)</w:t>
            </w:r>
          </w:p>
        </w:tc>
        <w:tc>
          <w:tcPr>
            <w:tcW w:w="240" w:type="dxa"/>
            <w:vAlign w:val="bottom"/>
          </w:tcPr>
          <w:p>
            <w:pPr>
              <w:spacing w:after="0"/>
              <w:rPr>
                <w:sz w:val="12"/>
                <w:szCs w:val="12"/>
                <w:color w:val="auto"/>
              </w:rPr>
            </w:pPr>
          </w:p>
        </w:tc>
        <w:tc>
          <w:tcPr>
            <w:tcW w:w="144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117,076</w:t>
            </w:r>
          </w:p>
        </w:tc>
        <w:tc>
          <w:tcPr>
            <w:tcW w:w="0" w:type="dxa"/>
            <w:vAlign w:val="bottom"/>
          </w:tcPr>
          <w:p>
            <w:pPr>
              <w:spacing w:after="0"/>
              <w:rPr>
                <w:sz w:val="1"/>
                <w:szCs w:val="1"/>
                <w:color w:val="auto"/>
              </w:rPr>
            </w:pPr>
          </w:p>
        </w:tc>
      </w:tr>
      <w:tr>
        <w:trPr>
          <w:trHeight w:val="148"/>
        </w:trPr>
        <w:tc>
          <w:tcPr>
            <w:tcW w:w="4360" w:type="dxa"/>
            <w:vAlign w:val="bottom"/>
            <w:tcBorders>
              <w:bottom w:val="single" w:sz="8" w:color="auto"/>
            </w:tcBorders>
            <w:gridSpan w:val="3"/>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Less: Allowance for credit losses</w:t>
            </w:r>
          </w:p>
        </w:tc>
        <w:tc>
          <w:tcPr>
            <w:tcW w:w="1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30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36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Total held-to-maturity, net of allowance for credit losses</w:t>
            </w: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122,432</w:t>
            </w:r>
          </w:p>
        </w:tc>
        <w:tc>
          <w:tcPr>
            <w:tcW w:w="3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341</w:t>
            </w:r>
          </w:p>
        </w:tc>
        <w:tc>
          <w:tcPr>
            <w:tcW w:w="3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(5,873)</w:t>
            </w:r>
          </w:p>
        </w:tc>
        <w:tc>
          <w:tcPr>
            <w:tcW w:w="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117,076</w:t>
            </w:r>
          </w:p>
        </w:tc>
        <w:tc>
          <w:tcPr>
            <w:tcW w:w="0" w:type="dxa"/>
            <w:vAlign w:val="bottom"/>
          </w:tcPr>
          <w:p>
            <w:pPr>
              <w:spacing w:after="0"/>
              <w:rPr>
                <w:sz w:val="1"/>
                <w:szCs w:val="1"/>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3"/>
          </w:tcPr>
          <w:p>
            <w:pPr>
              <w:jc w:val="right"/>
              <w:ind w:right="1188"/>
              <w:spacing w:after="0"/>
              <w:rPr>
                <w:sz w:val="20"/>
                <w:szCs w:val="20"/>
                <w:color w:val="auto"/>
              </w:rPr>
            </w:pPr>
            <w:r>
              <w:rPr>
                <w:rFonts w:ascii="Times New Roman" w:cs="Times New Roman" w:eastAsia="Times New Roman" w:hAnsi="Times New Roman"/>
                <w:sz w:val="14"/>
                <w:szCs w:val="14"/>
                <w:color w:val="auto"/>
              </w:rPr>
              <w:t>December 31, 2025</w:t>
            </w: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60" w:type="dxa"/>
            <w:vAlign w:val="bottom"/>
            <w:tcBorders>
              <w:bottom w:val="single" w:sz="8" w:color="auto"/>
            </w:tcBorders>
            <w:gridSpan w:val="3"/>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Amortized Cost</w:t>
            </w:r>
          </w:p>
        </w:tc>
        <w:tc>
          <w:tcPr>
            <w:tcW w:w="3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Gross Unrealized Gains</w:t>
            </w:r>
          </w:p>
        </w:tc>
        <w:tc>
          <w:tcPr>
            <w:tcW w:w="3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Gross Unrealized Losses</w:t>
            </w:r>
          </w:p>
        </w:tc>
        <w:tc>
          <w:tcPr>
            <w:tcW w:w="2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Estimated Fair Value</w:t>
            </w:r>
          </w:p>
        </w:tc>
        <w:tc>
          <w:tcPr>
            <w:tcW w:w="0" w:type="dxa"/>
            <w:vAlign w:val="bottom"/>
          </w:tcPr>
          <w:p>
            <w:pPr>
              <w:spacing w:after="0"/>
              <w:rPr>
                <w:sz w:val="1"/>
                <w:szCs w:val="1"/>
                <w:color w:val="auto"/>
              </w:rPr>
            </w:pPr>
          </w:p>
        </w:tc>
      </w:tr>
      <w:tr>
        <w:trPr>
          <w:trHeight w:val="142"/>
        </w:trPr>
        <w:tc>
          <w:tcPr>
            <w:tcW w:w="43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Available-for-Sale Portfolio</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tcBorders>
              <w:bottom w:val="single" w:sz="8" w:color="auto"/>
            </w:tcBorders>
            <w:shd w:val="clear" w:color="auto" w:fill="CFF0FC"/>
          </w:tcPr>
          <w:p>
            <w:pPr>
              <w:spacing w:after="0" w:line="135" w:lineRule="exact"/>
              <w:rPr>
                <w:sz w:val="20"/>
                <w:szCs w:val="20"/>
                <w:color w:val="auto"/>
              </w:rPr>
            </w:pPr>
            <w:r>
              <w:rPr>
                <w:rFonts w:ascii="Times New Roman" w:cs="Times New Roman" w:eastAsia="Times New Roman" w:hAnsi="Times New Roman"/>
                <w:sz w:val="14"/>
                <w:szCs w:val="14"/>
                <w:color w:val="auto"/>
              </w:rPr>
              <w:t>Debt investment securities:</w:t>
            </w:r>
          </w:p>
        </w:tc>
        <w:tc>
          <w:tcPr>
            <w:tcW w:w="2780" w:type="dxa"/>
            <w:vAlign w:val="bottom"/>
            <w:tcBorders>
              <w:bottom w:val="single" w:sz="8" w:color="CFF0FC"/>
            </w:tcBorders>
            <w:gridSpan w:val="2"/>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160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spacing w:after="0"/>
              <w:rPr>
                <w:sz w:val="11"/>
                <w:szCs w:val="11"/>
                <w:color w:val="auto"/>
              </w:rPr>
            </w:pPr>
          </w:p>
        </w:tc>
        <w:tc>
          <w:tcPr>
            <w:tcW w:w="17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4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color w:val="auto"/>
              </w:rPr>
              <w:t>US Treasury, agencies and GSEs</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67,067</w:t>
            </w:r>
          </w:p>
        </w:tc>
        <w:tc>
          <w:tcPr>
            <w:tcW w:w="30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408</w:t>
            </w:r>
          </w:p>
        </w:tc>
        <w:tc>
          <w:tcPr>
            <w:tcW w:w="3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(2,460)</w:t>
            </w: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65,015</w:t>
            </w:r>
          </w:p>
        </w:tc>
        <w:tc>
          <w:tcPr>
            <w:tcW w:w="0" w:type="dxa"/>
            <w:vAlign w:val="bottom"/>
          </w:tcPr>
          <w:p>
            <w:pPr>
              <w:spacing w:after="0"/>
              <w:rPr>
                <w:sz w:val="1"/>
                <w:szCs w:val="1"/>
                <w:color w:val="auto"/>
              </w:rPr>
            </w:pPr>
          </w:p>
        </w:tc>
      </w:tr>
      <w:tr>
        <w:trPr>
          <w:trHeight w:val="149"/>
        </w:trPr>
        <w:tc>
          <w:tcPr>
            <w:tcW w:w="4360" w:type="dxa"/>
            <w:vAlign w:val="bottom"/>
            <w:gridSpan w:val="3"/>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State and political subdivisions</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35,580</w:t>
            </w:r>
          </w:p>
        </w:tc>
        <w:tc>
          <w:tcPr>
            <w:tcW w:w="300" w:type="dxa"/>
            <w:vAlign w:val="bottom"/>
            <w:shd w:val="clear" w:color="auto" w:fill="CFF0FC"/>
          </w:tcPr>
          <w:p>
            <w:pPr>
              <w:spacing w:after="0"/>
              <w:rPr>
                <w:sz w:val="12"/>
                <w:szCs w:val="12"/>
                <w:color w:val="auto"/>
              </w:rPr>
            </w:pPr>
          </w:p>
        </w:tc>
        <w:tc>
          <w:tcPr>
            <w:tcW w:w="1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340" w:type="dxa"/>
            <w:vAlign w:val="bottom"/>
            <w:shd w:val="clear" w:color="auto" w:fill="CFF0FC"/>
          </w:tcPr>
          <w:p>
            <w:pPr>
              <w:spacing w:after="0"/>
              <w:rPr>
                <w:sz w:val="12"/>
                <w:szCs w:val="12"/>
                <w:color w:val="auto"/>
              </w:rPr>
            </w:pPr>
          </w:p>
        </w:tc>
        <w:tc>
          <w:tcPr>
            <w:tcW w:w="17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(1,756)</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33,918</w:t>
            </w:r>
          </w:p>
        </w:tc>
        <w:tc>
          <w:tcPr>
            <w:tcW w:w="0" w:type="dxa"/>
            <w:vAlign w:val="bottom"/>
          </w:tcPr>
          <w:p>
            <w:pPr>
              <w:spacing w:after="0"/>
              <w:rPr>
                <w:sz w:val="1"/>
                <w:szCs w:val="1"/>
                <w:color w:val="auto"/>
              </w:rPr>
            </w:pPr>
          </w:p>
        </w:tc>
      </w:tr>
      <w:tr>
        <w:trPr>
          <w:trHeight w:val="148"/>
        </w:trPr>
        <w:tc>
          <w:tcPr>
            <w:tcW w:w="43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Corporate</w:t>
            </w:r>
          </w:p>
        </w:tc>
        <w:tc>
          <w:tcPr>
            <w:tcW w:w="120" w:type="dxa"/>
            <w:vAlign w:val="bottom"/>
          </w:tcPr>
          <w:p>
            <w:pPr>
              <w:spacing w:after="0"/>
              <w:rPr>
                <w:sz w:val="12"/>
                <w:szCs w:val="12"/>
                <w:color w:val="auto"/>
              </w:rPr>
            </w:pPr>
          </w:p>
        </w:tc>
        <w:tc>
          <w:tcPr>
            <w:tcW w:w="11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7,737</w:t>
            </w:r>
          </w:p>
        </w:tc>
        <w:tc>
          <w:tcPr>
            <w:tcW w:w="300" w:type="dxa"/>
            <w:vAlign w:val="bottom"/>
          </w:tcPr>
          <w:p>
            <w:pPr>
              <w:spacing w:after="0"/>
              <w:rPr>
                <w:sz w:val="12"/>
                <w:szCs w:val="12"/>
                <w:color w:val="auto"/>
              </w:rPr>
            </w:pPr>
          </w:p>
        </w:tc>
        <w:tc>
          <w:tcPr>
            <w:tcW w:w="1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286</w:t>
            </w:r>
          </w:p>
        </w:tc>
        <w:tc>
          <w:tcPr>
            <w:tcW w:w="340" w:type="dxa"/>
            <w:vAlign w:val="bottom"/>
          </w:tcPr>
          <w:p>
            <w:pPr>
              <w:spacing w:after="0"/>
              <w:rPr>
                <w:sz w:val="12"/>
                <w:szCs w:val="12"/>
                <w:color w:val="auto"/>
              </w:rPr>
            </w:pPr>
          </w:p>
        </w:tc>
        <w:tc>
          <w:tcPr>
            <w:tcW w:w="1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240" w:type="dxa"/>
            <w:vAlign w:val="bottom"/>
          </w:tcPr>
          <w:p>
            <w:pPr>
              <w:spacing w:after="0"/>
              <w:rPr>
                <w:sz w:val="12"/>
                <w:szCs w:val="12"/>
                <w:color w:val="auto"/>
              </w:rPr>
            </w:pPr>
          </w:p>
        </w:tc>
        <w:tc>
          <w:tcPr>
            <w:tcW w:w="14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7,942</w:t>
            </w:r>
          </w:p>
        </w:tc>
        <w:tc>
          <w:tcPr>
            <w:tcW w:w="0" w:type="dxa"/>
            <w:vAlign w:val="bottom"/>
          </w:tcPr>
          <w:p>
            <w:pPr>
              <w:spacing w:after="0"/>
              <w:rPr>
                <w:sz w:val="1"/>
                <w:szCs w:val="1"/>
                <w:color w:val="auto"/>
              </w:rPr>
            </w:pPr>
          </w:p>
        </w:tc>
      </w:tr>
      <w:tr>
        <w:trPr>
          <w:trHeight w:val="148"/>
        </w:trPr>
        <w:tc>
          <w:tcPr>
            <w:tcW w:w="4360" w:type="dxa"/>
            <w:vAlign w:val="bottom"/>
            <w:gridSpan w:val="3"/>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Asset backed securities</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15,705</w:t>
            </w:r>
          </w:p>
        </w:tc>
        <w:tc>
          <w:tcPr>
            <w:tcW w:w="300" w:type="dxa"/>
            <w:vAlign w:val="bottom"/>
            <w:shd w:val="clear" w:color="auto" w:fill="CFF0FC"/>
          </w:tcPr>
          <w:p>
            <w:pPr>
              <w:spacing w:after="0"/>
              <w:rPr>
                <w:sz w:val="12"/>
                <w:szCs w:val="12"/>
                <w:color w:val="auto"/>
              </w:rPr>
            </w:pPr>
          </w:p>
        </w:tc>
        <w:tc>
          <w:tcPr>
            <w:tcW w:w="1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340" w:type="dxa"/>
            <w:vAlign w:val="bottom"/>
            <w:shd w:val="clear" w:color="auto" w:fill="CFF0FC"/>
          </w:tcPr>
          <w:p>
            <w:pPr>
              <w:spacing w:after="0"/>
              <w:rPr>
                <w:sz w:val="12"/>
                <w:szCs w:val="12"/>
                <w:color w:val="auto"/>
              </w:rPr>
            </w:pPr>
          </w:p>
        </w:tc>
        <w:tc>
          <w:tcPr>
            <w:tcW w:w="17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15,612</w:t>
            </w:r>
          </w:p>
        </w:tc>
        <w:tc>
          <w:tcPr>
            <w:tcW w:w="0" w:type="dxa"/>
            <w:vAlign w:val="bottom"/>
          </w:tcPr>
          <w:p>
            <w:pPr>
              <w:spacing w:after="0"/>
              <w:rPr>
                <w:sz w:val="1"/>
                <w:szCs w:val="1"/>
                <w:color w:val="auto"/>
              </w:rPr>
            </w:pPr>
          </w:p>
        </w:tc>
      </w:tr>
      <w:tr>
        <w:trPr>
          <w:trHeight w:val="149"/>
        </w:trPr>
        <w:tc>
          <w:tcPr>
            <w:tcW w:w="43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Residential mortgage-backed - US agency</w:t>
            </w:r>
          </w:p>
        </w:tc>
        <w:tc>
          <w:tcPr>
            <w:tcW w:w="120" w:type="dxa"/>
            <w:vAlign w:val="bottom"/>
          </w:tcPr>
          <w:p>
            <w:pPr>
              <w:spacing w:after="0"/>
              <w:rPr>
                <w:sz w:val="12"/>
                <w:szCs w:val="12"/>
                <w:color w:val="auto"/>
              </w:rPr>
            </w:pPr>
          </w:p>
        </w:tc>
        <w:tc>
          <w:tcPr>
            <w:tcW w:w="11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49,632</w:t>
            </w:r>
          </w:p>
        </w:tc>
        <w:tc>
          <w:tcPr>
            <w:tcW w:w="300" w:type="dxa"/>
            <w:vAlign w:val="bottom"/>
          </w:tcPr>
          <w:p>
            <w:pPr>
              <w:spacing w:after="0"/>
              <w:rPr>
                <w:sz w:val="12"/>
                <w:szCs w:val="12"/>
                <w:color w:val="auto"/>
              </w:rPr>
            </w:pPr>
          </w:p>
        </w:tc>
        <w:tc>
          <w:tcPr>
            <w:tcW w:w="1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437</w:t>
            </w:r>
          </w:p>
        </w:tc>
        <w:tc>
          <w:tcPr>
            <w:tcW w:w="340" w:type="dxa"/>
            <w:vAlign w:val="bottom"/>
          </w:tcPr>
          <w:p>
            <w:pPr>
              <w:spacing w:after="0"/>
              <w:rPr>
                <w:sz w:val="12"/>
                <w:szCs w:val="12"/>
                <w:color w:val="auto"/>
              </w:rPr>
            </w:pPr>
          </w:p>
        </w:tc>
        <w:tc>
          <w:tcPr>
            <w:tcW w:w="1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(1,054)</w:t>
            </w:r>
          </w:p>
        </w:tc>
        <w:tc>
          <w:tcPr>
            <w:tcW w:w="240" w:type="dxa"/>
            <w:vAlign w:val="bottom"/>
          </w:tcPr>
          <w:p>
            <w:pPr>
              <w:spacing w:after="0"/>
              <w:rPr>
                <w:sz w:val="12"/>
                <w:szCs w:val="12"/>
                <w:color w:val="auto"/>
              </w:rPr>
            </w:pPr>
          </w:p>
        </w:tc>
        <w:tc>
          <w:tcPr>
            <w:tcW w:w="14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49,015</w:t>
            </w:r>
          </w:p>
        </w:tc>
        <w:tc>
          <w:tcPr>
            <w:tcW w:w="0" w:type="dxa"/>
            <w:vAlign w:val="bottom"/>
          </w:tcPr>
          <w:p>
            <w:pPr>
              <w:spacing w:after="0"/>
              <w:rPr>
                <w:sz w:val="1"/>
                <w:szCs w:val="1"/>
                <w:color w:val="auto"/>
              </w:rPr>
            </w:pPr>
          </w:p>
        </w:tc>
      </w:tr>
      <w:tr>
        <w:trPr>
          <w:trHeight w:val="148"/>
        </w:trPr>
        <w:tc>
          <w:tcPr>
            <w:tcW w:w="4360" w:type="dxa"/>
            <w:vAlign w:val="bottom"/>
            <w:gridSpan w:val="3"/>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Collateralized mortgage obligations - US agency</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18,882</w:t>
            </w:r>
          </w:p>
        </w:tc>
        <w:tc>
          <w:tcPr>
            <w:tcW w:w="300" w:type="dxa"/>
            <w:vAlign w:val="bottom"/>
            <w:shd w:val="clear" w:color="auto" w:fill="CFF0FC"/>
          </w:tcPr>
          <w:p>
            <w:pPr>
              <w:spacing w:after="0"/>
              <w:rPr>
                <w:sz w:val="12"/>
                <w:szCs w:val="12"/>
                <w:color w:val="auto"/>
              </w:rPr>
            </w:pPr>
          </w:p>
        </w:tc>
        <w:tc>
          <w:tcPr>
            <w:tcW w:w="1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340" w:type="dxa"/>
            <w:vAlign w:val="bottom"/>
            <w:shd w:val="clear" w:color="auto" w:fill="CFF0FC"/>
          </w:tcPr>
          <w:p>
            <w:pPr>
              <w:spacing w:after="0"/>
              <w:rPr>
                <w:sz w:val="12"/>
                <w:szCs w:val="12"/>
                <w:color w:val="auto"/>
              </w:rPr>
            </w:pPr>
          </w:p>
        </w:tc>
        <w:tc>
          <w:tcPr>
            <w:tcW w:w="17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18,383</w:t>
            </w:r>
          </w:p>
        </w:tc>
        <w:tc>
          <w:tcPr>
            <w:tcW w:w="0" w:type="dxa"/>
            <w:vAlign w:val="bottom"/>
          </w:tcPr>
          <w:p>
            <w:pPr>
              <w:spacing w:after="0"/>
              <w:rPr>
                <w:sz w:val="1"/>
                <w:szCs w:val="1"/>
                <w:color w:val="auto"/>
              </w:rPr>
            </w:pPr>
          </w:p>
        </w:tc>
      </w:tr>
      <w:tr>
        <w:trPr>
          <w:trHeight w:val="149"/>
        </w:trPr>
        <w:tc>
          <w:tcPr>
            <w:tcW w:w="4360" w:type="dxa"/>
            <w:vAlign w:val="bottom"/>
            <w:tcBorders>
              <w:bottom w:val="single" w:sz="8" w:color="auto"/>
            </w:tcBorders>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Collateralized mortgage obligations - Private label</w:t>
            </w: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87,832</w:t>
            </w:r>
          </w:p>
        </w:tc>
        <w:tc>
          <w:tcPr>
            <w:tcW w:w="3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513</w:t>
            </w:r>
          </w:p>
        </w:tc>
        <w:tc>
          <w:tcPr>
            <w:tcW w:w="3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(1,621)</w:t>
            </w:r>
          </w:p>
        </w:tc>
        <w:tc>
          <w:tcPr>
            <w:tcW w:w="2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86,724</w:t>
            </w:r>
          </w:p>
        </w:tc>
        <w:tc>
          <w:tcPr>
            <w:tcW w:w="0" w:type="dxa"/>
            <w:vAlign w:val="bottom"/>
          </w:tcPr>
          <w:p>
            <w:pPr>
              <w:spacing w:after="0"/>
              <w:rPr>
                <w:sz w:val="1"/>
                <w:szCs w:val="1"/>
                <w:color w:val="auto"/>
              </w:rPr>
            </w:pPr>
          </w:p>
        </w:tc>
      </w:tr>
      <w:tr>
        <w:trPr>
          <w:trHeight w:val="142"/>
        </w:trPr>
        <w:tc>
          <w:tcPr>
            <w:tcW w:w="4360" w:type="dxa"/>
            <w:vAlign w:val="bottom"/>
            <w:tcBorders>
              <w:bottom w:val="single" w:sz="8" w:color="auto"/>
            </w:tcBorders>
            <w:gridSpan w:val="3"/>
            <w:shd w:val="clear" w:color="auto" w:fill="CFF0FC"/>
          </w:tcPr>
          <w:p>
            <w:pPr>
              <w:ind w:left="16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282,435</w:t>
            </w:r>
          </w:p>
        </w:tc>
        <w:tc>
          <w:tcPr>
            <w:tcW w:w="30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1,940</w:t>
            </w:r>
          </w:p>
        </w:tc>
        <w:tc>
          <w:tcPr>
            <w:tcW w:w="34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(7,766)</w:t>
            </w:r>
          </w:p>
        </w:tc>
        <w:tc>
          <w:tcPr>
            <w:tcW w:w="24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276,609</w:t>
            </w:r>
          </w:p>
        </w:tc>
        <w:tc>
          <w:tcPr>
            <w:tcW w:w="0" w:type="dxa"/>
            <w:vAlign w:val="bottom"/>
          </w:tcPr>
          <w:p>
            <w:pPr>
              <w:spacing w:after="0"/>
              <w:rPr>
                <w:sz w:val="1"/>
                <w:szCs w:val="1"/>
                <w:color w:val="auto"/>
              </w:rPr>
            </w:pPr>
          </w:p>
        </w:tc>
      </w:tr>
      <w:tr>
        <w:trPr>
          <w:trHeight w:val="129"/>
        </w:trPr>
        <w:tc>
          <w:tcPr>
            <w:tcW w:w="168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rPr>
              <w:t>Equity investment securities:</w:t>
            </w: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60" w:type="dxa"/>
            <w:vAlign w:val="bottom"/>
            <w:tcBorders>
              <w:bottom w:val="single" w:sz="8" w:color="auto"/>
            </w:tcBorders>
            <w:gridSpan w:val="3"/>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Common stock - financial services industry</w:t>
            </w:r>
          </w:p>
        </w:tc>
        <w:tc>
          <w:tcPr>
            <w:tcW w:w="1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206</w:t>
            </w:r>
          </w:p>
        </w:tc>
        <w:tc>
          <w:tcPr>
            <w:tcW w:w="30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42"/>
        </w:trPr>
        <w:tc>
          <w:tcPr>
            <w:tcW w:w="4360" w:type="dxa"/>
            <w:vAlign w:val="bottom"/>
            <w:tcBorders>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206</w:t>
            </w:r>
          </w:p>
        </w:tc>
        <w:tc>
          <w:tcPr>
            <w:tcW w:w="3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82"/>
        </w:trPr>
        <w:tc>
          <w:tcPr>
            <w:tcW w:w="4360" w:type="dxa"/>
            <w:vAlign w:val="bottom"/>
            <w:tcBorders>
              <w:bottom w:val="single" w:sz="8" w:color="auto"/>
            </w:tcBorders>
            <w:gridSpan w:val="3"/>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available-for-sale</w:t>
            </w:r>
          </w:p>
        </w:tc>
        <w:tc>
          <w:tcPr>
            <w:tcW w:w="12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282,641</w:t>
            </w:r>
          </w:p>
        </w:tc>
        <w:tc>
          <w:tcPr>
            <w:tcW w:w="30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1,940</w:t>
            </w:r>
          </w:p>
        </w:tc>
        <w:tc>
          <w:tcPr>
            <w:tcW w:w="34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(7,766)</w:t>
            </w:r>
          </w:p>
        </w:tc>
        <w:tc>
          <w:tcPr>
            <w:tcW w:w="2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276,815</w:t>
            </w:r>
          </w:p>
        </w:tc>
        <w:tc>
          <w:tcPr>
            <w:tcW w:w="0" w:type="dxa"/>
            <w:vAlign w:val="bottom"/>
          </w:tcPr>
          <w:p>
            <w:pPr>
              <w:spacing w:after="0"/>
              <w:rPr>
                <w:sz w:val="1"/>
                <w:szCs w:val="1"/>
                <w:color w:val="auto"/>
              </w:rPr>
            </w:pPr>
          </w:p>
        </w:tc>
      </w:tr>
      <w:tr>
        <w:trPr>
          <w:trHeight w:val="129"/>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6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Held-to-Maturity Portfolio</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4"/>
                <w:szCs w:val="14"/>
                <w:color w:val="auto"/>
              </w:rPr>
              <w:t>Debt investment securities:</w:t>
            </w:r>
          </w:p>
        </w:tc>
        <w:tc>
          <w:tcPr>
            <w:tcW w:w="27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60" w:type="dxa"/>
            <w:vAlign w:val="bottom"/>
            <w:gridSpan w:val="3"/>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US Treasury, agencies and GSEs</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3,559</w:t>
            </w:r>
          </w:p>
        </w:tc>
        <w:tc>
          <w:tcPr>
            <w:tcW w:w="30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(162)</w:t>
            </w:r>
          </w:p>
        </w:tc>
        <w:tc>
          <w:tcPr>
            <w:tcW w:w="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3,397</w:t>
            </w:r>
          </w:p>
        </w:tc>
        <w:tc>
          <w:tcPr>
            <w:tcW w:w="0" w:type="dxa"/>
            <w:vAlign w:val="bottom"/>
          </w:tcPr>
          <w:p>
            <w:pPr>
              <w:spacing w:after="0"/>
              <w:rPr>
                <w:sz w:val="1"/>
                <w:szCs w:val="1"/>
                <w:color w:val="auto"/>
              </w:rPr>
            </w:pPr>
          </w:p>
        </w:tc>
      </w:tr>
      <w:tr>
        <w:trPr>
          <w:trHeight w:val="148"/>
        </w:trPr>
        <w:tc>
          <w:tcPr>
            <w:tcW w:w="43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State and political subdivisions</w:t>
            </w:r>
          </w:p>
        </w:tc>
        <w:tc>
          <w:tcPr>
            <w:tcW w:w="120" w:type="dxa"/>
            <w:vAlign w:val="bottom"/>
          </w:tcPr>
          <w:p>
            <w:pPr>
              <w:spacing w:after="0"/>
              <w:rPr>
                <w:sz w:val="12"/>
                <w:szCs w:val="12"/>
                <w:color w:val="auto"/>
              </w:rPr>
            </w:pPr>
          </w:p>
        </w:tc>
        <w:tc>
          <w:tcPr>
            <w:tcW w:w="11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14,594</w:t>
            </w:r>
          </w:p>
        </w:tc>
        <w:tc>
          <w:tcPr>
            <w:tcW w:w="300" w:type="dxa"/>
            <w:vAlign w:val="bottom"/>
          </w:tcPr>
          <w:p>
            <w:pPr>
              <w:spacing w:after="0"/>
              <w:rPr>
                <w:sz w:val="12"/>
                <w:szCs w:val="12"/>
                <w:color w:val="auto"/>
              </w:rPr>
            </w:pPr>
          </w:p>
        </w:tc>
        <w:tc>
          <w:tcPr>
            <w:tcW w:w="1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340" w:type="dxa"/>
            <w:vAlign w:val="bottom"/>
          </w:tcPr>
          <w:p>
            <w:pPr>
              <w:spacing w:after="0"/>
              <w:rPr>
                <w:sz w:val="12"/>
                <w:szCs w:val="12"/>
                <w:color w:val="auto"/>
              </w:rPr>
            </w:pPr>
          </w:p>
        </w:tc>
        <w:tc>
          <w:tcPr>
            <w:tcW w:w="1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(1,241)</w:t>
            </w:r>
          </w:p>
        </w:tc>
        <w:tc>
          <w:tcPr>
            <w:tcW w:w="240" w:type="dxa"/>
            <w:vAlign w:val="bottom"/>
          </w:tcPr>
          <w:p>
            <w:pPr>
              <w:spacing w:after="0"/>
              <w:rPr>
                <w:sz w:val="12"/>
                <w:szCs w:val="12"/>
                <w:color w:val="auto"/>
              </w:rPr>
            </w:pPr>
          </w:p>
        </w:tc>
        <w:tc>
          <w:tcPr>
            <w:tcW w:w="14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13,375</w:t>
            </w:r>
          </w:p>
        </w:tc>
        <w:tc>
          <w:tcPr>
            <w:tcW w:w="0" w:type="dxa"/>
            <w:vAlign w:val="bottom"/>
          </w:tcPr>
          <w:p>
            <w:pPr>
              <w:spacing w:after="0"/>
              <w:rPr>
                <w:sz w:val="1"/>
                <w:szCs w:val="1"/>
                <w:color w:val="auto"/>
              </w:rPr>
            </w:pPr>
          </w:p>
        </w:tc>
      </w:tr>
      <w:tr>
        <w:trPr>
          <w:trHeight w:val="148"/>
        </w:trPr>
        <w:tc>
          <w:tcPr>
            <w:tcW w:w="4360" w:type="dxa"/>
            <w:vAlign w:val="bottom"/>
            <w:gridSpan w:val="3"/>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Corporate</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25,530</w:t>
            </w:r>
          </w:p>
        </w:tc>
        <w:tc>
          <w:tcPr>
            <w:tcW w:w="300" w:type="dxa"/>
            <w:vAlign w:val="bottom"/>
            <w:shd w:val="clear" w:color="auto" w:fill="CFF0FC"/>
          </w:tcPr>
          <w:p>
            <w:pPr>
              <w:spacing w:after="0"/>
              <w:rPr>
                <w:sz w:val="12"/>
                <w:szCs w:val="12"/>
                <w:color w:val="auto"/>
              </w:rPr>
            </w:pPr>
          </w:p>
        </w:tc>
        <w:tc>
          <w:tcPr>
            <w:tcW w:w="1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340" w:type="dxa"/>
            <w:vAlign w:val="bottom"/>
            <w:shd w:val="clear" w:color="auto" w:fill="CFF0FC"/>
          </w:tcPr>
          <w:p>
            <w:pPr>
              <w:spacing w:after="0"/>
              <w:rPr>
                <w:sz w:val="12"/>
                <w:szCs w:val="12"/>
                <w:color w:val="auto"/>
              </w:rPr>
            </w:pPr>
          </w:p>
        </w:tc>
        <w:tc>
          <w:tcPr>
            <w:tcW w:w="17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(1,345)</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24,199</w:t>
            </w:r>
          </w:p>
        </w:tc>
        <w:tc>
          <w:tcPr>
            <w:tcW w:w="0" w:type="dxa"/>
            <w:vAlign w:val="bottom"/>
          </w:tcPr>
          <w:p>
            <w:pPr>
              <w:spacing w:after="0"/>
              <w:rPr>
                <w:sz w:val="1"/>
                <w:szCs w:val="1"/>
                <w:color w:val="auto"/>
              </w:rPr>
            </w:pPr>
          </w:p>
        </w:tc>
      </w:tr>
      <w:tr>
        <w:trPr>
          <w:trHeight w:val="149"/>
        </w:trPr>
        <w:tc>
          <w:tcPr>
            <w:tcW w:w="43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Asset backed securities</w:t>
            </w:r>
          </w:p>
        </w:tc>
        <w:tc>
          <w:tcPr>
            <w:tcW w:w="120" w:type="dxa"/>
            <w:vAlign w:val="bottom"/>
          </w:tcPr>
          <w:p>
            <w:pPr>
              <w:spacing w:after="0"/>
              <w:rPr>
                <w:sz w:val="12"/>
                <w:szCs w:val="12"/>
                <w:color w:val="auto"/>
              </w:rPr>
            </w:pPr>
          </w:p>
        </w:tc>
        <w:tc>
          <w:tcPr>
            <w:tcW w:w="11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15,064</w:t>
            </w:r>
          </w:p>
        </w:tc>
        <w:tc>
          <w:tcPr>
            <w:tcW w:w="300" w:type="dxa"/>
            <w:vAlign w:val="bottom"/>
          </w:tcPr>
          <w:p>
            <w:pPr>
              <w:spacing w:after="0"/>
              <w:rPr>
                <w:sz w:val="12"/>
                <w:szCs w:val="12"/>
                <w:color w:val="auto"/>
              </w:rPr>
            </w:pPr>
          </w:p>
        </w:tc>
        <w:tc>
          <w:tcPr>
            <w:tcW w:w="1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340" w:type="dxa"/>
            <w:vAlign w:val="bottom"/>
          </w:tcPr>
          <w:p>
            <w:pPr>
              <w:spacing w:after="0"/>
              <w:rPr>
                <w:sz w:val="12"/>
                <w:szCs w:val="12"/>
                <w:color w:val="auto"/>
              </w:rPr>
            </w:pPr>
          </w:p>
        </w:tc>
        <w:tc>
          <w:tcPr>
            <w:tcW w:w="1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(874)</w:t>
            </w:r>
          </w:p>
        </w:tc>
        <w:tc>
          <w:tcPr>
            <w:tcW w:w="240" w:type="dxa"/>
            <w:vAlign w:val="bottom"/>
          </w:tcPr>
          <w:p>
            <w:pPr>
              <w:spacing w:after="0"/>
              <w:rPr>
                <w:sz w:val="12"/>
                <w:szCs w:val="12"/>
                <w:color w:val="auto"/>
              </w:rPr>
            </w:pPr>
          </w:p>
        </w:tc>
        <w:tc>
          <w:tcPr>
            <w:tcW w:w="14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14,206</w:t>
            </w:r>
          </w:p>
        </w:tc>
        <w:tc>
          <w:tcPr>
            <w:tcW w:w="0" w:type="dxa"/>
            <w:vAlign w:val="bottom"/>
          </w:tcPr>
          <w:p>
            <w:pPr>
              <w:spacing w:after="0"/>
              <w:rPr>
                <w:sz w:val="1"/>
                <w:szCs w:val="1"/>
                <w:color w:val="auto"/>
              </w:rPr>
            </w:pPr>
          </w:p>
        </w:tc>
      </w:tr>
      <w:tr>
        <w:trPr>
          <w:trHeight w:val="148"/>
        </w:trPr>
        <w:tc>
          <w:tcPr>
            <w:tcW w:w="4360" w:type="dxa"/>
            <w:vAlign w:val="bottom"/>
            <w:gridSpan w:val="3"/>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Residential mortgage-backed - US agency</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7,640</w:t>
            </w:r>
          </w:p>
        </w:tc>
        <w:tc>
          <w:tcPr>
            <w:tcW w:w="300" w:type="dxa"/>
            <w:vAlign w:val="bottom"/>
            <w:shd w:val="clear" w:color="auto" w:fill="CFF0FC"/>
          </w:tcPr>
          <w:p>
            <w:pPr>
              <w:spacing w:after="0"/>
              <w:rPr>
                <w:sz w:val="12"/>
                <w:szCs w:val="12"/>
                <w:color w:val="auto"/>
              </w:rPr>
            </w:pPr>
          </w:p>
        </w:tc>
        <w:tc>
          <w:tcPr>
            <w:tcW w:w="1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340" w:type="dxa"/>
            <w:vAlign w:val="bottom"/>
            <w:shd w:val="clear" w:color="auto" w:fill="CFF0FC"/>
          </w:tcPr>
          <w:p>
            <w:pPr>
              <w:spacing w:after="0"/>
              <w:rPr>
                <w:sz w:val="12"/>
                <w:szCs w:val="12"/>
                <w:color w:val="auto"/>
              </w:rPr>
            </w:pPr>
          </w:p>
        </w:tc>
        <w:tc>
          <w:tcPr>
            <w:tcW w:w="17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(371)</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7,311</w:t>
            </w:r>
          </w:p>
        </w:tc>
        <w:tc>
          <w:tcPr>
            <w:tcW w:w="0" w:type="dxa"/>
            <w:vAlign w:val="bottom"/>
          </w:tcPr>
          <w:p>
            <w:pPr>
              <w:spacing w:after="0"/>
              <w:rPr>
                <w:sz w:val="1"/>
                <w:szCs w:val="1"/>
                <w:color w:val="auto"/>
              </w:rPr>
            </w:pPr>
          </w:p>
        </w:tc>
      </w:tr>
      <w:tr>
        <w:trPr>
          <w:trHeight w:val="149"/>
        </w:trPr>
        <w:tc>
          <w:tcPr>
            <w:tcW w:w="43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Collateralized mortgage obligations - US agency</w:t>
            </w:r>
          </w:p>
        </w:tc>
        <w:tc>
          <w:tcPr>
            <w:tcW w:w="120" w:type="dxa"/>
            <w:vAlign w:val="bottom"/>
          </w:tcPr>
          <w:p>
            <w:pPr>
              <w:spacing w:after="0"/>
              <w:rPr>
                <w:sz w:val="12"/>
                <w:szCs w:val="12"/>
                <w:color w:val="auto"/>
              </w:rPr>
            </w:pPr>
          </w:p>
        </w:tc>
        <w:tc>
          <w:tcPr>
            <w:tcW w:w="11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10,035</w:t>
            </w:r>
          </w:p>
        </w:tc>
        <w:tc>
          <w:tcPr>
            <w:tcW w:w="300" w:type="dxa"/>
            <w:vAlign w:val="bottom"/>
          </w:tcPr>
          <w:p>
            <w:pPr>
              <w:spacing w:after="0"/>
              <w:rPr>
                <w:sz w:val="12"/>
                <w:szCs w:val="12"/>
                <w:color w:val="auto"/>
              </w:rPr>
            </w:pPr>
          </w:p>
        </w:tc>
        <w:tc>
          <w:tcPr>
            <w:tcW w:w="1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12"/>
                <w:szCs w:val="12"/>
                <w:color w:val="auto"/>
              </w:rPr>
            </w:pPr>
          </w:p>
        </w:tc>
        <w:tc>
          <w:tcPr>
            <w:tcW w:w="1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(913)</w:t>
            </w:r>
          </w:p>
        </w:tc>
        <w:tc>
          <w:tcPr>
            <w:tcW w:w="240" w:type="dxa"/>
            <w:vAlign w:val="bottom"/>
          </w:tcPr>
          <w:p>
            <w:pPr>
              <w:spacing w:after="0"/>
              <w:rPr>
                <w:sz w:val="12"/>
                <w:szCs w:val="12"/>
                <w:color w:val="auto"/>
              </w:rPr>
            </w:pPr>
          </w:p>
        </w:tc>
        <w:tc>
          <w:tcPr>
            <w:tcW w:w="14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9,124</w:t>
            </w:r>
          </w:p>
        </w:tc>
        <w:tc>
          <w:tcPr>
            <w:tcW w:w="0" w:type="dxa"/>
            <w:vAlign w:val="bottom"/>
          </w:tcPr>
          <w:p>
            <w:pPr>
              <w:spacing w:after="0"/>
              <w:rPr>
                <w:sz w:val="1"/>
                <w:szCs w:val="1"/>
                <w:color w:val="auto"/>
              </w:rPr>
            </w:pPr>
          </w:p>
        </w:tc>
      </w:tr>
      <w:tr>
        <w:trPr>
          <w:trHeight w:val="148"/>
        </w:trPr>
        <w:tc>
          <w:tcPr>
            <w:tcW w:w="4360" w:type="dxa"/>
            <w:vAlign w:val="bottom"/>
            <w:tcBorders>
              <w:bottom w:val="single" w:sz="8" w:color="auto"/>
            </w:tcBorders>
            <w:gridSpan w:val="3"/>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Collateralized mortgage obligations - Private label</w:t>
            </w:r>
          </w:p>
        </w:tc>
        <w:tc>
          <w:tcPr>
            <w:tcW w:w="1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54,078</w:t>
            </w:r>
          </w:p>
        </w:tc>
        <w:tc>
          <w:tcPr>
            <w:tcW w:w="30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294</w:t>
            </w:r>
          </w:p>
        </w:tc>
        <w:tc>
          <w:tcPr>
            <w:tcW w:w="34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(786)</w:t>
            </w:r>
          </w:p>
        </w:tc>
        <w:tc>
          <w:tcPr>
            <w:tcW w:w="24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53,586</w:t>
            </w:r>
          </w:p>
        </w:tc>
        <w:tc>
          <w:tcPr>
            <w:tcW w:w="0" w:type="dxa"/>
            <w:vAlign w:val="bottom"/>
          </w:tcPr>
          <w:p>
            <w:pPr>
              <w:spacing w:after="0"/>
              <w:rPr>
                <w:sz w:val="1"/>
                <w:szCs w:val="1"/>
                <w:color w:val="auto"/>
              </w:rPr>
            </w:pPr>
          </w:p>
        </w:tc>
      </w:tr>
      <w:tr>
        <w:trPr>
          <w:trHeight w:val="142"/>
        </w:trPr>
        <w:tc>
          <w:tcPr>
            <w:tcW w:w="43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2"/>
                <w:szCs w:val="12"/>
                <w:color w:val="auto"/>
              </w:rPr>
            </w:pPr>
          </w:p>
        </w:tc>
        <w:tc>
          <w:tcPr>
            <w:tcW w:w="11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130,500</w:t>
            </w:r>
          </w:p>
        </w:tc>
        <w:tc>
          <w:tcPr>
            <w:tcW w:w="300" w:type="dxa"/>
            <w:vAlign w:val="bottom"/>
          </w:tcPr>
          <w:p>
            <w:pPr>
              <w:spacing w:after="0"/>
              <w:rPr>
                <w:sz w:val="12"/>
                <w:szCs w:val="12"/>
                <w:color w:val="auto"/>
              </w:rPr>
            </w:pPr>
          </w:p>
        </w:tc>
        <w:tc>
          <w:tcPr>
            <w:tcW w:w="16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390</w:t>
            </w:r>
          </w:p>
        </w:tc>
        <w:tc>
          <w:tcPr>
            <w:tcW w:w="340" w:type="dxa"/>
            <w:vAlign w:val="bottom"/>
          </w:tcPr>
          <w:p>
            <w:pPr>
              <w:spacing w:after="0"/>
              <w:rPr>
                <w:sz w:val="12"/>
                <w:szCs w:val="12"/>
                <w:color w:val="auto"/>
              </w:rPr>
            </w:pPr>
          </w:p>
        </w:tc>
        <w:tc>
          <w:tcPr>
            <w:tcW w:w="17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(5,692)</w:t>
            </w:r>
          </w:p>
        </w:tc>
        <w:tc>
          <w:tcPr>
            <w:tcW w:w="240" w:type="dxa"/>
            <w:vAlign w:val="bottom"/>
          </w:tcPr>
          <w:p>
            <w:pPr>
              <w:spacing w:after="0"/>
              <w:rPr>
                <w:sz w:val="12"/>
                <w:szCs w:val="12"/>
                <w:color w:val="auto"/>
              </w:rPr>
            </w:pPr>
          </w:p>
        </w:tc>
        <w:tc>
          <w:tcPr>
            <w:tcW w:w="144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125,198</w:t>
            </w:r>
          </w:p>
        </w:tc>
        <w:tc>
          <w:tcPr>
            <w:tcW w:w="0" w:type="dxa"/>
            <w:vAlign w:val="bottom"/>
          </w:tcPr>
          <w:p>
            <w:pPr>
              <w:spacing w:after="0"/>
              <w:rPr>
                <w:sz w:val="1"/>
                <w:szCs w:val="1"/>
                <w:color w:val="auto"/>
              </w:rPr>
            </w:pPr>
          </w:p>
        </w:tc>
      </w:tr>
      <w:tr>
        <w:trPr>
          <w:trHeight w:val="148"/>
        </w:trPr>
        <w:tc>
          <w:tcPr>
            <w:tcW w:w="4360" w:type="dxa"/>
            <w:vAlign w:val="bottom"/>
            <w:tcBorders>
              <w:bottom w:val="single" w:sz="8" w:color="auto"/>
            </w:tcBorders>
            <w:gridSpan w:val="3"/>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Less: Allowance for credit losses</w:t>
            </w:r>
          </w:p>
        </w:tc>
        <w:tc>
          <w:tcPr>
            <w:tcW w:w="1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30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36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Total held-to-maturity</w:t>
            </w: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130,324</w:t>
            </w:r>
          </w:p>
        </w:tc>
        <w:tc>
          <w:tcPr>
            <w:tcW w:w="3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390</w:t>
            </w:r>
          </w:p>
        </w:tc>
        <w:tc>
          <w:tcPr>
            <w:tcW w:w="3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(5,692)</w:t>
            </w:r>
          </w:p>
        </w:tc>
        <w:tc>
          <w:tcPr>
            <w:tcW w:w="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125,198</w:t>
            </w:r>
          </w:p>
        </w:tc>
        <w:tc>
          <w:tcPr>
            <w:tcW w:w="0" w:type="dxa"/>
            <w:vAlign w:val="bottom"/>
          </w:tcPr>
          <w:p>
            <w:pPr>
              <w:spacing w:after="0"/>
              <w:rPr>
                <w:sz w:val="1"/>
                <w:szCs w:val="1"/>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1" w:name="page12"/>
    <w:bookmarkEnd w:id="11"/>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amortized cost and estimated fair value of debt securities at March 31, 2026 by contractual maturity are shown below. Expected maturities may differ from contractual maturities because borrowers may have the right to call or prepay obligations with or without penalties. Amounts disclosed are gross values and do not include any allowance for credit losses.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Held-to-Maturity</w:t>
            </w:r>
          </w:p>
        </w:tc>
      </w:tr>
      <w:tr>
        <w:trPr>
          <w:trHeight w:val="202"/>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Amortized Cost</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Estimated Fair Value</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Amortized Cost</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Estimated Fair Value</w:t>
            </w:r>
          </w:p>
        </w:tc>
      </w:tr>
      <w:tr>
        <w:trPr>
          <w:trHeight w:val="19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Due in one year or less</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4,202</w:t>
            </w:r>
          </w:p>
        </w:tc>
        <w:tc>
          <w:tcPr>
            <w:tcW w:w="260" w:type="dxa"/>
            <w:vAlign w:val="bottom"/>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4,364</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426</w:t>
            </w:r>
          </w:p>
        </w:tc>
        <w:tc>
          <w:tcPr>
            <w:tcW w:w="260" w:type="dxa"/>
            <w:vAlign w:val="bottom"/>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426</w:t>
            </w:r>
          </w:p>
        </w:tc>
      </w:tr>
      <w:tr>
        <w:trPr>
          <w:trHeight w:val="203"/>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35,395</w:t>
            </w:r>
          </w:p>
        </w:tc>
        <w:tc>
          <w:tcPr>
            <w:tcW w:w="26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32,939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25,920</w:t>
            </w:r>
          </w:p>
        </w:tc>
        <w:tc>
          <w:tcPr>
            <w:tcW w:w="260" w:type="dxa"/>
            <w:vAlign w:val="bottom"/>
          </w:tcPr>
          <w:p>
            <w:pPr>
              <w:spacing w:after="0"/>
              <w:rPr>
                <w:sz w:val="17"/>
                <w:szCs w:val="17"/>
                <w:color w:val="auto"/>
              </w:rPr>
            </w:pP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25,338</w:t>
            </w:r>
          </w:p>
        </w:tc>
      </w:tr>
      <w:tr>
        <w:trPr>
          <w:trHeight w:val="203"/>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12,598</w:t>
            </w:r>
          </w:p>
        </w:tc>
        <w:tc>
          <w:tcPr>
            <w:tcW w:w="2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11,718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13,702</w:t>
            </w: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11,718</w:t>
            </w:r>
          </w:p>
        </w:tc>
      </w:tr>
      <w:tr>
        <w:trPr>
          <w:trHeight w:val="203"/>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Due after ten years</w:t>
            </w: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70,218</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68,766</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16,144</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14,992</w:t>
            </w:r>
          </w:p>
        </w:tc>
      </w:tr>
      <w:tr>
        <w:trPr>
          <w:trHeight w:val="196"/>
        </w:trPr>
        <w:tc>
          <w:tcPr>
            <w:tcW w:w="4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Sub-total</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122,413</w:t>
            </w:r>
          </w:p>
        </w:tc>
        <w:tc>
          <w:tcPr>
            <w:tcW w:w="2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117,787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56,192</w:t>
            </w: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52,474</w:t>
            </w:r>
          </w:p>
        </w:tc>
      </w:tr>
      <w:tr>
        <w:trPr>
          <w:trHeight w:val="203"/>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Residential mortgage-backed - US agency</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52,467</w:t>
            </w:r>
          </w:p>
        </w:tc>
        <w:tc>
          <w:tcPr>
            <w:tcW w:w="26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51,544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7,554</w:t>
            </w:r>
          </w:p>
        </w:tc>
        <w:tc>
          <w:tcPr>
            <w:tcW w:w="260" w:type="dxa"/>
            <w:vAlign w:val="bottom"/>
          </w:tcPr>
          <w:p>
            <w:pPr>
              <w:spacing w:after="0"/>
              <w:rPr>
                <w:sz w:val="17"/>
                <w:szCs w:val="17"/>
                <w:color w:val="auto"/>
              </w:rPr>
            </w:pP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7,232</w:t>
            </w:r>
          </w:p>
        </w:tc>
      </w:tr>
      <w:tr>
        <w:trPr>
          <w:trHeight w:val="203"/>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21,177</w:t>
            </w:r>
          </w:p>
        </w:tc>
        <w:tc>
          <w:tcPr>
            <w:tcW w:w="2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20,560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9,873</w:t>
            </w: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8,906</w:t>
            </w:r>
          </w:p>
        </w:tc>
      </w:tr>
      <w:tr>
        <w:trPr>
          <w:trHeight w:val="203"/>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84,276</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82,874</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48,989</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48,464</w:t>
            </w:r>
          </w:p>
        </w:tc>
      </w:tr>
      <w:tr>
        <w:trPr>
          <w:trHeight w:val="236"/>
        </w:trPr>
        <w:tc>
          <w:tcPr>
            <w:tcW w:w="41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Totals</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280,333</w:t>
            </w:r>
          </w:p>
        </w:tc>
        <w:tc>
          <w:tcPr>
            <w:tcW w:w="260" w:type="dxa"/>
            <w:vAlign w:val="bottom"/>
            <w:tcBorders>
              <w:bottom w:val="single" w:sz="8" w:color="auto"/>
            </w:tcBorders>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272,765</w:t>
            </w:r>
          </w:p>
        </w:tc>
        <w:tc>
          <w:tcPr>
            <w:tcW w:w="2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122,608</w:t>
            </w:r>
          </w:p>
        </w:tc>
        <w:tc>
          <w:tcPr>
            <w:tcW w:w="260" w:type="dxa"/>
            <w:vAlign w:val="bottom"/>
            <w:tcBorders>
              <w:bottom w:val="single" w:sz="8" w:color="auto"/>
            </w:tcBorders>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117,076</w:t>
            </w: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Company’s investment securities’ gross unrealized losses and fair value, aggregated by investment category and length of time that individual securities have been in a continuous unrealized loss position,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March 31, 2026</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21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Less than Twelve Months</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auto"/>
              </w:rPr>
              <w:t>Twelve Months or More</w:t>
            </w: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180" w:type="dxa"/>
            <w:vAlign w:val="bottom"/>
          </w:tcPr>
          <w:p>
            <w:pPr>
              <w:spacing w:after="0"/>
              <w:rPr>
                <w:sz w:val="10"/>
                <w:szCs w:val="10"/>
                <w:color w:val="auto"/>
              </w:rPr>
            </w:pPr>
          </w:p>
        </w:tc>
        <w:tc>
          <w:tcPr>
            <w:tcW w:w="1040" w:type="dxa"/>
            <w:vAlign w:val="bottom"/>
          </w:tcPr>
          <w:p>
            <w:pPr>
              <w:jc w:val="right"/>
              <w:ind w:right="88"/>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200" w:type="dxa"/>
            <w:vAlign w:val="bottom"/>
          </w:tcPr>
          <w:p>
            <w:pPr>
              <w:spacing w:after="0"/>
              <w:rPr>
                <w:sz w:val="10"/>
                <w:szCs w:val="10"/>
                <w:color w:val="auto"/>
              </w:rPr>
            </w:pPr>
          </w:p>
        </w:tc>
        <w:tc>
          <w:tcPr>
            <w:tcW w:w="9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Unrealized</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29"/>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240" w:type="dxa"/>
            <w:vAlign w:val="bottom"/>
          </w:tcPr>
          <w:p>
            <w:pPr>
              <w:spacing w:after="0"/>
              <w:rPr>
                <w:sz w:val="10"/>
                <w:szCs w:val="10"/>
                <w:color w:val="auto"/>
              </w:rPr>
            </w:pP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97"/>
              </w:rPr>
              <w:t>Unrealized</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right"/>
              <w:ind w:right="90"/>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200" w:type="dxa"/>
            <w:vAlign w:val="bottom"/>
          </w:tcPr>
          <w:p>
            <w:pPr>
              <w:spacing w:after="0"/>
              <w:rPr>
                <w:sz w:val="10"/>
                <w:szCs w:val="10"/>
                <w:color w:val="auto"/>
              </w:rPr>
            </w:pP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Individual</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2"/>
                <w:szCs w:val="12"/>
                <w:color w:val="auto"/>
              </w:rPr>
            </w:pPr>
          </w:p>
        </w:tc>
        <w:tc>
          <w:tcPr>
            <w:tcW w:w="900" w:type="dxa"/>
            <w:vAlign w:val="bottom"/>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Individual</w:t>
            </w: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2"/>
                <w:szCs w:val="12"/>
                <w:color w:val="auto"/>
              </w:rPr>
            </w:pPr>
          </w:p>
        </w:tc>
        <w:tc>
          <w:tcPr>
            <w:tcW w:w="1020" w:type="dxa"/>
            <w:vAlign w:val="bottom"/>
          </w:tcPr>
          <w:p>
            <w:pPr>
              <w:jc w:val="right"/>
              <w:ind w:right="90"/>
              <w:spacing w:after="0" w:line="149" w:lineRule="exact"/>
              <w:rPr>
                <w:sz w:val="20"/>
                <w:szCs w:val="20"/>
                <w:color w:val="auto"/>
              </w:rPr>
            </w:pPr>
            <w:r>
              <w:rPr>
                <w:rFonts w:ascii="Times New Roman" w:cs="Times New Roman" w:eastAsia="Times New Roman" w:hAnsi="Times New Roman"/>
                <w:sz w:val="14"/>
                <w:szCs w:val="14"/>
                <w:color w:val="auto"/>
              </w:rPr>
              <w:t>Individual</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71"/>
        </w:trPr>
        <w:tc>
          <w:tcPr>
            <w:tcW w:w="218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Securities</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Losses</w:t>
            </w:r>
          </w:p>
        </w:tc>
        <w:tc>
          <w:tcPr>
            <w:tcW w:w="8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Losses</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Securities</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Losses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Available-for-Sale Portfolio</w:t>
            </w: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US Treasury, agencies and GSEs</w:t>
            </w:r>
          </w:p>
        </w:tc>
        <w:tc>
          <w:tcPr>
            <w:tcW w:w="10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16,909</w:t>
            </w: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(2,475)</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26,095</w:t>
            </w:r>
          </w:p>
        </w:tc>
        <w:tc>
          <w:tcPr>
            <w:tcW w:w="1120" w:type="dxa"/>
            <w:vAlign w:val="bottom"/>
            <w:gridSpan w:val="2"/>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(2,502)</w:t>
            </w:r>
          </w:p>
        </w:tc>
        <w:tc>
          <w:tcPr>
            <w:tcW w:w="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43,004</w:t>
            </w:r>
          </w:p>
        </w:tc>
        <w:tc>
          <w:tcPr>
            <w:tcW w:w="0" w:type="dxa"/>
            <w:vAlign w:val="bottom"/>
          </w:tcPr>
          <w:p>
            <w:pPr>
              <w:spacing w:after="0"/>
              <w:rPr>
                <w:sz w:val="1"/>
                <w:szCs w:val="1"/>
                <w:color w:val="auto"/>
              </w:rPr>
            </w:pPr>
          </w:p>
        </w:tc>
      </w:tr>
      <w:tr>
        <w:trPr>
          <w:trHeight w:val="148"/>
        </w:trPr>
        <w:tc>
          <w:tcPr>
            <w:tcW w:w="21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State and political subdivisions</w:t>
            </w:r>
          </w:p>
        </w:tc>
        <w:tc>
          <w:tcPr>
            <w:tcW w:w="10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(2,424)</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30,777</w:t>
            </w:r>
          </w:p>
        </w:tc>
        <w:tc>
          <w:tcPr>
            <w:tcW w:w="1120" w:type="dxa"/>
            <w:vAlign w:val="bottom"/>
            <w:gridSpan w:val="2"/>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(2,424)</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30,777</w:t>
            </w: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Corporate</w:t>
            </w:r>
          </w:p>
        </w:tc>
        <w:tc>
          <w:tcPr>
            <w:tcW w:w="10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6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672</w:t>
            </w:r>
          </w:p>
        </w:tc>
        <w:tc>
          <w:tcPr>
            <w:tcW w:w="1120" w:type="dxa"/>
            <w:vAlign w:val="bottom"/>
            <w:gridSpan w:val="2"/>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2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672</w:t>
            </w:r>
          </w:p>
        </w:tc>
        <w:tc>
          <w:tcPr>
            <w:tcW w:w="0" w:type="dxa"/>
            <w:vAlign w:val="bottom"/>
          </w:tcPr>
          <w:p>
            <w:pPr>
              <w:spacing w:after="0"/>
              <w:rPr>
                <w:sz w:val="1"/>
                <w:szCs w:val="1"/>
                <w:color w:val="auto"/>
              </w:rPr>
            </w:pPr>
          </w:p>
        </w:tc>
      </w:tr>
      <w:tr>
        <w:trPr>
          <w:trHeight w:val="148"/>
        </w:trPr>
        <w:tc>
          <w:tcPr>
            <w:tcW w:w="21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Asset backed securities</w:t>
            </w:r>
          </w:p>
        </w:tc>
        <w:tc>
          <w:tcPr>
            <w:tcW w:w="10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6,594</w:t>
            </w:r>
          </w:p>
        </w:tc>
        <w:tc>
          <w:tcPr>
            <w:tcW w:w="10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5,060</w:t>
            </w:r>
          </w:p>
        </w:tc>
        <w:tc>
          <w:tcPr>
            <w:tcW w:w="1120" w:type="dxa"/>
            <w:vAlign w:val="bottom"/>
            <w:gridSpan w:val="2"/>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11,654</w:t>
            </w:r>
          </w:p>
        </w:tc>
        <w:tc>
          <w:tcPr>
            <w:tcW w:w="0" w:type="dxa"/>
            <w:vAlign w:val="bottom"/>
          </w:tcPr>
          <w:p>
            <w:pPr>
              <w:spacing w:after="0"/>
              <w:rPr>
                <w:sz w:val="1"/>
                <w:szCs w:val="1"/>
                <w:color w:val="auto"/>
              </w:rPr>
            </w:pPr>
          </w:p>
        </w:tc>
      </w:tr>
      <w:tr>
        <w:trPr>
          <w:trHeight w:val="126"/>
        </w:trPr>
        <w:tc>
          <w:tcPr>
            <w:tcW w:w="21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Residential mortgage-backed - US</w:t>
            </w: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0"/>
                <w:szCs w:val="10"/>
                <w:color w:val="auto"/>
              </w:rPr>
            </w:pPr>
          </w:p>
        </w:tc>
        <w:tc>
          <w:tcPr>
            <w:tcW w:w="9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(198)</w:t>
            </w:r>
          </w:p>
        </w:tc>
        <w:tc>
          <w:tcPr>
            <w:tcW w:w="180" w:type="dxa"/>
            <w:vAlign w:val="bottom"/>
          </w:tcPr>
          <w:p>
            <w:pPr>
              <w:spacing w:after="0"/>
              <w:rPr>
                <w:sz w:val="10"/>
                <w:szCs w:val="10"/>
                <w:color w:val="auto"/>
              </w:rPr>
            </w:pPr>
          </w:p>
        </w:tc>
        <w:tc>
          <w:tcPr>
            <w:tcW w:w="6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16,055</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0"/>
                <w:szCs w:val="10"/>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(1,085)</w:t>
            </w:r>
          </w:p>
        </w:tc>
        <w:tc>
          <w:tcPr>
            <w:tcW w:w="160" w:type="dxa"/>
            <w:vAlign w:val="bottom"/>
          </w:tcPr>
          <w:p>
            <w:pPr>
              <w:spacing w:after="0"/>
              <w:rPr>
                <w:sz w:val="10"/>
                <w:szCs w:val="10"/>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13,689</w:t>
            </w:r>
          </w:p>
        </w:tc>
        <w:tc>
          <w:tcPr>
            <w:tcW w:w="11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20</w:t>
            </w:r>
          </w:p>
        </w:tc>
        <w:tc>
          <w:tcPr>
            <w:tcW w:w="200" w:type="dxa"/>
            <w:vAlign w:val="bottom"/>
          </w:tcPr>
          <w:p>
            <w:pPr>
              <w:spacing w:after="0"/>
              <w:rPr>
                <w:sz w:val="10"/>
                <w:szCs w:val="10"/>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(1,283)</w:t>
            </w:r>
          </w:p>
        </w:tc>
        <w:tc>
          <w:tcPr>
            <w:tcW w:w="22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29,744</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agency</w:t>
            </w: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Collateralized mortgage</w:t>
            </w:r>
          </w:p>
        </w:tc>
        <w:tc>
          <w:tcPr>
            <w:tcW w:w="10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(40)</w:t>
            </w:r>
          </w:p>
        </w:tc>
        <w:tc>
          <w:tcPr>
            <w:tcW w:w="1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1,565</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(678)</w:t>
            </w:r>
          </w:p>
        </w:tc>
        <w:tc>
          <w:tcPr>
            <w:tcW w:w="16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5,931</w:t>
            </w:r>
          </w:p>
        </w:tc>
        <w:tc>
          <w:tcPr>
            <w:tcW w:w="1120" w:type="dxa"/>
            <w:vAlign w:val="bottom"/>
            <w:gridSpan w:val="2"/>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(718)</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7,496</w:t>
            </w:r>
          </w:p>
        </w:tc>
        <w:tc>
          <w:tcPr>
            <w:tcW w:w="0" w:type="dxa"/>
            <w:vAlign w:val="bottom"/>
          </w:tcPr>
          <w:p>
            <w:pPr>
              <w:spacing w:after="0"/>
              <w:rPr>
                <w:sz w:val="1"/>
                <w:szCs w:val="1"/>
                <w:color w:val="auto"/>
              </w:rPr>
            </w:pPr>
          </w:p>
        </w:tc>
      </w:tr>
      <w:tr>
        <w:trPr>
          <w:trHeight w:val="171"/>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obligations - US agency</w:t>
            </w:r>
          </w:p>
        </w:tc>
        <w:tc>
          <w:tcPr>
            <w:tcW w:w="10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Collateralized mortgage</w:t>
            </w: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Pr>
          <w:p>
            <w:pPr>
              <w:spacing w:after="0"/>
              <w:rPr>
                <w:sz w:val="10"/>
                <w:szCs w:val="10"/>
                <w:color w:val="auto"/>
              </w:rPr>
            </w:pPr>
          </w:p>
        </w:tc>
        <w:tc>
          <w:tcPr>
            <w:tcW w:w="9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(73)</w:t>
            </w:r>
          </w:p>
        </w:tc>
        <w:tc>
          <w:tcPr>
            <w:tcW w:w="180" w:type="dxa"/>
            <w:vAlign w:val="bottom"/>
          </w:tcPr>
          <w:p>
            <w:pPr>
              <w:spacing w:after="0"/>
              <w:rPr>
                <w:sz w:val="10"/>
                <w:szCs w:val="10"/>
                <w:color w:val="auto"/>
              </w:rPr>
            </w:pPr>
          </w:p>
        </w:tc>
        <w:tc>
          <w:tcPr>
            <w:tcW w:w="6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23,296</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tcPr>
          <w:p>
            <w:pPr>
              <w:spacing w:after="0"/>
              <w:rPr>
                <w:sz w:val="10"/>
                <w:szCs w:val="10"/>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(1,571)</w:t>
            </w:r>
          </w:p>
        </w:tc>
        <w:tc>
          <w:tcPr>
            <w:tcW w:w="160" w:type="dxa"/>
            <w:vAlign w:val="bottom"/>
          </w:tcPr>
          <w:p>
            <w:pPr>
              <w:spacing w:after="0"/>
              <w:rPr>
                <w:sz w:val="10"/>
                <w:szCs w:val="10"/>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22,983</w:t>
            </w:r>
          </w:p>
        </w:tc>
        <w:tc>
          <w:tcPr>
            <w:tcW w:w="11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33</w:t>
            </w:r>
          </w:p>
        </w:tc>
        <w:tc>
          <w:tcPr>
            <w:tcW w:w="200" w:type="dxa"/>
            <w:vAlign w:val="bottom"/>
          </w:tcPr>
          <w:p>
            <w:pPr>
              <w:spacing w:after="0"/>
              <w:rPr>
                <w:sz w:val="10"/>
                <w:szCs w:val="10"/>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(1,644)</w:t>
            </w:r>
          </w:p>
        </w:tc>
        <w:tc>
          <w:tcPr>
            <w:tcW w:w="22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46,279</w:t>
            </w:r>
          </w:p>
        </w:tc>
        <w:tc>
          <w:tcPr>
            <w:tcW w:w="0" w:type="dxa"/>
            <w:vAlign w:val="bottom"/>
          </w:tcPr>
          <w:p>
            <w:pPr>
              <w:spacing w:after="0"/>
              <w:rPr>
                <w:sz w:val="1"/>
                <w:szCs w:val="1"/>
                <w:color w:val="auto"/>
              </w:rPr>
            </w:pPr>
          </w:p>
        </w:tc>
      </w:tr>
      <w:tr>
        <w:trPr>
          <w:trHeight w:val="171"/>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obligations - Private label</w:t>
            </w:r>
          </w:p>
        </w:tc>
        <w:tc>
          <w:tcPr>
            <w:tcW w:w="10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18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Totals</w:t>
            </w:r>
          </w:p>
        </w:tc>
        <w:tc>
          <w:tcPr>
            <w:tcW w:w="104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2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(353)</w:t>
            </w:r>
          </w:p>
        </w:tc>
        <w:tc>
          <w:tcPr>
            <w:tcW w:w="1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64,419</w:t>
            </w:r>
          </w:p>
        </w:tc>
        <w:tc>
          <w:tcPr>
            <w:tcW w:w="100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78</w:t>
            </w:r>
          </w:p>
        </w:tc>
        <w:tc>
          <w:tcPr>
            <w:tcW w:w="2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(8,410)</w:t>
            </w:r>
          </w:p>
        </w:tc>
        <w:tc>
          <w:tcPr>
            <w:tcW w:w="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105,207</w:t>
            </w:r>
          </w:p>
        </w:tc>
        <w:tc>
          <w:tcPr>
            <w:tcW w:w="1120" w:type="dxa"/>
            <w:vAlign w:val="bottom"/>
            <w:tcBorders>
              <w:bottom w:val="single" w:sz="8" w:color="auto"/>
            </w:tcBorders>
            <w:gridSpan w:val="2"/>
            <w:shd w:val="clear" w:color="auto" w:fill="CFF0FC"/>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108</w:t>
            </w:r>
          </w:p>
        </w:tc>
        <w:tc>
          <w:tcPr>
            <w:tcW w:w="2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(8,763)</w:t>
            </w:r>
          </w:p>
        </w:tc>
        <w:tc>
          <w:tcPr>
            <w:tcW w:w="22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169,626</w:t>
            </w:r>
          </w:p>
        </w:tc>
        <w:tc>
          <w:tcPr>
            <w:tcW w:w="0" w:type="dxa"/>
            <w:vAlign w:val="bottom"/>
          </w:tcPr>
          <w:p>
            <w:pPr>
              <w:spacing w:after="0"/>
              <w:rPr>
                <w:sz w:val="1"/>
                <w:szCs w:val="1"/>
                <w:color w:val="auto"/>
              </w:rPr>
            </w:pPr>
          </w:p>
        </w:tc>
      </w:tr>
      <w:tr>
        <w:trPr>
          <w:trHeight w:val="129"/>
        </w:trPr>
        <w:tc>
          <w:tcPr>
            <w:tcW w:w="218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rPr>
              <w:t>Held-to-Maturity Portfolio</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US Treasury, agencies and GSEs</w:t>
            </w:r>
          </w:p>
        </w:tc>
        <w:tc>
          <w:tcPr>
            <w:tcW w:w="10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3,361</w:t>
            </w:r>
          </w:p>
        </w:tc>
        <w:tc>
          <w:tcPr>
            <w:tcW w:w="1120" w:type="dxa"/>
            <w:vAlign w:val="bottom"/>
            <w:gridSpan w:val="2"/>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2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3,361</w:t>
            </w:r>
          </w:p>
        </w:tc>
        <w:tc>
          <w:tcPr>
            <w:tcW w:w="0" w:type="dxa"/>
            <w:vAlign w:val="bottom"/>
          </w:tcPr>
          <w:p>
            <w:pPr>
              <w:spacing w:after="0"/>
              <w:rPr>
                <w:sz w:val="1"/>
                <w:szCs w:val="1"/>
                <w:color w:val="auto"/>
              </w:rPr>
            </w:pPr>
          </w:p>
        </w:tc>
      </w:tr>
      <w:tr>
        <w:trPr>
          <w:trHeight w:val="148"/>
        </w:trPr>
        <w:tc>
          <w:tcPr>
            <w:tcW w:w="2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State and political subdivisions</w:t>
            </w:r>
          </w:p>
        </w:tc>
        <w:tc>
          <w:tcPr>
            <w:tcW w:w="10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2"/>
                <w:szCs w:val="12"/>
                <w:color w:val="auto"/>
              </w:rPr>
            </w:pPr>
          </w:p>
        </w:tc>
        <w:tc>
          <w:tcPr>
            <w:tcW w:w="9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(1,249)</w:t>
            </w:r>
          </w:p>
        </w:tc>
        <w:tc>
          <w:tcPr>
            <w:tcW w:w="16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11,219</w:t>
            </w:r>
          </w:p>
        </w:tc>
        <w:tc>
          <w:tcPr>
            <w:tcW w:w="1120" w:type="dxa"/>
            <w:vAlign w:val="bottom"/>
            <w:gridSpan w:val="2"/>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22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11,637</w:t>
            </w:r>
          </w:p>
        </w:tc>
        <w:tc>
          <w:tcPr>
            <w:tcW w:w="0" w:type="dxa"/>
            <w:vAlign w:val="bottom"/>
          </w:tcPr>
          <w:p>
            <w:pPr>
              <w:spacing w:after="0"/>
              <w:rPr>
                <w:sz w:val="1"/>
                <w:szCs w:val="1"/>
                <w:color w:val="auto"/>
              </w:rPr>
            </w:pPr>
          </w:p>
        </w:tc>
      </w:tr>
      <w:tr>
        <w:trPr>
          <w:trHeight w:val="149"/>
        </w:trPr>
        <w:tc>
          <w:tcPr>
            <w:tcW w:w="21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Corporate</w:t>
            </w:r>
          </w:p>
        </w:tc>
        <w:tc>
          <w:tcPr>
            <w:tcW w:w="10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984</w:t>
            </w:r>
          </w:p>
        </w:tc>
        <w:tc>
          <w:tcPr>
            <w:tcW w:w="10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(1,351)</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12,963</w:t>
            </w:r>
          </w:p>
        </w:tc>
        <w:tc>
          <w:tcPr>
            <w:tcW w:w="1120" w:type="dxa"/>
            <w:vAlign w:val="bottom"/>
            <w:gridSpan w:val="2"/>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(1,358)</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13,947</w:t>
            </w:r>
          </w:p>
        </w:tc>
        <w:tc>
          <w:tcPr>
            <w:tcW w:w="0" w:type="dxa"/>
            <w:vAlign w:val="bottom"/>
          </w:tcPr>
          <w:p>
            <w:pPr>
              <w:spacing w:after="0"/>
              <w:rPr>
                <w:sz w:val="1"/>
                <w:szCs w:val="1"/>
                <w:color w:val="auto"/>
              </w:rPr>
            </w:pPr>
          </w:p>
        </w:tc>
      </w:tr>
      <w:tr>
        <w:trPr>
          <w:trHeight w:val="148"/>
        </w:trPr>
        <w:tc>
          <w:tcPr>
            <w:tcW w:w="2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 backed securities</w:t>
            </w:r>
          </w:p>
        </w:tc>
        <w:tc>
          <w:tcPr>
            <w:tcW w:w="10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2"/>
                <w:szCs w:val="12"/>
                <w:color w:val="auto"/>
              </w:rPr>
            </w:pPr>
          </w:p>
        </w:tc>
        <w:tc>
          <w:tcPr>
            <w:tcW w:w="9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3,590</w:t>
            </w: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(948)</w:t>
            </w:r>
          </w:p>
        </w:tc>
        <w:tc>
          <w:tcPr>
            <w:tcW w:w="16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4,863</w:t>
            </w:r>
          </w:p>
        </w:tc>
        <w:tc>
          <w:tcPr>
            <w:tcW w:w="1120" w:type="dxa"/>
            <w:vAlign w:val="bottom"/>
            <w:gridSpan w:val="2"/>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0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(954)</w:t>
            </w:r>
          </w:p>
        </w:tc>
        <w:tc>
          <w:tcPr>
            <w:tcW w:w="22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8,453</w:t>
            </w:r>
          </w:p>
        </w:tc>
        <w:tc>
          <w:tcPr>
            <w:tcW w:w="0" w:type="dxa"/>
            <w:vAlign w:val="bottom"/>
          </w:tcPr>
          <w:p>
            <w:pPr>
              <w:spacing w:after="0"/>
              <w:rPr>
                <w:sz w:val="1"/>
                <w:szCs w:val="1"/>
                <w:color w:val="auto"/>
              </w:rPr>
            </w:pPr>
          </w:p>
        </w:tc>
      </w:tr>
      <w:tr>
        <w:trPr>
          <w:trHeight w:val="126"/>
        </w:trPr>
        <w:tc>
          <w:tcPr>
            <w:tcW w:w="21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Residential mortgage-backed - US</w:t>
            </w:r>
          </w:p>
        </w:tc>
        <w:tc>
          <w:tcPr>
            <w:tcW w:w="10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(18)</w:t>
            </w:r>
          </w:p>
        </w:tc>
        <w:tc>
          <w:tcPr>
            <w:tcW w:w="1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2,859</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(342)</w:t>
            </w:r>
          </w:p>
        </w:tc>
        <w:tc>
          <w:tcPr>
            <w:tcW w:w="16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3,265</w:t>
            </w:r>
          </w:p>
        </w:tc>
        <w:tc>
          <w:tcPr>
            <w:tcW w:w="1120" w:type="dxa"/>
            <w:vAlign w:val="bottom"/>
            <w:gridSpan w:val="2"/>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(360)</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6,124</w:t>
            </w:r>
          </w:p>
        </w:tc>
        <w:tc>
          <w:tcPr>
            <w:tcW w:w="0" w:type="dxa"/>
            <w:vAlign w:val="bottom"/>
          </w:tcPr>
          <w:p>
            <w:pPr>
              <w:spacing w:after="0"/>
              <w:rPr>
                <w:sz w:val="1"/>
                <w:szCs w:val="1"/>
                <w:color w:val="auto"/>
              </w:rPr>
            </w:pPr>
          </w:p>
        </w:tc>
      </w:tr>
      <w:tr>
        <w:trPr>
          <w:trHeight w:val="171"/>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agency</w:t>
            </w:r>
          </w:p>
        </w:tc>
        <w:tc>
          <w:tcPr>
            <w:tcW w:w="10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Collateralized mortgage</w:t>
            </w: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9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spacing w:after="0"/>
              <w:rPr>
                <w:sz w:val="10"/>
                <w:szCs w:val="10"/>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(969)</w:t>
            </w:r>
          </w:p>
        </w:tc>
        <w:tc>
          <w:tcPr>
            <w:tcW w:w="160" w:type="dxa"/>
            <w:vAlign w:val="bottom"/>
          </w:tcPr>
          <w:p>
            <w:pPr>
              <w:spacing w:after="0"/>
              <w:rPr>
                <w:sz w:val="10"/>
                <w:szCs w:val="10"/>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8,610</w:t>
            </w:r>
          </w:p>
        </w:tc>
        <w:tc>
          <w:tcPr>
            <w:tcW w:w="11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Pr>
          <w:p>
            <w:pPr>
              <w:spacing w:after="0"/>
              <w:rPr>
                <w:sz w:val="10"/>
                <w:szCs w:val="10"/>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(969)</w:t>
            </w:r>
          </w:p>
        </w:tc>
        <w:tc>
          <w:tcPr>
            <w:tcW w:w="22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8,610</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obligations - US agency</w:t>
            </w: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Collateralized mortgage</w:t>
            </w:r>
          </w:p>
        </w:tc>
        <w:tc>
          <w:tcPr>
            <w:tcW w:w="10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4,174</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(766)</w:t>
            </w:r>
          </w:p>
        </w:tc>
        <w:tc>
          <w:tcPr>
            <w:tcW w:w="16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19,128</w:t>
            </w:r>
          </w:p>
        </w:tc>
        <w:tc>
          <w:tcPr>
            <w:tcW w:w="1120" w:type="dxa"/>
            <w:vAlign w:val="bottom"/>
            <w:gridSpan w:val="2"/>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(796)</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23,302</w:t>
            </w:r>
          </w:p>
        </w:tc>
        <w:tc>
          <w:tcPr>
            <w:tcW w:w="0" w:type="dxa"/>
            <w:vAlign w:val="bottom"/>
          </w:tcPr>
          <w:p>
            <w:pPr>
              <w:spacing w:after="0"/>
              <w:rPr>
                <w:sz w:val="1"/>
                <w:szCs w:val="1"/>
                <w:color w:val="auto"/>
              </w:rPr>
            </w:pPr>
          </w:p>
        </w:tc>
      </w:tr>
      <w:tr>
        <w:trPr>
          <w:trHeight w:val="171"/>
        </w:trPr>
        <w:tc>
          <w:tcPr>
            <w:tcW w:w="2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obligations - Private label</w:t>
            </w:r>
          </w:p>
        </w:tc>
        <w:tc>
          <w:tcPr>
            <w:tcW w:w="104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1000" w:type="dxa"/>
            <w:vAlign w:val="bottom"/>
            <w:tcBorders>
              <w:bottom w:val="single" w:sz="8" w:color="auto"/>
            </w:tcBorders>
            <w:gridSpan w:val="2"/>
            <w:vMerge w:val="continue"/>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1120" w:type="dxa"/>
            <w:vAlign w:val="bottom"/>
            <w:tcBorders>
              <w:bottom w:val="single" w:sz="8" w:color="auto"/>
            </w:tcBorders>
            <w:gridSpan w:val="2"/>
            <w:vMerge w:val="continue"/>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Totals</w:t>
            </w:r>
          </w:p>
        </w:tc>
        <w:tc>
          <w:tcPr>
            <w:tcW w:w="10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9</w:t>
            </w:r>
          </w:p>
        </w:tc>
        <w:tc>
          <w:tcPr>
            <w:tcW w:w="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12,025</w:t>
            </w:r>
          </w:p>
        </w:tc>
        <w:tc>
          <w:tcPr>
            <w:tcW w:w="10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60</w:t>
            </w:r>
          </w:p>
        </w:tc>
        <w:tc>
          <w:tcPr>
            <w:tcW w:w="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(5,811)</w:t>
            </w:r>
          </w:p>
        </w:tc>
        <w:tc>
          <w:tcPr>
            <w:tcW w:w="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63,409</w:t>
            </w:r>
          </w:p>
        </w:tc>
        <w:tc>
          <w:tcPr>
            <w:tcW w:w="1120" w:type="dxa"/>
            <w:vAlign w:val="bottom"/>
            <w:tcBorders>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69</w:t>
            </w:r>
          </w:p>
        </w:tc>
        <w:tc>
          <w:tcPr>
            <w:tcW w:w="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(5,873)</w:t>
            </w:r>
          </w:p>
        </w:tc>
        <w:tc>
          <w:tcPr>
            <w:tcW w:w="2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75,434</w:t>
            </w: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December 31, 2025</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2320" w:type="dxa"/>
            <w:vAlign w:val="bottom"/>
            <w:tcBorders>
              <w:bottom w:val="single" w:sz="8" w:color="auto"/>
            </w:tcBorders>
            <w:gridSpan w:val="4"/>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Less than Twelve Months</w:t>
            </w: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Borders>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auto"/>
              </w:rPr>
              <w:t>Twelve Months or More</w:t>
            </w:r>
          </w:p>
        </w:tc>
        <w:tc>
          <w:tcPr>
            <w:tcW w:w="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1020" w:type="dxa"/>
            <w:vAlign w:val="bottom"/>
          </w:tcPr>
          <w:p>
            <w:pPr>
              <w:jc w:val="right"/>
              <w:ind w:right="88"/>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220" w:type="dxa"/>
            <w:vAlign w:val="bottom"/>
          </w:tcPr>
          <w:p>
            <w:pPr>
              <w:spacing w:after="0"/>
              <w:rPr>
                <w:sz w:val="10"/>
                <w:szCs w:val="10"/>
                <w:color w:val="auto"/>
              </w:rPr>
            </w:pPr>
          </w:p>
        </w:tc>
        <w:tc>
          <w:tcPr>
            <w:tcW w:w="8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ind w:right="89"/>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180" w:type="dxa"/>
            <w:vAlign w:val="bottom"/>
          </w:tcPr>
          <w:p>
            <w:pPr>
              <w:spacing w:after="0"/>
              <w:rPr>
                <w:sz w:val="10"/>
                <w:szCs w:val="10"/>
                <w:color w:val="auto"/>
              </w:rPr>
            </w:pP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Unrealized</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right"/>
              <w:ind w:right="90"/>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200" w:type="dxa"/>
            <w:vAlign w:val="bottom"/>
          </w:tcPr>
          <w:p>
            <w:pPr>
              <w:spacing w:after="0"/>
              <w:rPr>
                <w:sz w:val="10"/>
                <w:szCs w:val="10"/>
                <w:color w:val="auto"/>
              </w:rPr>
            </w:pP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Individual</w:t>
            </w: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2"/>
                <w:szCs w:val="12"/>
                <w:color w:val="auto"/>
              </w:rPr>
            </w:pPr>
          </w:p>
        </w:tc>
        <w:tc>
          <w:tcPr>
            <w:tcW w:w="980" w:type="dxa"/>
            <w:vAlign w:val="bottom"/>
          </w:tcPr>
          <w:p>
            <w:pPr>
              <w:jc w:val="right"/>
              <w:ind w:right="89"/>
              <w:spacing w:after="0" w:line="149" w:lineRule="exact"/>
              <w:rPr>
                <w:sz w:val="20"/>
                <w:szCs w:val="20"/>
                <w:color w:val="auto"/>
              </w:rPr>
            </w:pPr>
            <w:r>
              <w:rPr>
                <w:rFonts w:ascii="Times New Roman" w:cs="Times New Roman" w:eastAsia="Times New Roman" w:hAnsi="Times New Roman"/>
                <w:sz w:val="14"/>
                <w:szCs w:val="14"/>
                <w:color w:val="auto"/>
              </w:rPr>
              <w:t>Individual</w:t>
            </w: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Pr>
          <w:p>
            <w:pPr>
              <w:spacing w:after="0"/>
              <w:rPr>
                <w:sz w:val="12"/>
                <w:szCs w:val="12"/>
                <w:color w:val="auto"/>
              </w:rPr>
            </w:pPr>
          </w:p>
        </w:tc>
        <w:tc>
          <w:tcPr>
            <w:tcW w:w="960" w:type="dxa"/>
            <w:vAlign w:val="bottom"/>
          </w:tcPr>
          <w:p>
            <w:pPr>
              <w:jc w:val="right"/>
              <w:ind w:right="90"/>
              <w:spacing w:after="0" w:line="149" w:lineRule="exact"/>
              <w:rPr>
                <w:sz w:val="20"/>
                <w:szCs w:val="20"/>
                <w:color w:val="auto"/>
              </w:rPr>
            </w:pPr>
            <w:r>
              <w:rPr>
                <w:rFonts w:ascii="Times New Roman" w:cs="Times New Roman" w:eastAsia="Times New Roman" w:hAnsi="Times New Roman"/>
                <w:sz w:val="14"/>
                <w:szCs w:val="14"/>
                <w:color w:val="auto"/>
              </w:rPr>
              <w:t>Individual</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71"/>
        </w:trPr>
        <w:tc>
          <w:tcPr>
            <w:tcW w:w="216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Securities</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Losses</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Securities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Losses</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Securities</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Losses</w:t>
            </w:r>
          </w:p>
        </w:tc>
        <w:tc>
          <w:tcPr>
            <w:tcW w:w="8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Available-for-Sale Portfolio</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US Treasury, agencies and GSEs</w:t>
            </w: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17,336</w:t>
            </w:r>
          </w:p>
        </w:tc>
        <w:tc>
          <w:tcPr>
            <w:tcW w:w="1080" w:type="dxa"/>
            <w:vAlign w:val="bottom"/>
            <w:gridSpan w:val="2"/>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(2,397)</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26,573</w:t>
            </w:r>
          </w:p>
        </w:tc>
        <w:tc>
          <w:tcPr>
            <w:tcW w:w="1080" w:type="dxa"/>
            <w:vAlign w:val="bottom"/>
            <w:gridSpan w:val="2"/>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(2,460)</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43,909</w:t>
            </w:r>
          </w:p>
        </w:tc>
        <w:tc>
          <w:tcPr>
            <w:tcW w:w="0" w:type="dxa"/>
            <w:vAlign w:val="bottom"/>
          </w:tcPr>
          <w:p>
            <w:pPr>
              <w:spacing w:after="0"/>
              <w:rPr>
                <w:sz w:val="1"/>
                <w:szCs w:val="1"/>
                <w:color w:val="auto"/>
              </w:rPr>
            </w:pPr>
          </w:p>
        </w:tc>
      </w:tr>
      <w:tr>
        <w:trPr>
          <w:trHeight w:val="148"/>
        </w:trPr>
        <w:tc>
          <w:tcPr>
            <w:tcW w:w="2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State and political subdivisions</w:t>
            </w: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(1,756)</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27,811</w:t>
            </w:r>
          </w:p>
        </w:tc>
        <w:tc>
          <w:tcPr>
            <w:tcW w:w="1080" w:type="dxa"/>
            <w:vAlign w:val="bottom"/>
            <w:gridSpan w:val="2"/>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(1,756)</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27,811</w:t>
            </w: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Corporate</w:t>
            </w: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8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676</w:t>
            </w:r>
          </w:p>
        </w:tc>
        <w:tc>
          <w:tcPr>
            <w:tcW w:w="1080" w:type="dxa"/>
            <w:vAlign w:val="bottom"/>
            <w:gridSpan w:val="2"/>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22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148"/>
        </w:trPr>
        <w:tc>
          <w:tcPr>
            <w:tcW w:w="2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Asset backed securities</w:t>
            </w: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8,009</w:t>
            </w:r>
          </w:p>
        </w:tc>
        <w:tc>
          <w:tcPr>
            <w:tcW w:w="1080" w:type="dxa"/>
            <w:vAlign w:val="bottom"/>
            <w:gridSpan w:val="2"/>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5,199</w:t>
            </w:r>
          </w:p>
        </w:tc>
        <w:tc>
          <w:tcPr>
            <w:tcW w:w="1080" w:type="dxa"/>
            <w:vAlign w:val="bottom"/>
            <w:gridSpan w:val="2"/>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13,208</w:t>
            </w:r>
          </w:p>
        </w:tc>
        <w:tc>
          <w:tcPr>
            <w:tcW w:w="0" w:type="dxa"/>
            <w:vAlign w:val="bottom"/>
          </w:tcPr>
          <w:p>
            <w:pPr>
              <w:spacing w:after="0"/>
              <w:rPr>
                <w:sz w:val="1"/>
                <w:szCs w:val="1"/>
                <w:color w:val="auto"/>
              </w:rPr>
            </w:pPr>
          </w:p>
        </w:tc>
      </w:tr>
      <w:tr>
        <w:trPr>
          <w:trHeight w:val="126"/>
        </w:trPr>
        <w:tc>
          <w:tcPr>
            <w:tcW w:w="2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Residential mortgage-backed - US</w:t>
            </w: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0"/>
                <w:szCs w:val="10"/>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220" w:type="dxa"/>
            <w:vAlign w:val="bottom"/>
          </w:tcPr>
          <w:p>
            <w:pPr>
              <w:spacing w:after="0"/>
              <w:rPr>
                <w:sz w:val="10"/>
                <w:szCs w:val="10"/>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1,594</w:t>
            </w:r>
          </w:p>
        </w:tc>
        <w:tc>
          <w:tcPr>
            <w:tcW w:w="108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tcPr>
          <w:p>
            <w:pPr>
              <w:spacing w:after="0"/>
              <w:rPr>
                <w:sz w:val="10"/>
                <w:szCs w:val="10"/>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(1,011)</w:t>
            </w:r>
          </w:p>
        </w:tc>
        <w:tc>
          <w:tcPr>
            <w:tcW w:w="18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19,946</w:t>
            </w:r>
          </w:p>
        </w:tc>
        <w:tc>
          <w:tcPr>
            <w:tcW w:w="10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Pr>
          <w:p>
            <w:pPr>
              <w:spacing w:after="0"/>
              <w:rPr>
                <w:sz w:val="10"/>
                <w:szCs w:val="10"/>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(1,054)</w:t>
            </w:r>
          </w:p>
        </w:tc>
        <w:tc>
          <w:tcPr>
            <w:tcW w:w="22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21,540</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agency</w:t>
            </w: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Collateralized mortgage</w:t>
            </w:r>
          </w:p>
        </w:tc>
        <w:tc>
          <w:tcPr>
            <w:tcW w:w="10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1,653</w:t>
            </w:r>
          </w:p>
        </w:tc>
        <w:tc>
          <w:tcPr>
            <w:tcW w:w="1080" w:type="dxa"/>
            <w:vAlign w:val="bottom"/>
            <w:gridSpan w:val="2"/>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(676)</w:t>
            </w:r>
          </w:p>
        </w:tc>
        <w:tc>
          <w:tcPr>
            <w:tcW w:w="18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6,156</w:t>
            </w:r>
          </w:p>
        </w:tc>
        <w:tc>
          <w:tcPr>
            <w:tcW w:w="1080" w:type="dxa"/>
            <w:vAlign w:val="bottom"/>
            <w:gridSpan w:val="2"/>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(682)</w:t>
            </w:r>
          </w:p>
        </w:tc>
        <w:tc>
          <w:tcPr>
            <w:tcW w:w="2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7,809</w:t>
            </w:r>
          </w:p>
        </w:tc>
        <w:tc>
          <w:tcPr>
            <w:tcW w:w="0" w:type="dxa"/>
            <w:vAlign w:val="bottom"/>
          </w:tcPr>
          <w:p>
            <w:pPr>
              <w:spacing w:after="0"/>
              <w:rPr>
                <w:sz w:val="1"/>
                <w:szCs w:val="1"/>
                <w:color w:val="auto"/>
              </w:rPr>
            </w:pPr>
          </w:p>
        </w:tc>
      </w:tr>
      <w:tr>
        <w:trPr>
          <w:trHeight w:val="171"/>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obligations - US agency</w:t>
            </w:r>
          </w:p>
        </w:tc>
        <w:tc>
          <w:tcPr>
            <w:tcW w:w="10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Collateralized mortgage</w:t>
            </w: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0"/>
                <w:szCs w:val="10"/>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(72)</w:t>
            </w:r>
          </w:p>
        </w:tc>
        <w:tc>
          <w:tcPr>
            <w:tcW w:w="220" w:type="dxa"/>
            <w:vAlign w:val="bottom"/>
          </w:tcPr>
          <w:p>
            <w:pPr>
              <w:spacing w:after="0"/>
              <w:rPr>
                <w:sz w:val="10"/>
                <w:szCs w:val="10"/>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24,918</w:t>
            </w:r>
          </w:p>
        </w:tc>
        <w:tc>
          <w:tcPr>
            <w:tcW w:w="108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180" w:type="dxa"/>
            <w:vAlign w:val="bottom"/>
          </w:tcPr>
          <w:p>
            <w:pPr>
              <w:spacing w:after="0"/>
              <w:rPr>
                <w:sz w:val="10"/>
                <w:szCs w:val="10"/>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(1,549)</w:t>
            </w:r>
          </w:p>
        </w:tc>
        <w:tc>
          <w:tcPr>
            <w:tcW w:w="18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18,869</w:t>
            </w:r>
          </w:p>
        </w:tc>
        <w:tc>
          <w:tcPr>
            <w:tcW w:w="10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32</w:t>
            </w:r>
          </w:p>
        </w:tc>
        <w:tc>
          <w:tcPr>
            <w:tcW w:w="200" w:type="dxa"/>
            <w:vAlign w:val="bottom"/>
          </w:tcPr>
          <w:p>
            <w:pPr>
              <w:spacing w:after="0"/>
              <w:rPr>
                <w:sz w:val="10"/>
                <w:szCs w:val="10"/>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(1,621)</w:t>
            </w:r>
          </w:p>
        </w:tc>
        <w:tc>
          <w:tcPr>
            <w:tcW w:w="22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43,787</w:t>
            </w:r>
          </w:p>
        </w:tc>
        <w:tc>
          <w:tcPr>
            <w:tcW w:w="0" w:type="dxa"/>
            <w:vAlign w:val="bottom"/>
          </w:tcPr>
          <w:p>
            <w:pPr>
              <w:spacing w:after="0"/>
              <w:rPr>
                <w:sz w:val="1"/>
                <w:szCs w:val="1"/>
                <w:color w:val="auto"/>
              </w:rPr>
            </w:pPr>
          </w:p>
        </w:tc>
      </w:tr>
      <w:tr>
        <w:trPr>
          <w:trHeight w:val="171"/>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obligations - Private label</w:t>
            </w:r>
          </w:p>
        </w:tc>
        <w:tc>
          <w:tcPr>
            <w:tcW w:w="10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16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Totals</w:t>
            </w:r>
          </w:p>
        </w:tc>
        <w:tc>
          <w:tcPr>
            <w:tcW w:w="10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(212)</w:t>
            </w:r>
          </w:p>
        </w:tc>
        <w:tc>
          <w:tcPr>
            <w:tcW w:w="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53,510</w:t>
            </w:r>
          </w:p>
        </w:tc>
        <w:tc>
          <w:tcPr>
            <w:tcW w:w="1080" w:type="dxa"/>
            <w:vAlign w:val="bottom"/>
            <w:tcBorders>
              <w:bottom w:val="single" w:sz="8" w:color="auto"/>
            </w:tcBorders>
            <w:gridSpan w:val="2"/>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79</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(7,554)</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105,230</w:t>
            </w:r>
          </w:p>
        </w:tc>
        <w:tc>
          <w:tcPr>
            <w:tcW w:w="1080" w:type="dxa"/>
            <w:vAlign w:val="bottom"/>
            <w:tcBorders>
              <w:bottom w:val="single" w:sz="8" w:color="auto"/>
            </w:tcBorders>
            <w:gridSpan w:val="2"/>
            <w:shd w:val="clear" w:color="auto" w:fill="CFF0FC"/>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102</w:t>
            </w:r>
          </w:p>
        </w:tc>
        <w:tc>
          <w:tcPr>
            <w:tcW w:w="2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(7,766)</w:t>
            </w:r>
          </w:p>
        </w:tc>
        <w:tc>
          <w:tcPr>
            <w:tcW w:w="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158,740</w:t>
            </w:r>
          </w:p>
        </w:tc>
        <w:tc>
          <w:tcPr>
            <w:tcW w:w="0" w:type="dxa"/>
            <w:vAlign w:val="bottom"/>
          </w:tcPr>
          <w:p>
            <w:pPr>
              <w:spacing w:after="0"/>
              <w:rPr>
                <w:sz w:val="1"/>
                <w:szCs w:val="1"/>
                <w:color w:val="auto"/>
              </w:rPr>
            </w:pPr>
          </w:p>
        </w:tc>
      </w:tr>
      <w:tr>
        <w:trPr>
          <w:trHeight w:val="129"/>
        </w:trPr>
        <w:tc>
          <w:tcPr>
            <w:tcW w:w="216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rPr>
              <w:t>Held-to-Maturity Portfolio</w:t>
            </w: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US Treasury, agencies and GSE's</w:t>
            </w: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3,397</w:t>
            </w:r>
          </w:p>
        </w:tc>
        <w:tc>
          <w:tcPr>
            <w:tcW w:w="1080" w:type="dxa"/>
            <w:vAlign w:val="bottom"/>
            <w:gridSpan w:val="2"/>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3,397</w:t>
            </w: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State and political subdivisions</w:t>
            </w: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1080" w:type="dxa"/>
            <w:vAlign w:val="bottom"/>
            <w:gridSpan w:val="2"/>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8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18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11,304</w:t>
            </w:r>
          </w:p>
        </w:tc>
        <w:tc>
          <w:tcPr>
            <w:tcW w:w="1080" w:type="dxa"/>
            <w:vAlign w:val="bottom"/>
            <w:gridSpan w:val="2"/>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0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(1,241)</w:t>
            </w:r>
          </w:p>
        </w:tc>
        <w:tc>
          <w:tcPr>
            <w:tcW w:w="22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11,600</w:t>
            </w:r>
          </w:p>
        </w:tc>
        <w:tc>
          <w:tcPr>
            <w:tcW w:w="0" w:type="dxa"/>
            <w:vAlign w:val="bottom"/>
          </w:tcPr>
          <w:p>
            <w:pPr>
              <w:spacing w:after="0"/>
              <w:rPr>
                <w:sz w:val="1"/>
                <w:szCs w:val="1"/>
                <w:color w:val="auto"/>
              </w:rPr>
            </w:pPr>
          </w:p>
        </w:tc>
      </w:tr>
      <w:tr>
        <w:trPr>
          <w:trHeight w:val="149"/>
        </w:trPr>
        <w:tc>
          <w:tcPr>
            <w:tcW w:w="2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Corporate</w:t>
            </w: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(1,345)</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15,475</w:t>
            </w:r>
          </w:p>
        </w:tc>
        <w:tc>
          <w:tcPr>
            <w:tcW w:w="1080" w:type="dxa"/>
            <w:vAlign w:val="bottom"/>
            <w:gridSpan w:val="2"/>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(1,345)</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15,475</w:t>
            </w: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 backed securities</w:t>
            </w: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(874)</w:t>
            </w:r>
          </w:p>
        </w:tc>
        <w:tc>
          <w:tcPr>
            <w:tcW w:w="18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6,637</w:t>
            </w:r>
          </w:p>
        </w:tc>
        <w:tc>
          <w:tcPr>
            <w:tcW w:w="1080" w:type="dxa"/>
            <w:vAlign w:val="bottom"/>
            <w:gridSpan w:val="2"/>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0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(874)</w:t>
            </w:r>
          </w:p>
        </w:tc>
        <w:tc>
          <w:tcPr>
            <w:tcW w:w="22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6,637</w:t>
            </w:r>
          </w:p>
        </w:tc>
        <w:tc>
          <w:tcPr>
            <w:tcW w:w="0" w:type="dxa"/>
            <w:vAlign w:val="bottom"/>
          </w:tcPr>
          <w:p>
            <w:pPr>
              <w:spacing w:after="0"/>
              <w:rPr>
                <w:sz w:val="1"/>
                <w:szCs w:val="1"/>
                <w:color w:val="auto"/>
              </w:rPr>
            </w:pPr>
          </w:p>
        </w:tc>
      </w:tr>
      <w:tr>
        <w:trPr>
          <w:trHeight w:val="126"/>
        </w:trPr>
        <w:tc>
          <w:tcPr>
            <w:tcW w:w="21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Residential mortgage-backed - US</w:t>
            </w:r>
          </w:p>
        </w:tc>
        <w:tc>
          <w:tcPr>
            <w:tcW w:w="10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2,868</w:t>
            </w:r>
          </w:p>
        </w:tc>
        <w:tc>
          <w:tcPr>
            <w:tcW w:w="1080" w:type="dxa"/>
            <w:vAlign w:val="bottom"/>
            <w:gridSpan w:val="2"/>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(351)</w:t>
            </w:r>
          </w:p>
        </w:tc>
        <w:tc>
          <w:tcPr>
            <w:tcW w:w="18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3,296</w:t>
            </w:r>
          </w:p>
        </w:tc>
        <w:tc>
          <w:tcPr>
            <w:tcW w:w="1080" w:type="dxa"/>
            <w:vAlign w:val="bottom"/>
            <w:gridSpan w:val="2"/>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(371)</w:t>
            </w:r>
          </w:p>
        </w:tc>
        <w:tc>
          <w:tcPr>
            <w:tcW w:w="2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6,164</w:t>
            </w:r>
          </w:p>
        </w:tc>
        <w:tc>
          <w:tcPr>
            <w:tcW w:w="0" w:type="dxa"/>
            <w:vAlign w:val="bottom"/>
          </w:tcPr>
          <w:p>
            <w:pPr>
              <w:spacing w:after="0"/>
              <w:rPr>
                <w:sz w:val="1"/>
                <w:szCs w:val="1"/>
                <w:color w:val="auto"/>
              </w:rPr>
            </w:pPr>
          </w:p>
        </w:tc>
      </w:tr>
      <w:tr>
        <w:trPr>
          <w:trHeight w:val="171"/>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agency</w:t>
            </w:r>
          </w:p>
        </w:tc>
        <w:tc>
          <w:tcPr>
            <w:tcW w:w="10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Collateralized mortgage</w:t>
            </w: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0"/>
                <w:szCs w:val="10"/>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(913)</w:t>
            </w:r>
          </w:p>
        </w:tc>
        <w:tc>
          <w:tcPr>
            <w:tcW w:w="18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8,776</w:t>
            </w:r>
          </w:p>
        </w:tc>
        <w:tc>
          <w:tcPr>
            <w:tcW w:w="10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Pr>
          <w:p>
            <w:pPr>
              <w:spacing w:after="0"/>
              <w:rPr>
                <w:sz w:val="10"/>
                <w:szCs w:val="10"/>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(913)</w:t>
            </w:r>
          </w:p>
        </w:tc>
        <w:tc>
          <w:tcPr>
            <w:tcW w:w="22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8,776</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obligations - US agency</w:t>
            </w: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Collateralized mortgage</w:t>
            </w:r>
          </w:p>
        </w:tc>
        <w:tc>
          <w:tcPr>
            <w:tcW w:w="10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5,505</w:t>
            </w:r>
          </w:p>
        </w:tc>
        <w:tc>
          <w:tcPr>
            <w:tcW w:w="1080" w:type="dxa"/>
            <w:vAlign w:val="bottom"/>
            <w:gridSpan w:val="2"/>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(763)</w:t>
            </w:r>
          </w:p>
        </w:tc>
        <w:tc>
          <w:tcPr>
            <w:tcW w:w="18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20,011</w:t>
            </w:r>
          </w:p>
        </w:tc>
        <w:tc>
          <w:tcPr>
            <w:tcW w:w="1080" w:type="dxa"/>
            <w:vAlign w:val="bottom"/>
            <w:gridSpan w:val="2"/>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(786)</w:t>
            </w:r>
          </w:p>
        </w:tc>
        <w:tc>
          <w:tcPr>
            <w:tcW w:w="2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25,516</w:t>
            </w:r>
          </w:p>
        </w:tc>
        <w:tc>
          <w:tcPr>
            <w:tcW w:w="0" w:type="dxa"/>
            <w:vAlign w:val="bottom"/>
          </w:tcPr>
          <w:p>
            <w:pPr>
              <w:spacing w:after="0"/>
              <w:rPr>
                <w:sz w:val="1"/>
                <w:szCs w:val="1"/>
                <w:color w:val="auto"/>
              </w:rPr>
            </w:pPr>
          </w:p>
        </w:tc>
      </w:tr>
      <w:tr>
        <w:trPr>
          <w:trHeight w:val="171"/>
        </w:trPr>
        <w:tc>
          <w:tcPr>
            <w:tcW w:w="2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obligations - Private label</w:t>
            </w:r>
          </w:p>
        </w:tc>
        <w:tc>
          <w:tcPr>
            <w:tcW w:w="10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1080" w:type="dxa"/>
            <w:vAlign w:val="bottom"/>
            <w:tcBorders>
              <w:bottom w:val="single" w:sz="8" w:color="auto"/>
            </w:tcBorders>
            <w:gridSpan w:val="2"/>
            <w:vMerge w:val="continue"/>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080" w:type="dxa"/>
            <w:vAlign w:val="bottom"/>
            <w:tcBorders>
              <w:bottom w:val="single" w:sz="8" w:color="auto"/>
            </w:tcBorders>
            <w:gridSpan w:val="2"/>
            <w:vMerge w:val="continue"/>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Totals</w:t>
            </w:r>
          </w:p>
        </w:tc>
        <w:tc>
          <w:tcPr>
            <w:tcW w:w="10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8,669</w:t>
            </w:r>
          </w:p>
        </w:tc>
        <w:tc>
          <w:tcPr>
            <w:tcW w:w="1080" w:type="dxa"/>
            <w:vAlign w:val="bottom"/>
            <w:tcBorders>
              <w:bottom w:val="single" w:sz="8" w:color="auto"/>
            </w:tcBorders>
            <w:gridSpan w:val="2"/>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66</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(5,648)</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68,896</w:t>
            </w:r>
          </w:p>
        </w:tc>
        <w:tc>
          <w:tcPr>
            <w:tcW w:w="1080" w:type="dxa"/>
            <w:vAlign w:val="bottom"/>
            <w:tcBorders>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72</w:t>
            </w:r>
          </w:p>
        </w:tc>
        <w:tc>
          <w:tcPr>
            <w:tcW w:w="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(5,692)</w:t>
            </w:r>
          </w:p>
        </w:tc>
        <w:tc>
          <w:tcPr>
            <w:tcW w:w="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77,565</w:t>
            </w:r>
          </w:p>
        </w:tc>
        <w:tc>
          <w:tcPr>
            <w:tcW w:w="0" w:type="dxa"/>
            <w:vAlign w:val="bottom"/>
          </w:tcPr>
          <w:p>
            <w:pPr>
              <w:spacing w:after="0"/>
              <w:rPr>
                <w:sz w:val="1"/>
                <w:szCs w:val="1"/>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Excluding the effects of changes in the characteristics of individual debt securities that potentially give rise to credit losses, as described below, the fair market value of a debt security as of a particular measurement date is highly dependent upon prevailing market and economic environmental factors at the measurement date relative to the prevailing market and economic environmental factors present at the time the debt security was acquired. The most significant market and environmental factors include, but are not limited to (1) the general level of interest rates, (2) the relationship between shorter-term interest rates and longer-term interest rates (referred to as the “slope” or "shape" of the interest rate yield curve), (3) general bond market liquidity, (4) the recent and expected near-term volume of new issuances of similar debt securities, and (5) changes in the market values of individual loan collateral underlying mortgage-backed an asset-backed debt securities. Changes in interest rates affect the fair market values of debt securities by influencing the discount rate applied to the securities’ future expected cash flows. The higher the discount rate, the lower the resultant security fair value at the measurement date. Conversely, the lower the discount rate, the higher the resultant security fair value at the measurement date. In addition, the cumulative amount and timing of undiscounted cash flows of debt securities may also be affected by changes in interest rates. For any given level of movement in the general market and economic environmental factors described above, the magnitude of any particular debt security’s price changes will also depend heavily upon security-specific factors such as (1) the duration of the security, (2) imbedded optionality contractually granted to the issuer of the security with respect to principal prepayments, and (3) changes in the level of market premiums demanded by investors for securities with imbedded credit risk (where applicable).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3" w:name="page14"/>
    <w:bookmarkEnd w:id="13"/>
    <w:p>
      <w:pPr>
        <w:jc w:val="both"/>
        <w:spacing w:after="0" w:line="243" w:lineRule="auto"/>
        <w:rPr>
          <w:sz w:val="20"/>
          <w:szCs w:val="20"/>
          <w:color w:val="auto"/>
        </w:rPr>
      </w:pPr>
      <w:r>
        <w:rPr>
          <w:rFonts w:ascii="Times New Roman" w:cs="Times New Roman" w:eastAsia="Times New Roman" w:hAnsi="Times New Roman"/>
          <w:sz w:val="20"/>
          <w:szCs w:val="20"/>
          <w:color w:val="auto"/>
        </w:rPr>
        <w:t>When the fair value of any individual security categorized as available-for-sale ("AFS") or held-to-maturity ("HTM") is less than its amortized cost basis, an assessment is made as to whether or not a charge to current earnings for credit losses is required. In assessing potential credit losses, management also makes a quantitative determination of potential credit losses for all HTM securities even if the risk of credit loss is considered remote and uses a best estimate threshold for securities categorized as AFS. The Company considers numerous factors when determining whether a potential credit loss exists. The principal factors considered are (1) the financial condition of the issue and (guarantor, if any) any adverse conditions specifically related to the security, industry or geographic area, (2) failure of the issuer of the security to make scheduled interest or principal payments, (3) any changes to the rating of the security by a nationally recognized statistical rating organization (“NRSRO”), and (4) the presence of contractual credit enhancements, if any, including the guarantee of the federal government or any of its agencies.</w:t>
      </w:r>
    </w:p>
    <w:p>
      <w:pPr>
        <w:spacing w:after="0" w:line="2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carries all of its AFS investments at fair value with any unrealized gains or losses reported, net of income tax effects, as an adjustment to shareholders' equity and included in accumulated other comprehensive income (loss), except for the credit-related portion of debt securities’ credit losses, if any, which are charged to earnings. The Company's ability to fully realize the value of its investments in various securities, including corporate debt securities, is dependent on the underlying creditworthiness of the issuing organization. In evaluating the debt securities portfolio (both AFS and HTM) for credit losses, management considers (1) if we intend to sell the security; (2) if it is “more likely than not” we will be required to sell the security before recovery of its amortized cost basis; or (3) if the present value of expected cash flows is insufficient to recover the entire amortized cost basis.</w:t>
      </w:r>
    </w:p>
    <w:p>
      <w:pPr>
        <w:spacing w:after="0" w:line="2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portion of the investment securities portfolio, categorized as AFS, with an aggregate amortized historical cost of $208.5 million, had an aggregate fair value that was less than its aggregate amortized historical cost by $7.6 million</w:t>
      </w:r>
      <w:r>
        <w:rPr>
          <w:rFonts w:ascii="Times New Roman" w:cs="Times New Roman" w:eastAsia="Times New Roman" w:hAnsi="Times New Roman"/>
          <w:sz w:val="20"/>
          <w:szCs w:val="20"/>
          <w:color w:val="404040"/>
        </w:rPr>
        <w:t>,</w:t>
      </w:r>
      <w:r>
        <w:rPr>
          <w:rFonts w:ascii="Times New Roman" w:cs="Times New Roman" w:eastAsia="Times New Roman" w:hAnsi="Times New Roman"/>
          <w:sz w:val="20"/>
          <w:szCs w:val="20"/>
          <w:color w:val="auto"/>
        </w:rPr>
        <w:t xml:space="preserve"> decreasing 2.7%, at March 31, 2026. The AFS securities portfolio, with an aggregate amortized historical cost of $282.6 million, had an aggregate fair value that was less than its aggregate amortized historical cost by $5.8 million, or a decrease of 2.1%, at December 31, 2025. The resultant $1.8 million total improvement in the fair value of the AFS investment portfolio's aggregate fair value, relative to its aggregate amortized historical cost, in the three months ended March 31, 2026, was primarily due to changes in the interest rate environment (the general interest rate level and the relationships between shorter-term and longer-term interest rates, known as the "yield curve") that occurred in that period. These changes in aggregate fair value relative to aggregate amortized historical cost that occurred in the three months ended March 31, 2026 did not represent any changes in credit loss estimations within the portfolio.</w:t>
      </w:r>
    </w:p>
    <w:p>
      <w:pPr>
        <w:spacing w:after="0" w:line="24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portion of the investment securities portfolio, categorized as HTM, with an aggregate amortized historical cost of $122.6 million, had an aggregate fair value that was less than its aggregate amortized historical cost by $5.5 million, decreasing 4.5%, at March 31, 2026. The portion of the investment securities portfolio, categorized as HTM, with an aggregate amortized historical cost of $130.5 million, had an aggregate fair value that was less than its aggregate amortized historical cost by $5.3 million, or a decrease of 4.1%, at December 31, 2025. The resultant $230,000 improvement in the aggregate fair value of the HTM investment portfolio, relative to its aggregate amortized historical cost, during the three months ended March 31, 2026, was primarily due to changes in the interest rate environment (the general interest rate level and the relationships between shorter-term and longer-term interest rates, known as the "yield curve") that occurred in that period. These changes in aggregate fair value relative to aggregate amortized historical cost that occurred in the three months ended March 31, 2026 did not represent any changes in credit loss estimations within the portfolio. The Company does not intend to sell these securities, nor is it more likely than not that the Company will be required to sell these securities prior to the recovery of the amortized cost.</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tables represent a rollforward of the allowance for credit losses on investment securities classified as held-to-maturity for the three months ended March 31, 2026 and 2025:</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Securities Issued</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Government Issued and</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By State and</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Government Sponsored</w:t>
            </w:r>
          </w:p>
        </w:tc>
        <w:tc>
          <w:tcPr>
            <w:tcW w:w="140" w:type="dxa"/>
            <w:vAlign w:val="bottom"/>
          </w:tcPr>
          <w:p>
            <w:pPr>
              <w:spacing w:after="0"/>
              <w:rPr>
                <w:sz w:val="17"/>
                <w:szCs w:val="17"/>
                <w:color w:val="auto"/>
              </w:rPr>
            </w:pPr>
          </w:p>
        </w:tc>
        <w:tc>
          <w:tcPr>
            <w:tcW w:w="164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auto"/>
              </w:rPr>
              <w:t>Mortgage and Asset-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Political</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00" w:type="dxa"/>
            <w:vAlign w:val="bottom"/>
            <w:tcBorders>
              <w:bottom w:val="single" w:sz="8" w:color="auto"/>
            </w:tcBorders>
            <w:vMerge w:val="continue"/>
          </w:tcPr>
          <w:p>
            <w:pPr>
              <w:spacing w:after="0"/>
              <w:rPr>
                <w:sz w:val="18"/>
                <w:szCs w:val="18"/>
                <w:color w:val="auto"/>
              </w:rPr>
            </w:pPr>
          </w:p>
        </w:tc>
        <w:tc>
          <w:tcPr>
            <w:tcW w:w="180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rPr>
              <w:t>Enterprise Securities</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color w:val="auto"/>
              </w:rPr>
              <w:t>backed Securities</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Subdivisions</w:t>
            </w:r>
          </w:p>
        </w:tc>
        <w:tc>
          <w:tcPr>
            <w:tcW w:w="158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Corporate Securities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9"/>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Balance, December 31, 2025</w:t>
            </w:r>
          </w:p>
        </w:tc>
        <w:tc>
          <w:tcPr>
            <w:tcW w:w="1800" w:type="dxa"/>
            <w:vAlign w:val="bottom"/>
          </w:tcPr>
          <w:p>
            <w:pPr>
              <w:jc w:val="right"/>
              <w:ind w:right="15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3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2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03"/>
        </w:trPr>
        <w:tc>
          <w:tcPr>
            <w:tcW w:w="3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8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Allowance on purchased financial assets with</w:t>
            </w: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credit deterioration</w:t>
            </w:r>
          </w:p>
        </w:tc>
        <w:tc>
          <w:tcPr>
            <w:tcW w:w="18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Charge-offs of securities</w:t>
            </w:r>
          </w:p>
        </w:tc>
        <w:tc>
          <w:tcPr>
            <w:tcW w:w="18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Recoveries</w:t>
            </w:r>
          </w:p>
        </w:tc>
        <w:tc>
          <w:tcPr>
            <w:tcW w:w="1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3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March 31, 2026</w:t>
            </w:r>
          </w:p>
        </w:tc>
        <w:tc>
          <w:tcPr>
            <w:tcW w:w="1800" w:type="dxa"/>
            <w:vAlign w:val="bottom"/>
            <w:tcBorders>
              <w:bottom w:val="single" w:sz="8" w:color="auto"/>
            </w:tcBorders>
            <w:shd w:val="clear" w:color="auto" w:fill="CFF0FC"/>
          </w:tcPr>
          <w:p>
            <w:pPr>
              <w:jc w:val="right"/>
              <w:ind w:right="15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FF0FC"/>
          </w:tcPr>
          <w:p>
            <w:pPr>
              <w:jc w:val="right"/>
              <w:ind w:right="13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20" w:type="dxa"/>
            <w:vAlign w:val="bottom"/>
            <w:tcBorders>
              <w:bottom w:val="single" w:sz="8" w:color="auto"/>
            </w:tcBorders>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3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399"/>
        </w:trPr>
        <w:tc>
          <w:tcPr>
            <w:tcW w:w="3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Securities Issued</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80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Government Issued and</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By State and</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Government Sponsored</w:t>
            </w:r>
          </w:p>
        </w:tc>
        <w:tc>
          <w:tcPr>
            <w:tcW w:w="140" w:type="dxa"/>
            <w:vAlign w:val="bottom"/>
          </w:tcPr>
          <w:p>
            <w:pPr>
              <w:spacing w:after="0"/>
              <w:rPr>
                <w:sz w:val="17"/>
                <w:szCs w:val="17"/>
                <w:color w:val="auto"/>
              </w:rPr>
            </w:pPr>
          </w:p>
        </w:tc>
        <w:tc>
          <w:tcPr>
            <w:tcW w:w="164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Mortgage and Asset-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Political</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00" w:type="dxa"/>
            <w:vAlign w:val="bottom"/>
            <w:tcBorders>
              <w:bottom w:val="single" w:sz="8" w:color="auto"/>
            </w:tcBorders>
            <w:vMerge w:val="continue"/>
          </w:tcPr>
          <w:p>
            <w:pPr>
              <w:spacing w:after="0"/>
              <w:rPr>
                <w:sz w:val="18"/>
                <w:szCs w:val="18"/>
                <w:color w:val="auto"/>
              </w:rPr>
            </w:pPr>
          </w:p>
        </w:tc>
        <w:tc>
          <w:tcPr>
            <w:tcW w:w="1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Enterprise Securities</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color w:val="auto"/>
              </w:rPr>
              <w:t>backed Securities</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Subdivisions</w:t>
            </w:r>
          </w:p>
        </w:tc>
        <w:tc>
          <w:tcPr>
            <w:tcW w:w="158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Corporate Securities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9"/>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Balance, December 31, 2024</w:t>
            </w:r>
          </w:p>
        </w:tc>
        <w:tc>
          <w:tcPr>
            <w:tcW w:w="1800" w:type="dxa"/>
            <w:vAlign w:val="bottom"/>
          </w:tcPr>
          <w:p>
            <w:pPr>
              <w:jc w:val="right"/>
              <w:ind w:right="14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ind w:right="14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03"/>
        </w:trPr>
        <w:tc>
          <w:tcPr>
            <w:tcW w:w="3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8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Allowance on purchased financial assets with</w:t>
            </w: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credit deterioration</w:t>
            </w:r>
          </w:p>
        </w:tc>
        <w:tc>
          <w:tcPr>
            <w:tcW w:w="18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Charge-offs of securities</w:t>
            </w:r>
          </w:p>
        </w:tc>
        <w:tc>
          <w:tcPr>
            <w:tcW w:w="18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Recoveries</w:t>
            </w:r>
          </w:p>
        </w:tc>
        <w:tc>
          <w:tcPr>
            <w:tcW w:w="1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3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March 31, 2025</w:t>
            </w:r>
          </w:p>
        </w:tc>
        <w:tc>
          <w:tcPr>
            <w:tcW w:w="1800" w:type="dxa"/>
            <w:vAlign w:val="bottom"/>
            <w:tcBorders>
              <w:bottom w:val="single" w:sz="8" w:color="auto"/>
            </w:tcBorders>
            <w:shd w:val="clear" w:color="auto" w:fill="CFF0FC"/>
          </w:tcPr>
          <w:p>
            <w:pPr>
              <w:jc w:val="right"/>
              <w:ind w:right="14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shd w:val="clear" w:color="auto" w:fill="CFF0FC"/>
          </w:tcPr>
          <w:p>
            <w:pPr>
              <w:jc w:val="right"/>
              <w:ind w:right="14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20" w:type="dxa"/>
            <w:vAlign w:val="bottom"/>
            <w:tcBorders>
              <w:bottom w:val="single" w:sz="8" w:color="auto"/>
            </w:tcBorders>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3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monitors the credit quality of the debt securities categorized as HTM primarily through the use of NRSRO credit ratings. These assessments are made on a quarterly basis. The following tables summarize the amortized cost of debt securities categorized as HTM at March 31, 2026 and December 31, 2025, aggregated by credit quality indicators: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2026</w:t>
            </w:r>
          </w:p>
        </w:tc>
        <w:tc>
          <w:tcPr>
            <w:tcW w:w="8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199"/>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AAA or equivalent</w:t>
            </w:r>
          </w:p>
        </w:tc>
        <w:tc>
          <w:tcPr>
            <w:tcW w:w="100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33,180</w:t>
            </w:r>
          </w:p>
        </w:tc>
        <w:tc>
          <w:tcPr>
            <w:tcW w:w="84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36,521</w:t>
            </w:r>
          </w:p>
        </w:tc>
      </w:tr>
      <w:tr>
        <w:trPr>
          <w:trHeight w:val="18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AA or equivalent, including securities issued by the United States Government or</w:t>
            </w:r>
          </w:p>
        </w:tc>
        <w:tc>
          <w:tcPr>
            <w:tcW w:w="1000" w:type="dxa"/>
            <w:vAlign w:val="bottom"/>
            <w:shd w:val="clear" w:color="auto" w:fill="CFF0FC"/>
          </w:tcPr>
          <w:p>
            <w:pPr>
              <w:spacing w:after="0"/>
              <w:rPr>
                <w:sz w:val="16"/>
                <w:szCs w:val="16"/>
                <w:color w:val="auto"/>
              </w:rPr>
            </w:pPr>
          </w:p>
        </w:tc>
        <w:tc>
          <w:tcPr>
            <w:tcW w:w="19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100" w:type="dxa"/>
            <w:vAlign w:val="bottom"/>
            <w:shd w:val="clear" w:color="auto" w:fill="CFF0FC"/>
          </w:tcPr>
          <w:p>
            <w:pPr>
              <w:spacing w:after="0"/>
              <w:rPr>
                <w:sz w:val="16"/>
                <w:szCs w:val="16"/>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Government Sponsored Enterprises</w:t>
            </w:r>
          </w:p>
        </w:tc>
        <w:tc>
          <w:tcPr>
            <w:tcW w:w="100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34,650</w:t>
            </w:r>
          </w:p>
        </w:tc>
        <w:tc>
          <w:tcPr>
            <w:tcW w:w="840" w:type="dxa"/>
            <w:vAlign w:val="bottom"/>
            <w:shd w:val="clear" w:color="auto" w:fill="CFF0FC"/>
          </w:tcPr>
          <w:p>
            <w:pPr>
              <w:spacing w:after="0"/>
              <w:rPr>
                <w:sz w:val="18"/>
                <w:szCs w:val="18"/>
                <w:color w:val="auto"/>
              </w:rPr>
            </w:pPr>
          </w:p>
        </w:tc>
        <w:tc>
          <w:tcPr>
            <w:tcW w:w="2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32,443</w:t>
            </w:r>
          </w:p>
        </w:tc>
      </w:tr>
      <w:tr>
        <w:trPr>
          <w:trHeight w:val="203"/>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A or equivalent</w:t>
            </w:r>
          </w:p>
        </w:tc>
        <w:tc>
          <w:tcPr>
            <w:tcW w:w="10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6,979</w:t>
            </w:r>
          </w:p>
        </w:tc>
        <w:tc>
          <w:tcPr>
            <w:tcW w:w="840" w:type="dxa"/>
            <w:vAlign w:val="bottom"/>
          </w:tcPr>
          <w:p>
            <w:pPr>
              <w:spacing w:after="0"/>
              <w:rPr>
                <w:sz w:val="17"/>
                <w:szCs w:val="17"/>
                <w:color w:val="auto"/>
              </w:rPr>
            </w:pPr>
          </w:p>
        </w:tc>
        <w:tc>
          <w:tcPr>
            <w:tcW w:w="2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9,204</w:t>
            </w:r>
          </w:p>
        </w:tc>
      </w:tr>
      <w:tr>
        <w:trPr>
          <w:trHeight w:val="20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BBB or equivalent</w:t>
            </w:r>
          </w:p>
        </w:tc>
        <w:tc>
          <w:tcPr>
            <w:tcW w:w="1000" w:type="dxa"/>
            <w:vAlign w:val="bottom"/>
            <w:shd w:val="clear" w:color="auto" w:fill="CFF0FC"/>
          </w:tcPr>
          <w:p>
            <w:pPr>
              <w:spacing w:after="0"/>
              <w:rPr>
                <w:sz w:val="17"/>
                <w:szCs w:val="17"/>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5,969</w:t>
            </w:r>
          </w:p>
        </w:tc>
        <w:tc>
          <w:tcPr>
            <w:tcW w:w="840" w:type="dxa"/>
            <w:vAlign w:val="bottom"/>
            <w:shd w:val="clear" w:color="auto" w:fill="CFF0FC"/>
          </w:tcPr>
          <w:p>
            <w:pPr>
              <w:spacing w:after="0"/>
              <w:rPr>
                <w:sz w:val="17"/>
                <w:szCs w:val="17"/>
                <w:color w:val="auto"/>
              </w:rPr>
            </w:pPr>
          </w:p>
        </w:tc>
        <w:tc>
          <w:tcPr>
            <w:tcW w:w="2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7,488</w:t>
            </w:r>
          </w:p>
        </w:tc>
      </w:tr>
      <w:tr>
        <w:trPr>
          <w:trHeight w:val="203"/>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BB or equivalent</w:t>
            </w:r>
          </w:p>
        </w:tc>
        <w:tc>
          <w:tcPr>
            <w:tcW w:w="10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w:t>
            </w:r>
          </w:p>
        </w:tc>
        <w:tc>
          <w:tcPr>
            <w:tcW w:w="840" w:type="dxa"/>
            <w:vAlign w:val="bottom"/>
          </w:tcPr>
          <w:p>
            <w:pPr>
              <w:spacing w:after="0"/>
              <w:rPr>
                <w:sz w:val="17"/>
                <w:szCs w:val="17"/>
                <w:color w:val="auto"/>
              </w:rPr>
            </w:pPr>
          </w:p>
        </w:tc>
        <w:tc>
          <w:tcPr>
            <w:tcW w:w="2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1,490</w:t>
            </w:r>
          </w:p>
        </w:tc>
      </w:tr>
      <w:tr>
        <w:trPr>
          <w:trHeight w:val="203"/>
        </w:trPr>
        <w:tc>
          <w:tcPr>
            <w:tcW w:w="53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Unrated</w:t>
            </w:r>
          </w:p>
        </w:tc>
        <w:tc>
          <w:tcPr>
            <w:tcW w:w="1000" w:type="dxa"/>
            <w:vAlign w:val="bottom"/>
            <w:tcBorders>
              <w:bottom w:val="single" w:sz="8" w:color="auto"/>
            </w:tcBorders>
            <w:shd w:val="clear" w:color="auto" w:fill="CFF0FC"/>
          </w:tcPr>
          <w:p>
            <w:pPr>
              <w:spacing w:after="0"/>
              <w:rPr>
                <w:sz w:val="17"/>
                <w:szCs w:val="17"/>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40,339</w:t>
            </w:r>
          </w:p>
        </w:tc>
        <w:tc>
          <w:tcPr>
            <w:tcW w:w="840" w:type="dxa"/>
            <w:vAlign w:val="bottom"/>
            <w:tcBorders>
              <w:bottom w:val="single" w:sz="8" w:color="auto"/>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43,354</w:t>
            </w:r>
          </w:p>
        </w:tc>
      </w:tr>
      <w:tr>
        <w:trPr>
          <w:trHeight w:val="196"/>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122,608</w:t>
            </w:r>
          </w:p>
        </w:tc>
        <w:tc>
          <w:tcPr>
            <w:tcW w:w="8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130,500</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Gross realized losses on sales and redemptions of available-for-sale and held-to-maturity securities for the indicated periods are detailed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For the three months ended March 31,</w:t>
            </w:r>
          </w:p>
        </w:tc>
        <w:tc>
          <w:tcPr>
            <w:tcW w:w="800" w:type="dxa"/>
            <w:vAlign w:val="bottom"/>
            <w:tcBorders>
              <w:bottom w:val="single" w:sz="8" w:color="auto"/>
            </w:tcBorders>
          </w:tcPr>
          <w:p>
            <w:pPr>
              <w:spacing w:after="0"/>
              <w:rPr>
                <w:sz w:val="18"/>
                <w:szCs w:val="18"/>
                <w:color w:val="auto"/>
              </w:rPr>
            </w:pPr>
          </w:p>
        </w:tc>
      </w:tr>
      <w:tr>
        <w:trPr>
          <w:trHeight w:val="202"/>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2026</w:t>
            </w:r>
          </w:p>
        </w:tc>
        <w:tc>
          <w:tcPr>
            <w:tcW w:w="15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2025</w:t>
            </w:r>
          </w:p>
        </w:tc>
      </w:tr>
      <w:tr>
        <w:trPr>
          <w:trHeight w:val="196"/>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Realized gains on investments</w:t>
            </w:r>
          </w:p>
        </w:tc>
        <w:tc>
          <w:tcPr>
            <w:tcW w:w="28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12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Realized losses on investments</w:t>
            </w:r>
          </w:p>
        </w:tc>
        <w:tc>
          <w:tcPr>
            <w:tcW w:w="22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5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96"/>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net realized losses</w:t>
            </w:r>
          </w:p>
        </w:tc>
        <w:tc>
          <w:tcPr>
            <w:tcW w:w="284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560" w:type="dxa"/>
            <w:vAlign w:val="bottom"/>
            <w:tcBorders>
              <w:bottom w:val="single" w:sz="8" w:color="auto"/>
            </w:tcBorders>
          </w:tcPr>
          <w:p>
            <w:pPr>
              <w:jc w:val="right"/>
              <w:ind w:right="12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March 31, 2026 and December 31, 2025, securities with a fair value of $154.4 million and $118.3 million, respectively, were pledged to collateralize certain municipal deposit relationships. As of the same dates, securities with a fair value of $97.2 million and $121.3 million, respectively, were pledged against certain borrowing arrangements.</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Management has reviewed its loan and mortgage-backed securities portfolios and determined that, to the best of its knowledge, only minimal exposure exists to sub-prime or other high-risk residential mortgages. With limited exceptions in the Company’s investment portfolio involving the most senior tranches of securitized bonds, the Company is not in the practice of investing in, or originating, these types of investment securities.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Note 5:  Pension and Postretirement Benefits</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has a noncontributory defined benefit pension plan covering most employees. The plan provides defined benefits based on years of service and final average salary. On May 14, 2012, the Company informed its employees of its decision to freeze participation and benefit accruals under the plan, primarily to reduce some of the volatility in earnings that can accompany the maintenance of a defined benefit plan. The plan was frozen on June 30, 2012. Compensation earned by employees up to June 30, 2012 is used for purposes of calculating benefits under the plan but there are no future benefit accruals after this date. Participants as of June 30, 2012 will continue to earn vesting credit with respect to their frozen accrued benefits as they continue to work. In addition, the Company provides certain health and life insurance benefits for a limited number of eligible retired employees. The healthcare plan is contributory with participants’ contributions adjusted annually; the life insurance plan is noncontributory. Employees with less than 14 years of service as of January 1, 1995 are not eligible for the health and life insurance retirement benefits.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composition of net periodic pension plan and postretirement plan costs for the indicated periods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right"/>
              <w:ind w:right="999"/>
              <w:spacing w:after="0"/>
              <w:rPr>
                <w:sz w:val="20"/>
                <w:szCs w:val="20"/>
                <w:color w:val="auto"/>
              </w:rPr>
            </w:pPr>
            <w:r>
              <w:rPr>
                <w:rFonts w:ascii="Times New Roman" w:cs="Times New Roman" w:eastAsia="Times New Roman" w:hAnsi="Times New Roman"/>
                <w:sz w:val="16"/>
                <w:szCs w:val="16"/>
                <w:color w:val="auto"/>
              </w:rPr>
              <w:t>Pension Benefits</w:t>
            </w:r>
          </w:p>
        </w:tc>
        <w:tc>
          <w:tcPr>
            <w:tcW w:w="5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Postretirement Benefits</w:t>
            </w: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99"/>
        </w:trPr>
        <w:tc>
          <w:tcPr>
            <w:tcW w:w="3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For the three months ended March 31,</w:t>
            </w: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2026</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2025</w:t>
            </w: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2026</w:t>
            </w: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Borders>
              <w:bottom w:val="single" w:sz="8" w:color="auto"/>
            </w:tcBorders>
          </w:tcPr>
          <w:p>
            <w:pPr>
              <w:spacing w:after="0"/>
              <w:rPr>
                <w:sz w:val="17"/>
                <w:szCs w:val="17"/>
                <w:color w:val="auto"/>
              </w:rPr>
            </w:pPr>
          </w:p>
        </w:tc>
      </w:tr>
      <w:tr>
        <w:trPr>
          <w:trHeight w:val="19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16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141</w:t>
            </w:r>
          </w:p>
        </w:tc>
        <w:tc>
          <w:tcPr>
            <w:tcW w:w="300" w:type="dxa"/>
            <w:vAlign w:val="bottom"/>
          </w:tcPr>
          <w:p>
            <w:pPr>
              <w:spacing w:after="0"/>
              <w:rPr>
                <w:sz w:val="17"/>
                <w:szCs w:val="17"/>
                <w:color w:val="auto"/>
              </w:rPr>
            </w:pP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144</w:t>
            </w:r>
          </w:p>
        </w:tc>
        <w:tc>
          <w:tcPr>
            <w:tcW w:w="52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960" w:type="dxa"/>
            <w:vAlign w:val="bottom"/>
          </w:tcPr>
          <w:p>
            <w:pPr>
              <w:spacing w:after="0"/>
              <w:rPr>
                <w:sz w:val="17"/>
                <w:szCs w:val="17"/>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r>
      <w:tr>
        <w:trPr>
          <w:trHeight w:val="20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(274)</w:t>
            </w: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(256)</w:t>
            </w:r>
          </w:p>
        </w:tc>
        <w:tc>
          <w:tcPr>
            <w:tcW w:w="5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prior service credits</w:t>
            </w: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r>
      <w:tr>
        <w:trPr>
          <w:trHeight w:val="203"/>
        </w:trPr>
        <w:tc>
          <w:tcPr>
            <w:tcW w:w="36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net losses (gains)</w:t>
            </w:r>
          </w:p>
        </w:tc>
        <w:tc>
          <w:tcPr>
            <w:tcW w:w="11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35</w:t>
            </w:r>
          </w:p>
        </w:tc>
        <w:tc>
          <w:tcPr>
            <w:tcW w:w="5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auto"/>
            </w:tcBorders>
            <w:shd w:val="clear" w:color="auto" w:fill="CFF0FC"/>
          </w:tcPr>
          <w:p>
            <w:pPr>
              <w:spacing w:after="0"/>
              <w:rPr>
                <w:sz w:val="17"/>
                <w:szCs w:val="17"/>
                <w:color w:val="auto"/>
              </w:rPr>
            </w:pPr>
          </w:p>
        </w:tc>
      </w:tr>
      <w:tr>
        <w:trPr>
          <w:trHeight w:val="196"/>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periodic benefit plan (benefit) cost</w:t>
            </w:r>
          </w:p>
        </w:tc>
        <w:tc>
          <w:tcPr>
            <w:tcW w:w="16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(133)</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(77)</w:t>
            </w:r>
          </w:p>
        </w:tc>
        <w:tc>
          <w:tcPr>
            <w:tcW w:w="5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9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will evaluate the need for further contributions to the defined benefit pension plan during 2026. The prepaid pension asset of $9.3 million and $9.2 million as of March 31, 2026 and December 31, 2025 respectively, is recorded in other assets on the consolidated statements of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Loans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Major classifications of loans at the indicated dates are as follows: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7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March 31, 2026</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19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27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0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1-4 family first-lien residential mortgages</w:t>
            </w:r>
          </w:p>
        </w:tc>
        <w:tc>
          <w:tcPr>
            <w:tcW w:w="27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234,027</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239,692</w:t>
            </w:r>
          </w:p>
        </w:tc>
      </w:tr>
      <w:tr>
        <w:trPr>
          <w:trHeight w:val="203"/>
        </w:trPr>
        <w:tc>
          <w:tcPr>
            <w:tcW w:w="520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Construction</w:t>
            </w:r>
          </w:p>
        </w:tc>
        <w:tc>
          <w:tcPr>
            <w:tcW w:w="27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1,259</w:t>
            </w:r>
          </w:p>
        </w:tc>
        <w:tc>
          <w:tcPr>
            <w:tcW w:w="28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2,039</w:t>
            </w:r>
          </w:p>
        </w:tc>
      </w:tr>
      <w:tr>
        <w:trPr>
          <w:trHeight w:val="196"/>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27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235,286</w:t>
            </w: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241,731</w:t>
            </w:r>
          </w:p>
        </w:tc>
      </w:tr>
      <w:tr>
        <w:trPr>
          <w:trHeight w:val="19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loans:</w:t>
            </w:r>
          </w:p>
        </w:tc>
        <w:tc>
          <w:tcPr>
            <w:tcW w:w="27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0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Real estate</w:t>
            </w:r>
          </w:p>
        </w:tc>
        <w:tc>
          <w:tcPr>
            <w:tcW w:w="276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384,739</w:t>
            </w:r>
          </w:p>
        </w:tc>
        <w:tc>
          <w:tcPr>
            <w:tcW w:w="28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380,311</w:t>
            </w:r>
          </w:p>
        </w:tc>
      </w:tr>
      <w:tr>
        <w:trPr>
          <w:trHeight w:val="203"/>
        </w:trPr>
        <w:tc>
          <w:tcPr>
            <w:tcW w:w="5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Lines of credit</w:t>
            </w:r>
          </w:p>
        </w:tc>
        <w:tc>
          <w:tcPr>
            <w:tcW w:w="27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80,238</w:t>
            </w:r>
          </w:p>
        </w:tc>
        <w:tc>
          <w:tcPr>
            <w:tcW w:w="28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75,371</w:t>
            </w:r>
          </w:p>
        </w:tc>
      </w:tr>
      <w:tr>
        <w:trPr>
          <w:trHeight w:val="20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commercial and industrial</w:t>
            </w:r>
          </w:p>
        </w:tc>
        <w:tc>
          <w:tcPr>
            <w:tcW w:w="276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77,863</w:t>
            </w:r>
          </w:p>
        </w:tc>
        <w:tc>
          <w:tcPr>
            <w:tcW w:w="28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81,210</w:t>
            </w:r>
          </w:p>
        </w:tc>
      </w:tr>
      <w:tr>
        <w:trPr>
          <w:trHeight w:val="203"/>
        </w:trPr>
        <w:tc>
          <w:tcPr>
            <w:tcW w:w="5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Paycheck Protection Program loans</w:t>
            </w:r>
          </w:p>
        </w:tc>
        <w:tc>
          <w:tcPr>
            <w:tcW w:w="27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49</w:t>
            </w:r>
          </w:p>
        </w:tc>
        <w:tc>
          <w:tcPr>
            <w:tcW w:w="28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r>
      <w:tr>
        <w:trPr>
          <w:trHeight w:val="203"/>
        </w:trPr>
        <w:tc>
          <w:tcPr>
            <w:tcW w:w="5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Tax exempt loans</w:t>
            </w:r>
          </w:p>
        </w:tc>
        <w:tc>
          <w:tcPr>
            <w:tcW w:w="27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6,581</w:t>
            </w: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6,716</w:t>
            </w:r>
          </w:p>
        </w:tc>
      </w:tr>
      <w:tr>
        <w:trPr>
          <w:trHeight w:val="196"/>
        </w:trPr>
        <w:tc>
          <w:tcPr>
            <w:tcW w:w="5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commercial loans</w:t>
            </w:r>
          </w:p>
        </w:tc>
        <w:tc>
          <w:tcPr>
            <w:tcW w:w="27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549,470</w:t>
            </w:r>
          </w:p>
        </w:tc>
        <w:tc>
          <w:tcPr>
            <w:tcW w:w="28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543,671</w:t>
            </w:r>
          </w:p>
        </w:tc>
      </w:tr>
      <w:tr>
        <w:trPr>
          <w:trHeight w:val="196"/>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Consumer loans:</w:t>
            </w:r>
          </w:p>
        </w:tc>
        <w:tc>
          <w:tcPr>
            <w:tcW w:w="27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Home equity and junior liens</w:t>
            </w:r>
          </w:p>
        </w:tc>
        <w:tc>
          <w:tcPr>
            <w:tcW w:w="27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51,442</w:t>
            </w:r>
          </w:p>
        </w:tc>
        <w:tc>
          <w:tcPr>
            <w:tcW w:w="28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49,783</w:t>
            </w:r>
          </w:p>
        </w:tc>
      </w:tr>
      <w:tr>
        <w:trPr>
          <w:trHeight w:val="203"/>
        </w:trPr>
        <w:tc>
          <w:tcPr>
            <w:tcW w:w="5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 consumer</w:t>
            </w:r>
          </w:p>
        </w:tc>
        <w:tc>
          <w:tcPr>
            <w:tcW w:w="27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60,278</w:t>
            </w: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62,825</w:t>
            </w:r>
          </w:p>
        </w:tc>
      </w:tr>
      <w:tr>
        <w:trPr>
          <w:trHeight w:val="196"/>
        </w:trPr>
        <w:tc>
          <w:tcPr>
            <w:tcW w:w="5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consumer loans</w:t>
            </w:r>
          </w:p>
        </w:tc>
        <w:tc>
          <w:tcPr>
            <w:tcW w:w="27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111,720</w:t>
            </w:r>
          </w:p>
        </w:tc>
        <w:tc>
          <w:tcPr>
            <w:tcW w:w="28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112,608</w:t>
            </w:r>
          </w:p>
        </w:tc>
      </w:tr>
      <w:tr>
        <w:trPr>
          <w:trHeight w:val="196"/>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Subtotal loans</w:t>
            </w:r>
          </w:p>
        </w:tc>
        <w:tc>
          <w:tcPr>
            <w:tcW w:w="276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896,476</w:t>
            </w:r>
          </w:p>
        </w:tc>
        <w:tc>
          <w:tcPr>
            <w:tcW w:w="28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898,010</w:t>
            </w:r>
          </w:p>
        </w:tc>
      </w:tr>
      <w:tr>
        <w:trPr>
          <w:trHeight w:val="203"/>
        </w:trPr>
        <w:tc>
          <w:tcPr>
            <w:tcW w:w="520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deferred loan fees</w:t>
            </w:r>
          </w:p>
        </w:tc>
        <w:tc>
          <w:tcPr>
            <w:tcW w:w="27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28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(1,340)</w:t>
            </w:r>
          </w:p>
        </w:tc>
      </w:tr>
      <w:tr>
        <w:trPr>
          <w:trHeight w:val="196"/>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Loans, net of deferred fees</w:t>
            </w:r>
          </w:p>
        </w:tc>
        <w:tc>
          <w:tcPr>
            <w:tcW w:w="27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895,202</w:t>
            </w: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896,670</w:t>
            </w:r>
          </w:p>
        </w:tc>
      </w:tr>
      <w:tr>
        <w:trPr>
          <w:trHeight w:val="196"/>
        </w:trPr>
        <w:tc>
          <w:tcPr>
            <w:tcW w:w="520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27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28,966</w:t>
            </w:r>
          </w:p>
        </w:tc>
        <w:tc>
          <w:tcPr>
            <w:tcW w:w="28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29,436</w:t>
            </w:r>
          </w:p>
        </w:tc>
      </w:tr>
      <w:tr>
        <w:trPr>
          <w:trHeight w:val="196"/>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Loans receivable, net</w:t>
            </w:r>
          </w:p>
        </w:tc>
        <w:tc>
          <w:tcPr>
            <w:tcW w:w="2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866,236</w:t>
            </w:r>
          </w:p>
        </w:tc>
        <w:tc>
          <w:tcPr>
            <w:tcW w:w="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867,234</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6" w:name="page17"/>
    <w:bookmarkEnd w:id="16"/>
    <w:p>
      <w:pPr>
        <w:jc w:val="both"/>
        <w:spacing w:after="0" w:line="249" w:lineRule="auto"/>
        <w:rPr>
          <w:sz w:val="20"/>
          <w:szCs w:val="20"/>
          <w:color w:val="auto"/>
        </w:rPr>
      </w:pPr>
      <w:r>
        <w:rPr>
          <w:rFonts w:ascii="Times New Roman" w:cs="Times New Roman" w:eastAsia="Times New Roman" w:hAnsi="Times New Roman"/>
          <w:sz w:val="20"/>
          <w:szCs w:val="20"/>
          <w:color w:val="auto"/>
        </w:rPr>
        <w:t>Although the Bank may sometimes purchase or fund loan participation interests outside of its primary market areas, the Bank generally originates residential mortgage, commercial, and consumer loans largely to customers throughout Oswego and Onondaga counties. Although the Bank has a diversified loan portfolio, a substantial portion of its borrowers’ abilities to honor their loan contracts is dependent upon the counties’ employment and economic conditions.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Periodically, the Bank acquires diversified pools of loans and participation interests in credit facilities, originated by unrelated third parties, as part of the Company’s overall balance sheet management strategies. During the first quarter of 2026, the Company acquired a participation interest in a revolving commercial line of credit. The following tables detail the purchased loan positions held by the Bank at March 31, 2026 and December 31, 2025. The date of earliest acquisition is depicted within the tables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 except number of loans)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tcPr>
          <w:p>
            <w:pPr>
              <w:jc w:val="right"/>
              <w:ind w:right="679"/>
              <w:spacing w:after="0"/>
              <w:rPr>
                <w:sz w:val="20"/>
                <w:szCs w:val="20"/>
                <w:color w:val="auto"/>
              </w:rPr>
            </w:pPr>
            <w:r>
              <w:rPr>
                <w:rFonts w:ascii="Times New Roman" w:cs="Times New Roman" w:eastAsia="Times New Roman" w:hAnsi="Times New Roman"/>
                <w:sz w:val="16"/>
                <w:szCs w:val="16"/>
                <w:color w:val="auto"/>
              </w:rPr>
              <w:t>March 31, 2026</w:t>
            </w: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85"/>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Unamortized</w:t>
            </w:r>
          </w:p>
        </w:tc>
        <w:tc>
          <w:tcPr>
            <w:tcW w:w="10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Maturity</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Original</w:t>
            </w:r>
          </w:p>
        </w:tc>
        <w:tc>
          <w:tcPr>
            <w:tcW w:w="260" w:type="dxa"/>
            <w:vAlign w:val="bottom"/>
          </w:tcPr>
          <w:p>
            <w:pPr>
              <w:spacing w:after="0"/>
              <w:rPr>
                <w:sz w:val="17"/>
                <w:szCs w:val="17"/>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Current</w:t>
            </w:r>
          </w:p>
        </w:tc>
        <w:tc>
          <w:tcPr>
            <w:tcW w:w="240" w:type="dxa"/>
            <w:vAlign w:val="bottom"/>
          </w:tcPr>
          <w:p>
            <w:pPr>
              <w:spacing w:after="0"/>
              <w:rPr>
                <w:sz w:val="17"/>
                <w:szCs w:val="17"/>
                <w:color w:val="auto"/>
              </w:rPr>
            </w:pPr>
          </w:p>
        </w:tc>
        <w:tc>
          <w:tcPr>
            <w:tcW w:w="104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Premium/</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Number of</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Range (in</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Cumulative net</w:t>
            </w:r>
          </w:p>
        </w:tc>
      </w:tr>
      <w:tr>
        <w:trPr>
          <w:trHeight w:val="213"/>
        </w:trPr>
        <w:tc>
          <w:tcPr>
            <w:tcW w:w="4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Balance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Balance</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color w:val="auto"/>
              </w:rPr>
              <w:t>(Discount)</w:t>
            </w:r>
          </w:p>
        </w:tc>
        <w:tc>
          <w:tcPr>
            <w:tcW w:w="10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Loans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charge-offs</w:t>
            </w:r>
          </w:p>
        </w:tc>
      </w:tr>
      <w:tr>
        <w:trPr>
          <w:trHeight w:val="19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and industrial loans (6/2019)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6,800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600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Home equity lines of credit (8/2019)</w:t>
            </w: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21,900</w:t>
            </w:r>
          </w:p>
        </w:tc>
        <w:tc>
          <w:tcPr>
            <w:tcW w:w="2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2,600</w:t>
            </w:r>
          </w:p>
        </w:tc>
        <w:tc>
          <w:tcPr>
            <w:tcW w:w="24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w:t>
            </w:r>
          </w:p>
        </w:tc>
      </w:tr>
      <w:tr>
        <w:trPr>
          <w:trHeight w:val="20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Residential real estate loans (12/2019)</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4,300</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3,800</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256</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51</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Unsecured consumer loan pool 1 (12/2019)</w:t>
            </w: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5,400</w:t>
            </w:r>
          </w:p>
        </w:tc>
        <w:tc>
          <w:tcPr>
            <w:tcW w:w="2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Unsecured consumer installment loans pool 3 (12/2019)</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10,300</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145</w:t>
            </w: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Secured consumer installment loans pool 4 (12/2020)</w:t>
            </w: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14,500</w:t>
            </w:r>
          </w:p>
        </w:tc>
        <w:tc>
          <w:tcPr>
            <w:tcW w:w="2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7,900</w:t>
            </w:r>
          </w:p>
        </w:tc>
        <w:tc>
          <w:tcPr>
            <w:tcW w:w="24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(1,154)</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448</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1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r>
      <w:tr>
        <w:trPr>
          <w:trHeight w:val="203"/>
        </w:trPr>
        <w:tc>
          <w:tcPr>
            <w:tcW w:w="450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Unsecured consumer loans pool 5 (1/2021) </w:t>
            </w:r>
            <w:r>
              <w:rPr>
                <w:rFonts w:ascii="Times New Roman" w:cs="Times New Roman" w:eastAsia="Times New Roman" w:hAnsi="Times New Roman"/>
                <w:sz w:val="21"/>
                <w:szCs w:val="21"/>
                <w:color w:val="auto"/>
                <w:vertAlign w:val="superscript"/>
              </w:rPr>
              <w:t>1</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24,400</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10,500</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(300)</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547</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1,410</w:t>
            </w: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Secured consumer installment loans (11/2021)</w:t>
            </w: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21,300</w:t>
            </w:r>
          </w:p>
        </w:tc>
        <w:tc>
          <w:tcPr>
            <w:tcW w:w="2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14,300</w:t>
            </w:r>
          </w:p>
        </w:tc>
        <w:tc>
          <w:tcPr>
            <w:tcW w:w="24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(2,481)</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766</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936</w:t>
            </w:r>
          </w:p>
        </w:tc>
      </w:tr>
      <w:tr>
        <w:trPr>
          <w:trHeight w:val="203"/>
        </w:trPr>
        <w:tc>
          <w:tcPr>
            <w:tcW w:w="450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Unsecured consumer loans pool 6 (11/2021) </w:t>
            </w:r>
            <w:r>
              <w:rPr>
                <w:rFonts w:ascii="Times New Roman" w:cs="Times New Roman" w:eastAsia="Times New Roman" w:hAnsi="Times New Roman"/>
                <w:sz w:val="21"/>
                <w:szCs w:val="21"/>
                <w:color w:val="auto"/>
                <w:vertAlign w:val="superscript"/>
              </w:rPr>
              <w:t>1</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22,200</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13,300</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(1,786)</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485</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1,616</w:t>
            </w: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Revolving commercial line of credit 1 (7/2024)</w:t>
            </w: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1,050</w:t>
            </w:r>
          </w:p>
        </w:tc>
        <w:tc>
          <w:tcPr>
            <w:tcW w:w="2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13,900</w:t>
            </w:r>
          </w:p>
        </w:tc>
        <w:tc>
          <w:tcPr>
            <w:tcW w:w="24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17</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Revolving commercial line of credit 2 (3/2026)</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5,000</w:t>
            </w:r>
          </w:p>
        </w:tc>
        <w:tc>
          <w:tcPr>
            <w:tcW w:w="2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w:t>
            </w: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137,150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71,985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(5,436)</w:t>
            </w: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2,435</w:t>
            </w: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4,318</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82"/>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 except number of loans)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December 31, 2025</w:t>
            </w: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85"/>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Unamortized</w:t>
            </w:r>
          </w:p>
        </w:tc>
        <w:tc>
          <w:tcPr>
            <w:tcW w:w="10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Maturity</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Original</w:t>
            </w:r>
          </w:p>
        </w:tc>
        <w:tc>
          <w:tcPr>
            <w:tcW w:w="260" w:type="dxa"/>
            <w:vAlign w:val="bottom"/>
          </w:tcPr>
          <w:p>
            <w:pPr>
              <w:spacing w:after="0"/>
              <w:rPr>
                <w:sz w:val="17"/>
                <w:szCs w:val="17"/>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Current</w:t>
            </w:r>
          </w:p>
        </w:tc>
        <w:tc>
          <w:tcPr>
            <w:tcW w:w="240" w:type="dxa"/>
            <w:vAlign w:val="bottom"/>
          </w:tcPr>
          <w:p>
            <w:pPr>
              <w:spacing w:after="0"/>
              <w:rPr>
                <w:sz w:val="17"/>
                <w:szCs w:val="17"/>
                <w:color w:val="auto"/>
              </w:rPr>
            </w:pPr>
          </w:p>
        </w:tc>
        <w:tc>
          <w:tcPr>
            <w:tcW w:w="104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Premium/</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Number of</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Range (in</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Cumulative net</w:t>
            </w:r>
          </w:p>
        </w:tc>
      </w:tr>
      <w:tr>
        <w:trPr>
          <w:trHeight w:val="210"/>
        </w:trPr>
        <w:tc>
          <w:tcPr>
            <w:tcW w:w="4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Balance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Balance</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color w:val="auto"/>
              </w:rPr>
              <w:t>(Discount)</w:t>
            </w:r>
          </w:p>
        </w:tc>
        <w:tc>
          <w:tcPr>
            <w:tcW w:w="10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Loans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charge-offs</w:t>
            </w:r>
          </w:p>
        </w:tc>
      </w:tr>
      <w:tr>
        <w:trPr>
          <w:trHeight w:val="202"/>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Commercial and industrial loans (6/2019)</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6,800</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Home equity lines of credit (8/2019)</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21,900</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2,700</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Residential real estate loans (12/2019)</w:t>
            </w: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4,300</w:t>
            </w:r>
          </w:p>
        </w:tc>
        <w:tc>
          <w:tcPr>
            <w:tcW w:w="2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3,900</w:t>
            </w:r>
          </w:p>
        </w:tc>
        <w:tc>
          <w:tcPr>
            <w:tcW w:w="24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266</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Unsecured consumer loan pool 1 (12/2019)</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5,400</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Unsecured consumer installment loans pool 3 (12/2019)</w:t>
            </w: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10,300</w:t>
            </w:r>
          </w:p>
        </w:tc>
        <w:tc>
          <w:tcPr>
            <w:tcW w:w="2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w:t>
            </w:r>
          </w:p>
        </w:tc>
      </w:tr>
      <w:tr>
        <w:trPr>
          <w:trHeight w:val="20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Secured consumer installment loans pool 4 (12/2020)</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14,500</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8,100</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(1,189)</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452</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r>
      <w:tr>
        <w:trPr>
          <w:trHeight w:val="203"/>
        </w:trPr>
        <w:tc>
          <w:tcPr>
            <w:tcW w:w="450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Unsecured consumer loans pool 5 (1/2021)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24,400</w:t>
            </w:r>
          </w:p>
        </w:tc>
        <w:tc>
          <w:tcPr>
            <w:tcW w:w="2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10,800</w:t>
            </w:r>
          </w:p>
        </w:tc>
        <w:tc>
          <w:tcPr>
            <w:tcW w:w="24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(313)</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552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1,361</w:t>
            </w:r>
          </w:p>
        </w:tc>
      </w:tr>
      <w:tr>
        <w:trPr>
          <w:trHeight w:val="20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Secured consumer installment loans (11/2021)</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21,300</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14,700</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(2,537)</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771</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803</w:t>
            </w:r>
          </w:p>
        </w:tc>
      </w:tr>
      <w:tr>
        <w:trPr>
          <w:trHeight w:val="203"/>
        </w:trPr>
        <w:tc>
          <w:tcPr>
            <w:tcW w:w="450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Unsecured consumer loans pool 6 (11/2021)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22,200</w:t>
            </w:r>
          </w:p>
        </w:tc>
        <w:tc>
          <w:tcPr>
            <w:tcW w:w="2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13,500</w:t>
            </w:r>
          </w:p>
        </w:tc>
        <w:tc>
          <w:tcPr>
            <w:tcW w:w="24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(1,822)</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1,573</w:t>
            </w:r>
          </w:p>
        </w:tc>
      </w:tr>
      <w:tr>
        <w:trPr>
          <w:trHeight w:val="203"/>
        </w:trPr>
        <w:tc>
          <w:tcPr>
            <w:tcW w:w="45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Revolving commercial line of credit 1 (7/2024)</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1,050</w:t>
            </w: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14,000</w:t>
            </w:r>
          </w:p>
        </w:tc>
        <w:tc>
          <w:tcPr>
            <w:tcW w:w="2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19</w:t>
            </w: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132,150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68,545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(5,573)</w:t>
            </w: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2,467</w:t>
            </w: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3,976</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jc w:val="both"/>
        <w:ind w:firstLine="8"/>
        <w:spacing w:after="0" w:line="270" w:lineRule="auto"/>
        <w:tabs>
          <w:tab w:leader="none" w:pos="81"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On December 7, 2023, the Bank settled two pay-fixed interest rate swap derivative contracts, previously established with an unaffiliated third party and designated as fair value interest rate hedges. The hedging swap contracts were related to two purchased consumer installment loan pools comprised of loans secured by residential home solar power infrastructure. These contracts were entered into on February 13, 2021 (notional amount of $12.2 million) and December 8, 2021 (notional amount of $8.5 million). The Bank realized gains related to the settlement of these two hedging contracts were $117,000 and $694,000, respectively. These gains on the extinguishments of the hedging swap contracts are reported as a reduction of the carrying value of the hedged loan pools and will be recognized as an enhancement to the reported yield on those loan pools over the original contractual life of the hedging swap contracts. The unamortized portion of these gains totaled $594,000 at March 31, 2026.</w:t>
      </w:r>
    </w:p>
    <w:p>
      <w:pPr>
        <w:spacing w:after="0" w:line="180" w:lineRule="exact"/>
        <w:rPr>
          <w:rFonts w:ascii="Times New Roman" w:cs="Times New Roman" w:eastAsia="Times New Roman" w:hAnsi="Times New Roman"/>
          <w:sz w:val="21"/>
          <w:szCs w:val="21"/>
          <w:color w:val="auto"/>
          <w:vertAlign w:val="superscript"/>
        </w:rPr>
      </w:pPr>
    </w:p>
    <w:p>
      <w:pPr>
        <w:ind w:left="5540" w:hanging="111"/>
        <w:spacing w:after="0"/>
        <w:tabs>
          <w:tab w:leader="none" w:pos="5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17 </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color w:val="auto"/>
        </w:rPr>
        <w:t>At March 31, 2026 and December 31, 2025, the ACL related to the purchased loan pools were $2.4 million and $2.8 million, respectively.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March 31, 2026, the Company had $108.9 million in residential and commercial real estate mortgage loans pledged to the Federal Home Loan Bank of New York (“FHLB-NY”), and $9.6 million in home equity loans pledged to the Federal Reserve Bank of New York (“FRB-NY”).</w:t>
      </w:r>
    </w:p>
    <w:p>
      <w:pPr>
        <w:spacing w:after="0" w:line="18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December 31, 2025, the Company had $108.4 million in residential and commercial real estate mortgage loans pledged to the FHLB-NY, and $9.9 million in home equity loans pledged to FRB-NY.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Loan Origination / Risk Management</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Company’s lending policies and procedures are presented in Note 5 to the audited consolidated financial statements included in the 2025 Annual Report on Form 10-K filed with the Securities and Exchange Commission on March 31, 2026 and have not changed. As part of the execution of the Company’s overall balance sheet management strategies, the Bank will acquire participating interests in loans originated by unrelated third parties on an occasional basis. The purchase of participations in loans that are originated by third parties only occurs after the completion of thorough pre-acquisition due diligence. Loans in which the Company acquires a participating interest are determined to meet, in all material respects, the Company’s internal underwriting policies, including credit and collateral suitability thresholds, prior to acquisition. In addition, the financial condition of the originating financial institutions, which are generally retained as the ongoing loan servicing provider for participations acquired by the Bank, are analyzed prior to the acquisition of the participating interests and monitored on a regular basis thereafter for the life of those interests.</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To develop and document a systematic methodology for determining the allowance for credit losses, the Company has divided the loan portfolio into three portfolio segments, each with different risk characteristics but with similar methodologies for assessing risk. Each portfolio segment is broken down into loan classes where appropriate. Loan classes contain unique measurement attributes, risk characteristics, and methods for monitoring and assessing risk that are necessary to develop the allowance for credit losses. Unique characteristics such as borrower type, loan type, collateral type, and risk characteristics define each class.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illustrates the portfolio segments and classes for the Company’s loan portfolio:</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0" w:type="dxa"/>
            <w:vAlign w:val="bottom"/>
            <w:tcBorders>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20"/>
                <w:szCs w:val="20"/>
                <w:b w:val="1"/>
                <w:bCs w:val="1"/>
                <w:color w:val="auto"/>
                <w:w w:val="97"/>
              </w:rPr>
              <w:t>Portfolio Segment</w:t>
            </w:r>
          </w:p>
        </w:tc>
        <w:tc>
          <w:tcPr>
            <w:tcW w:w="3120" w:type="dxa"/>
            <w:vAlign w:val="bottom"/>
            <w:tcBorders>
              <w:top w:val="single" w:sz="8" w:color="auto"/>
            </w:tcBorders>
          </w:tcPr>
          <w:p>
            <w:pPr>
              <w:spacing w:after="0"/>
              <w:rPr>
                <w:sz w:val="17"/>
                <w:szCs w:val="17"/>
                <w:color w:val="auto"/>
              </w:rPr>
            </w:pPr>
          </w:p>
        </w:tc>
        <w:tc>
          <w:tcPr>
            <w:tcW w:w="6360" w:type="dxa"/>
            <w:vAlign w:val="bottom"/>
            <w:tcBorders>
              <w:top w:val="single" w:sz="8" w:color="auto"/>
              <w:right w:val="single" w:sz="8" w:color="auto"/>
            </w:tcBorders>
            <w:gridSpan w:val="2"/>
          </w:tcPr>
          <w:p>
            <w:pPr>
              <w:spacing w:after="0" w:line="203" w:lineRule="exact"/>
              <w:rPr>
                <w:sz w:val="20"/>
                <w:szCs w:val="20"/>
                <w:color w:val="auto"/>
              </w:rPr>
            </w:pPr>
            <w:r>
              <w:rPr>
                <w:rFonts w:ascii="Times New Roman" w:cs="Times New Roman" w:eastAsia="Times New Roman" w:hAnsi="Times New Roman"/>
                <w:sz w:val="20"/>
                <w:szCs w:val="20"/>
                <w:b w:val="1"/>
                <w:bCs w:val="1"/>
                <w:color w:val="auto"/>
              </w:rPr>
              <w:t>Class</w:t>
            </w: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920" w:type="dxa"/>
            <w:vAlign w:val="bottom"/>
            <w:tcBorders>
              <w:right w:val="single" w:sz="8" w:color="auto"/>
            </w:tcBorders>
          </w:tcPr>
          <w:p>
            <w:pPr>
              <w:spacing w:after="0" w:line="20" w:lineRule="exact"/>
              <w:rPr>
                <w:sz w:val="1"/>
                <w:szCs w:val="1"/>
                <w:color w:val="auto"/>
              </w:rPr>
            </w:pPr>
          </w:p>
        </w:tc>
      </w:tr>
      <w:tr>
        <w:trPr>
          <w:trHeight w:val="457"/>
        </w:trPr>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Residential Mortgage Loans</w:t>
            </w: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1-4 family first-lien residential mortgages</w:t>
            </w:r>
          </w:p>
        </w:tc>
      </w:tr>
      <w:tr>
        <w:trPr>
          <w:trHeight w:val="258"/>
        </w:trPr>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Construction</w:t>
            </w:r>
          </w:p>
        </w:tc>
      </w:tr>
      <w:tr>
        <w:trPr>
          <w:trHeight w:val="430"/>
        </w:trPr>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 Loans</w:t>
            </w: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Real estate</w:t>
            </w:r>
          </w:p>
        </w:tc>
      </w:tr>
      <w:tr>
        <w:trPr>
          <w:trHeight w:val="230"/>
        </w:trPr>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Lines of credit</w:t>
            </w:r>
          </w:p>
        </w:tc>
      </w:tr>
      <w:tr>
        <w:trPr>
          <w:trHeight w:val="230"/>
        </w:trPr>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Other commercial and industrial</w:t>
            </w:r>
          </w:p>
        </w:tc>
      </w:tr>
      <w:tr>
        <w:trPr>
          <w:trHeight w:val="258"/>
        </w:trPr>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Tax exempt loans</w:t>
            </w:r>
          </w:p>
        </w:tc>
      </w:tr>
      <w:tr>
        <w:trPr>
          <w:trHeight w:val="430"/>
        </w:trPr>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Consumer Loans</w:t>
            </w: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Home equity and junior liens</w:t>
            </w:r>
          </w:p>
        </w:tc>
      </w:tr>
      <w:tr>
        <w:trPr>
          <w:trHeight w:val="252"/>
        </w:trPr>
        <w:tc>
          <w:tcPr>
            <w:tcW w:w="140" w:type="dxa"/>
            <w:vAlign w:val="bottom"/>
            <w:tcBorders>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tcPr>
          <w:p>
            <w:pPr>
              <w:spacing w:after="0"/>
              <w:rPr>
                <w:sz w:val="21"/>
                <w:szCs w:val="21"/>
                <w:color w:val="auto"/>
              </w:rPr>
            </w:pPr>
          </w:p>
        </w:tc>
        <w:tc>
          <w:tcPr>
            <w:tcW w:w="63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Other consumer</w:t>
            </w:r>
          </w:p>
        </w:tc>
      </w:tr>
      <w:tr>
        <w:trPr>
          <w:trHeight w:val="426"/>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18</w:t>
            </w:r>
            <w:r>
              <w:rPr>
                <w:rFonts w:ascii="Times New Roman" w:cs="Times New Roman" w:eastAsia="Times New Roman" w:hAnsi="Times New Roman"/>
                <w:sz w:val="18"/>
                <w:szCs w:val="18"/>
                <w:color w:val="auto"/>
              </w:rPr>
              <w:t xml:space="preserve"> -</w:t>
            </w:r>
          </w:p>
        </w:tc>
      </w:tr>
      <w:tr>
        <w:trPr>
          <w:trHeight w:val="763"/>
        </w:trPr>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8" w:name="page19"/>
    <w:bookmarkEnd w:id="18"/>
    <w:p>
      <w:pPr>
        <w:spacing w:after="0" w:line="247" w:lineRule="auto"/>
        <w:rPr>
          <w:sz w:val="20"/>
          <w:szCs w:val="20"/>
          <w:color w:val="auto"/>
        </w:rPr>
      </w:pPr>
      <w:r>
        <w:rPr>
          <w:rFonts w:ascii="Times New Roman" w:cs="Times New Roman" w:eastAsia="Times New Roman" w:hAnsi="Times New Roman"/>
          <w:sz w:val="20"/>
          <w:szCs w:val="20"/>
          <w:color w:val="auto"/>
        </w:rPr>
        <w:t>The following tables present the classes of the loan portfolio as of March 31, 2026, summarized by the aggregate pass rating and the classified ratings of special mention, substandard and doubtful within the Company's internal risk rating system as of the dates indicated:</w:t>
      </w:r>
    </w:p>
    <w:tbl>
      <w:tblPr>
        <w:tblLayout w:type="fixed"/>
        <w:tblInd w:w="0" w:type="dxa"/>
        <w:tblCellMar>
          <w:top w:w="0" w:type="dxa"/>
          <w:left w:w="0" w:type="dxa"/>
          <w:bottom w:w="0" w:type="dxa"/>
          <w:right w:w="0" w:type="dxa"/>
        </w:tblCellMar>
      </w:tblPr>
      <w:tr>
        <w:trPr>
          <w:trHeight w:val="157"/>
        </w:trPr>
        <w:tc>
          <w:tcPr>
            <w:tcW w:w="2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spacing w:after="0" w:line="157" w:lineRule="exact"/>
              <w:rPr>
                <w:sz w:val="20"/>
                <w:szCs w:val="20"/>
                <w:color w:val="auto"/>
              </w:rPr>
            </w:pPr>
            <w:r>
              <w:rPr>
                <w:rFonts w:ascii="Times New Roman" w:cs="Times New Roman" w:eastAsia="Times New Roman" w:hAnsi="Times New Roman"/>
                <w:sz w:val="14"/>
                <w:szCs w:val="14"/>
                <w:color w:val="auto"/>
              </w:rPr>
              <w:t>Term Loans By Origination Year</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Revolving loans</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Revolving</w:t>
            </w:r>
          </w:p>
        </w:tc>
        <w:tc>
          <w:tcPr>
            <w:tcW w:w="12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2026</w:t>
            </w:r>
          </w:p>
        </w:tc>
        <w:tc>
          <w:tcPr>
            <w:tcW w:w="2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2024</w:t>
            </w:r>
          </w:p>
        </w:tc>
        <w:tc>
          <w:tcPr>
            <w:tcW w:w="260" w:type="dxa"/>
            <w:vAlign w:val="bottom"/>
          </w:tcPr>
          <w:p>
            <w:pPr>
              <w:spacing w:after="0"/>
              <w:rPr>
                <w:sz w:val="12"/>
                <w:szCs w:val="12"/>
                <w:color w:val="auto"/>
              </w:rPr>
            </w:pPr>
          </w:p>
        </w:tc>
        <w:tc>
          <w:tcPr>
            <w:tcW w:w="7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2023</w:t>
            </w:r>
          </w:p>
        </w:tc>
        <w:tc>
          <w:tcPr>
            <w:tcW w:w="140" w:type="dxa"/>
            <w:vAlign w:val="bottom"/>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Prior</w:t>
            </w:r>
          </w:p>
        </w:tc>
        <w:tc>
          <w:tcPr>
            <w:tcW w:w="940" w:type="dxa"/>
            <w:vAlign w:val="bottom"/>
            <w:gridSpan w:val="2"/>
            <w:vMerge w:val="continue"/>
          </w:tcPr>
          <w:p>
            <w:pPr>
              <w:spacing w:after="0"/>
              <w:rPr>
                <w:sz w:val="12"/>
                <w:szCs w:val="12"/>
                <w:color w:val="auto"/>
              </w:rPr>
            </w:pPr>
          </w:p>
        </w:tc>
        <w:tc>
          <w:tcPr>
            <w:tcW w:w="12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converted to term</w:t>
            </w:r>
          </w:p>
        </w:tc>
        <w:tc>
          <w:tcPr>
            <w:tcW w:w="28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loans</w:t>
            </w: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loans</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Commercial real estate:</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3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6,368</w:t>
            </w:r>
          </w:p>
        </w:tc>
        <w:tc>
          <w:tcPr>
            <w:tcW w:w="2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52,092</w:t>
            </w:r>
          </w:p>
        </w:tc>
        <w:tc>
          <w:tcPr>
            <w:tcW w:w="3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42,668</w:t>
            </w: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29,294</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50,522</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154,442</w:t>
            </w:r>
          </w:p>
        </w:tc>
        <w:tc>
          <w:tcPr>
            <w:tcW w:w="2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335,386</w:t>
            </w: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6,080</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11,760</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564</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8,835</w:t>
            </w: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27,239</w:t>
            </w:r>
          </w:p>
        </w:tc>
        <w:tc>
          <w:tcPr>
            <w:tcW w:w="0" w:type="dxa"/>
            <w:vAlign w:val="bottom"/>
          </w:tcPr>
          <w:p>
            <w:pPr>
              <w:spacing w:after="0"/>
              <w:rPr>
                <w:sz w:val="1"/>
                <w:szCs w:val="1"/>
                <w:color w:val="auto"/>
              </w:rPr>
            </w:pPr>
          </w:p>
        </w:tc>
      </w:tr>
      <w:tr>
        <w:trPr>
          <w:trHeight w:val="148"/>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3,474</w:t>
            </w:r>
          </w:p>
        </w:tc>
        <w:tc>
          <w:tcPr>
            <w:tcW w:w="38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26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1,235</w:t>
            </w:r>
          </w:p>
        </w:tc>
        <w:tc>
          <w:tcPr>
            <w:tcW w:w="1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9,399</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7,131</w:t>
            </w:r>
          </w:p>
        </w:tc>
        <w:tc>
          <w:tcPr>
            <w:tcW w:w="26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22,063</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2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commercial real estate</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6,368</w:t>
            </w: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55,566</w:t>
            </w: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49,572</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42,289</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60,485</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170,459</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384,739</w:t>
            </w: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Commercial lines of credit: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67,712</w:t>
            </w:r>
          </w:p>
        </w:tc>
        <w:tc>
          <w:tcPr>
            <w:tcW w:w="5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4,282</w:t>
            </w:r>
          </w:p>
        </w:tc>
        <w:tc>
          <w:tcPr>
            <w:tcW w:w="28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71,994</w:t>
            </w: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6,077</w:t>
            </w:r>
          </w:p>
        </w:tc>
        <w:tc>
          <w:tcPr>
            <w:tcW w:w="5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6,227</w:t>
            </w:r>
          </w:p>
        </w:tc>
        <w:tc>
          <w:tcPr>
            <w:tcW w:w="0" w:type="dxa"/>
            <w:vAlign w:val="bottom"/>
          </w:tcPr>
          <w:p>
            <w:pPr>
              <w:spacing w:after="0"/>
              <w:rPr>
                <w:sz w:val="1"/>
                <w:szCs w:val="1"/>
                <w:color w:val="auto"/>
              </w:rPr>
            </w:pPr>
          </w:p>
        </w:tc>
      </w:tr>
      <w:tr>
        <w:trPr>
          <w:trHeight w:val="148"/>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1,924</w:t>
            </w:r>
          </w:p>
        </w:tc>
        <w:tc>
          <w:tcPr>
            <w:tcW w:w="5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28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2,002</w:t>
            </w:r>
          </w:p>
        </w:tc>
        <w:tc>
          <w:tcPr>
            <w:tcW w:w="0" w:type="dxa"/>
            <w:vAlign w:val="bottom"/>
          </w:tcPr>
          <w:p>
            <w:pPr>
              <w:spacing w:after="0"/>
              <w:rPr>
                <w:sz w:val="1"/>
                <w:szCs w:val="1"/>
                <w:color w:val="auto"/>
              </w:rPr>
            </w:pPr>
          </w:p>
        </w:tc>
      </w:tr>
      <w:tr>
        <w:trPr>
          <w:trHeight w:val="149"/>
        </w:trPr>
        <w:tc>
          <w:tcPr>
            <w:tcW w:w="2660" w:type="dxa"/>
            <w:vAlign w:val="bottom"/>
            <w:tcBorders>
              <w:bottom w:val="single" w:sz="8" w:color="auto"/>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5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commercial lines of credit</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75,728</w:t>
            </w: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4,510</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80,238</w:t>
            </w: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Other commercial and industrial:</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1,620</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13,761</w:t>
            </w:r>
          </w:p>
        </w:tc>
        <w:tc>
          <w:tcPr>
            <w:tcW w:w="38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13,162</w:t>
            </w:r>
          </w:p>
        </w:tc>
        <w:tc>
          <w:tcPr>
            <w:tcW w:w="26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11,450</w:t>
            </w:r>
          </w:p>
        </w:tc>
        <w:tc>
          <w:tcPr>
            <w:tcW w:w="1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10,820</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13,564</w:t>
            </w:r>
          </w:p>
        </w:tc>
        <w:tc>
          <w:tcPr>
            <w:tcW w:w="26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5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65,440</w:t>
            </w: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38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1,312</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2,083</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468</w:t>
            </w: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4,742</w:t>
            </w:r>
          </w:p>
        </w:tc>
        <w:tc>
          <w:tcPr>
            <w:tcW w:w="0" w:type="dxa"/>
            <w:vAlign w:val="bottom"/>
          </w:tcPr>
          <w:p>
            <w:pPr>
              <w:spacing w:after="0"/>
              <w:rPr>
                <w:sz w:val="1"/>
                <w:szCs w:val="1"/>
                <w:color w:val="auto"/>
              </w:rPr>
            </w:pPr>
          </w:p>
        </w:tc>
      </w:tr>
      <w:tr>
        <w:trPr>
          <w:trHeight w:val="148"/>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26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1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4,960</w:t>
            </w:r>
          </w:p>
        </w:tc>
        <w:tc>
          <w:tcPr>
            <w:tcW w:w="26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5,326</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2,355</w:t>
            </w: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2,355</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other commercial and industrial</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1,620</w:t>
            </w: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14,640</w:t>
            </w: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14,663</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16,065</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10,820</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18,992</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1,063</w:t>
            </w: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77,863</w:t>
            </w: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Paycheck Protection Program loans:</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6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Paycheck Protection Program loans</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Tax exempt loans:</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2,613</w:t>
            </w:r>
          </w:p>
        </w:tc>
        <w:tc>
          <w:tcPr>
            <w:tcW w:w="38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3,965</w:t>
            </w:r>
          </w:p>
        </w:tc>
        <w:tc>
          <w:tcPr>
            <w:tcW w:w="26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6,581</w:t>
            </w: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tax exempt loans</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2,613</w:t>
            </w: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3,965</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6,581</w:t>
            </w: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1-4 family first-lien residential mortgages:</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3,516</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11,510</w:t>
            </w:r>
          </w:p>
        </w:tc>
        <w:tc>
          <w:tcPr>
            <w:tcW w:w="38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10,214</w:t>
            </w:r>
          </w:p>
        </w:tc>
        <w:tc>
          <w:tcPr>
            <w:tcW w:w="26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14,582</w:t>
            </w:r>
          </w:p>
        </w:tc>
        <w:tc>
          <w:tcPr>
            <w:tcW w:w="1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26,113</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163,367</w:t>
            </w:r>
          </w:p>
        </w:tc>
        <w:tc>
          <w:tcPr>
            <w:tcW w:w="26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229,302</w:t>
            </w: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38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2,087</w:t>
            </w: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2,368</w:t>
            </w:r>
          </w:p>
        </w:tc>
        <w:tc>
          <w:tcPr>
            <w:tcW w:w="0" w:type="dxa"/>
            <w:vAlign w:val="bottom"/>
          </w:tcPr>
          <w:p>
            <w:pPr>
              <w:spacing w:after="0"/>
              <w:rPr>
                <w:sz w:val="1"/>
                <w:szCs w:val="1"/>
                <w:color w:val="auto"/>
              </w:rPr>
            </w:pPr>
          </w:p>
        </w:tc>
      </w:tr>
      <w:tr>
        <w:trPr>
          <w:trHeight w:val="148"/>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1,508</w:t>
            </w:r>
          </w:p>
        </w:tc>
        <w:tc>
          <w:tcPr>
            <w:tcW w:w="26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1,606</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644</w:t>
            </w:r>
          </w:p>
        </w:tc>
        <w:tc>
          <w:tcPr>
            <w:tcW w:w="2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751</w:t>
            </w:r>
          </w:p>
        </w:tc>
        <w:tc>
          <w:tcPr>
            <w:tcW w:w="0" w:type="dxa"/>
            <w:vAlign w:val="bottom"/>
          </w:tcPr>
          <w:p>
            <w:pPr>
              <w:spacing w:after="0"/>
              <w:rPr>
                <w:sz w:val="1"/>
                <w:szCs w:val="1"/>
                <w:color w:val="auto"/>
              </w:rPr>
            </w:pPr>
          </w:p>
        </w:tc>
      </w:tr>
      <w:tr>
        <w:trPr>
          <w:trHeight w:val="119"/>
        </w:trPr>
        <w:tc>
          <w:tcPr>
            <w:tcW w:w="26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Total 1-4 family first-lien residential</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3,516</w:t>
            </w:r>
          </w:p>
        </w:tc>
        <w:tc>
          <w:tcPr>
            <w:tcW w:w="2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11,633</w:t>
            </w:r>
          </w:p>
        </w:tc>
        <w:tc>
          <w:tcPr>
            <w:tcW w:w="380" w:type="dxa"/>
            <w:vAlign w:val="bottom"/>
          </w:tcPr>
          <w:p>
            <w:pPr>
              <w:spacing w:after="0"/>
              <w:rPr>
                <w:sz w:val="10"/>
                <w:szCs w:val="10"/>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10,214</w:t>
            </w:r>
          </w:p>
        </w:tc>
        <w:tc>
          <w:tcPr>
            <w:tcW w:w="260" w:type="dxa"/>
            <w:vAlign w:val="bottom"/>
          </w:tcPr>
          <w:p>
            <w:pPr>
              <w:spacing w:after="0"/>
              <w:rPr>
                <w:sz w:val="10"/>
                <w:szCs w:val="10"/>
                <w:color w:val="auto"/>
              </w:rPr>
            </w:pPr>
          </w:p>
        </w:tc>
        <w:tc>
          <w:tcPr>
            <w:tcW w:w="7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14,689</w:t>
            </w:r>
          </w:p>
        </w:tc>
        <w:tc>
          <w:tcPr>
            <w:tcW w:w="140" w:type="dxa"/>
            <w:vAlign w:val="bottom"/>
          </w:tcPr>
          <w:p>
            <w:pPr>
              <w:spacing w:after="0"/>
              <w:rPr>
                <w:sz w:val="10"/>
                <w:szCs w:val="10"/>
                <w:color w:val="auto"/>
              </w:rPr>
            </w:pP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26,369</w:t>
            </w:r>
          </w:p>
        </w:tc>
        <w:tc>
          <w:tcPr>
            <w:tcW w:w="220" w:type="dxa"/>
            <w:vAlign w:val="bottom"/>
          </w:tcPr>
          <w:p>
            <w:pPr>
              <w:spacing w:after="0"/>
              <w:rPr>
                <w:sz w:val="10"/>
                <w:szCs w:val="10"/>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167,606</w:t>
            </w:r>
          </w:p>
        </w:tc>
        <w:tc>
          <w:tcPr>
            <w:tcW w:w="260" w:type="dxa"/>
            <w:vAlign w:val="bottom"/>
          </w:tcPr>
          <w:p>
            <w:pPr>
              <w:spacing w:after="0"/>
              <w:rPr>
                <w:sz w:val="10"/>
                <w:szCs w:val="10"/>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234,027</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mortgages</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Residential construction:</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1,251</w:t>
            </w:r>
          </w:p>
        </w:tc>
        <w:tc>
          <w:tcPr>
            <w:tcW w:w="38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1,259</w:t>
            </w: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residential construction</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8</w:t>
            </w: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1,251</w:t>
            </w: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1,259</w:t>
            </w: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Home equity and junior liens:</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3,332</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1,922</w:t>
            </w:r>
          </w:p>
        </w:tc>
        <w:tc>
          <w:tcPr>
            <w:tcW w:w="38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2,439</w:t>
            </w:r>
          </w:p>
        </w:tc>
        <w:tc>
          <w:tcPr>
            <w:tcW w:w="26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3,203</w:t>
            </w:r>
          </w:p>
        </w:tc>
        <w:tc>
          <w:tcPr>
            <w:tcW w:w="1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2,616</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12,354</w:t>
            </w:r>
          </w:p>
        </w:tc>
        <w:tc>
          <w:tcPr>
            <w:tcW w:w="26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23,194</w:t>
            </w:r>
          </w:p>
        </w:tc>
        <w:tc>
          <w:tcPr>
            <w:tcW w:w="5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929</w:t>
            </w:r>
          </w:p>
        </w:tc>
        <w:tc>
          <w:tcPr>
            <w:tcW w:w="28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49,989</w:t>
            </w: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5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149"/>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26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776</w:t>
            </w:r>
          </w:p>
        </w:tc>
        <w:tc>
          <w:tcPr>
            <w:tcW w:w="5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1,070</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home equity and junior liens</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3,332</w:t>
            </w: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1,922</w:t>
            </w: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2,439</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3,243</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2,848</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12,624</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24,099</w:t>
            </w: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935</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51,442</w:t>
            </w: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Other Consumer:</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2,429</w:t>
            </w:r>
          </w:p>
        </w:tc>
        <w:tc>
          <w:tcPr>
            <w:tcW w:w="38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2,217</w:t>
            </w:r>
          </w:p>
        </w:tc>
        <w:tc>
          <w:tcPr>
            <w:tcW w:w="26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49,392</w:t>
            </w:r>
          </w:p>
        </w:tc>
        <w:tc>
          <w:tcPr>
            <w:tcW w:w="1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2,425</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3,172</w:t>
            </w:r>
          </w:p>
        </w:tc>
        <w:tc>
          <w:tcPr>
            <w:tcW w:w="26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60,060</w:t>
            </w: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49"/>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6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6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other consumer</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425</w:t>
            </w: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2,429</w:t>
            </w: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2,271</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49,403</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2,434</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3,316</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60,278</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deferred loan fees</w:t>
            </w:r>
          </w:p>
        </w:tc>
        <w:tc>
          <w:tcPr>
            <w:tcW w:w="20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(382)</w:t>
            </w:r>
          </w:p>
        </w:tc>
        <w:tc>
          <w:tcPr>
            <w:tcW w:w="2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83</w:t>
            </w:r>
          </w:p>
        </w:tc>
        <w:tc>
          <w:tcPr>
            <w:tcW w:w="3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55</w:t>
            </w:r>
          </w:p>
        </w:tc>
        <w:tc>
          <w:tcPr>
            <w:tcW w:w="2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(172)</w:t>
            </w:r>
          </w:p>
        </w:tc>
        <w:tc>
          <w:tcPr>
            <w:tcW w:w="2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(841)</w:t>
            </w:r>
          </w:p>
        </w:tc>
        <w:tc>
          <w:tcPr>
            <w:tcW w:w="2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(1,274)</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Loans, net of deferred fees</w:t>
            </w:r>
          </w:p>
        </w:tc>
        <w:tc>
          <w:tcPr>
            <w:tcW w:w="36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14,887</w:t>
            </w:r>
          </w:p>
        </w:tc>
        <w:tc>
          <w:tcPr>
            <w:tcW w:w="2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90,137</w:t>
            </w:r>
          </w:p>
        </w:tc>
        <w:tc>
          <w:tcPr>
            <w:tcW w:w="3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79,217</w:t>
            </w:r>
          </w:p>
        </w:tc>
        <w:tc>
          <w:tcPr>
            <w:tcW w:w="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125,672</w:t>
            </w: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102,784</w:t>
            </w:r>
          </w:p>
        </w:tc>
        <w:tc>
          <w:tcPr>
            <w:tcW w:w="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376,170</w:t>
            </w:r>
          </w:p>
        </w:tc>
        <w:tc>
          <w:tcPr>
            <w:tcW w:w="2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100,890</w:t>
            </w:r>
          </w:p>
        </w:tc>
        <w:tc>
          <w:tcPr>
            <w:tcW w:w="50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5,445</w:t>
            </w:r>
          </w:p>
        </w:tc>
        <w:tc>
          <w:tcPr>
            <w:tcW w:w="2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895,202</w:t>
            </w:r>
          </w:p>
        </w:tc>
        <w:tc>
          <w:tcPr>
            <w:tcW w:w="0" w:type="dxa"/>
            <w:vAlign w:val="bottom"/>
          </w:tcPr>
          <w:p>
            <w:pPr>
              <w:spacing w:after="0"/>
              <w:rPr>
                <w:sz w:val="1"/>
                <w:szCs w:val="1"/>
                <w:color w:val="auto"/>
              </w:rPr>
            </w:pP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9" w:name="page20"/>
    <w:bookmarkEnd w:id="19"/>
    <w:p>
      <w:pPr>
        <w:spacing w:after="0" w:line="247" w:lineRule="auto"/>
        <w:rPr>
          <w:sz w:val="20"/>
          <w:szCs w:val="20"/>
          <w:color w:val="auto"/>
        </w:rPr>
      </w:pPr>
      <w:r>
        <w:rPr>
          <w:rFonts w:ascii="Times New Roman" w:cs="Times New Roman" w:eastAsia="Times New Roman" w:hAnsi="Times New Roman"/>
          <w:sz w:val="20"/>
          <w:szCs w:val="20"/>
          <w:color w:val="auto"/>
        </w:rPr>
        <w:t>The following tables present the classes of the loan portfolio as of December 31, 2025, summarized by the aggregate pass rating and the classified ratings of special mention, substandard and doubtful within the Company's internal risk rating system as of the dates indicated:</w:t>
      </w:r>
    </w:p>
    <w:tbl>
      <w:tblPr>
        <w:tblLayout w:type="fixed"/>
        <w:tblInd w:w="0" w:type="dxa"/>
        <w:tblCellMar>
          <w:top w:w="0" w:type="dxa"/>
          <w:left w:w="0" w:type="dxa"/>
          <w:bottom w:w="0" w:type="dxa"/>
          <w:right w:w="0" w:type="dxa"/>
        </w:tblCellMar>
      </w:tblPr>
      <w:tr>
        <w:trPr>
          <w:trHeight w:val="157"/>
        </w:trPr>
        <w:tc>
          <w:tcPr>
            <w:tcW w:w="2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spacing w:after="0" w:line="157" w:lineRule="exact"/>
              <w:rPr>
                <w:sz w:val="20"/>
                <w:szCs w:val="20"/>
                <w:color w:val="auto"/>
              </w:rPr>
            </w:pPr>
            <w:r>
              <w:rPr>
                <w:rFonts w:ascii="Times New Roman" w:cs="Times New Roman" w:eastAsia="Times New Roman" w:hAnsi="Times New Roman"/>
                <w:sz w:val="14"/>
                <w:szCs w:val="14"/>
                <w:color w:val="auto"/>
              </w:rPr>
              <w:t>Term Loans By Origination Year</w:t>
            </w: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Revolving loans</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9"/>
              </w:rPr>
              <w:t>Revolving</w:t>
            </w:r>
          </w:p>
        </w:tc>
        <w:tc>
          <w:tcPr>
            <w:tcW w:w="1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2025</w:t>
            </w:r>
          </w:p>
        </w:tc>
        <w:tc>
          <w:tcPr>
            <w:tcW w:w="2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spacing w:after="0"/>
              <w:rPr>
                <w:sz w:val="12"/>
                <w:szCs w:val="12"/>
                <w:color w:val="auto"/>
              </w:rPr>
            </w:pPr>
          </w:p>
        </w:tc>
        <w:tc>
          <w:tcPr>
            <w:tcW w:w="7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2022</w:t>
            </w:r>
          </w:p>
        </w:tc>
        <w:tc>
          <w:tcPr>
            <w:tcW w:w="160" w:type="dxa"/>
            <w:vAlign w:val="bottom"/>
          </w:tcPr>
          <w:p>
            <w:pPr>
              <w:spacing w:after="0"/>
              <w:rPr>
                <w:sz w:val="12"/>
                <w:szCs w:val="12"/>
                <w:color w:val="auto"/>
              </w:rPr>
            </w:pPr>
          </w:p>
        </w:tc>
        <w:tc>
          <w:tcPr>
            <w:tcW w:w="6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2021</w:t>
            </w:r>
          </w:p>
        </w:tc>
        <w:tc>
          <w:tcPr>
            <w:tcW w:w="2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Prior</w:t>
            </w: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converted to term</w:t>
            </w:r>
          </w:p>
        </w:tc>
        <w:tc>
          <w:tcPr>
            <w:tcW w:w="28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loans</w:t>
            </w: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loans</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Commercial real estate:</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3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49,693</w:t>
            </w:r>
          </w:p>
        </w:tc>
        <w:tc>
          <w:tcPr>
            <w:tcW w:w="2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42,604</w:t>
            </w: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29,527</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51,634</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35,764</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121,653</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330,875</w:t>
            </w: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6,113</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11,761</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7,747</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4,875</w:t>
            </w: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30,496</w:t>
            </w:r>
          </w:p>
        </w:tc>
        <w:tc>
          <w:tcPr>
            <w:tcW w:w="0" w:type="dxa"/>
            <w:vAlign w:val="bottom"/>
          </w:tcPr>
          <w:p>
            <w:pPr>
              <w:spacing w:after="0"/>
              <w:rPr>
                <w:sz w:val="1"/>
                <w:szCs w:val="1"/>
                <w:color w:val="auto"/>
              </w:rPr>
            </w:pPr>
          </w:p>
        </w:tc>
      </w:tr>
      <w:tr>
        <w:trPr>
          <w:trHeight w:val="148"/>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3,474</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830</w:t>
            </w:r>
          </w:p>
        </w:tc>
        <w:tc>
          <w:tcPr>
            <w:tcW w:w="36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1,235</w:t>
            </w:r>
          </w:p>
        </w:tc>
        <w:tc>
          <w:tcPr>
            <w:tcW w:w="220" w:type="dxa"/>
            <w:vAlign w:val="bottom"/>
          </w:tcPr>
          <w:p>
            <w:pPr>
              <w:spacing w:after="0"/>
              <w:rPr>
                <w:sz w:val="12"/>
                <w:szCs w:val="12"/>
                <w:color w:val="auto"/>
              </w:rPr>
            </w:pPr>
          </w:p>
        </w:tc>
        <w:tc>
          <w:tcPr>
            <w:tcW w:w="7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2,220</w:t>
            </w:r>
          </w:p>
        </w:tc>
        <w:tc>
          <w:tcPr>
            <w:tcW w:w="160" w:type="dxa"/>
            <w:vAlign w:val="bottom"/>
          </w:tcPr>
          <w:p>
            <w:pPr>
              <w:spacing w:after="0"/>
              <w:rPr>
                <w:sz w:val="12"/>
                <w:szCs w:val="12"/>
                <w:color w:val="auto"/>
              </w:rPr>
            </w:pPr>
          </w:p>
        </w:tc>
        <w:tc>
          <w:tcPr>
            <w:tcW w:w="6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8,456</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2,674</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18,889</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2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commercial real estate</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53,167</w:t>
            </w: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49,547</w:t>
            </w: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42,523</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61,601</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44,220</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129,253</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380,311</w:t>
            </w: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Commercial lines of credit: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64,594</w:t>
            </w:r>
          </w:p>
        </w:tc>
        <w:tc>
          <w:tcPr>
            <w:tcW w:w="1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2,516</w:t>
            </w:r>
          </w:p>
        </w:tc>
        <w:tc>
          <w:tcPr>
            <w:tcW w:w="2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67,110</w:t>
            </w: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6,080</w:t>
            </w: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6,080</w:t>
            </w:r>
          </w:p>
        </w:tc>
        <w:tc>
          <w:tcPr>
            <w:tcW w:w="0" w:type="dxa"/>
            <w:vAlign w:val="bottom"/>
          </w:tcPr>
          <w:p>
            <w:pPr>
              <w:spacing w:after="0"/>
              <w:rPr>
                <w:sz w:val="1"/>
                <w:szCs w:val="1"/>
                <w:color w:val="auto"/>
              </w:rPr>
            </w:pPr>
          </w:p>
        </w:tc>
      </w:tr>
      <w:tr>
        <w:trPr>
          <w:trHeight w:val="149"/>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2,119</w:t>
            </w:r>
          </w:p>
        </w:tc>
        <w:tc>
          <w:tcPr>
            <w:tcW w:w="1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2,166</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commercial lines of credit</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72,808</w:t>
            </w: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2,563</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75,371</w:t>
            </w: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Other commercial and industrial:</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14,970</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14,164</w:t>
            </w:r>
          </w:p>
        </w:tc>
        <w:tc>
          <w:tcPr>
            <w:tcW w:w="36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12,205</w:t>
            </w:r>
          </w:p>
        </w:tc>
        <w:tc>
          <w:tcPr>
            <w:tcW w:w="220" w:type="dxa"/>
            <w:vAlign w:val="bottom"/>
          </w:tcPr>
          <w:p>
            <w:pPr>
              <w:spacing w:after="0"/>
              <w:rPr>
                <w:sz w:val="12"/>
                <w:szCs w:val="12"/>
                <w:color w:val="auto"/>
              </w:rPr>
            </w:pPr>
          </w:p>
        </w:tc>
        <w:tc>
          <w:tcPr>
            <w:tcW w:w="7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11,416</w:t>
            </w:r>
          </w:p>
        </w:tc>
        <w:tc>
          <w:tcPr>
            <w:tcW w:w="160" w:type="dxa"/>
            <w:vAlign w:val="bottom"/>
          </w:tcPr>
          <w:p>
            <w:pPr>
              <w:spacing w:after="0"/>
              <w:rPr>
                <w:sz w:val="12"/>
                <w:szCs w:val="12"/>
                <w:color w:val="auto"/>
              </w:rPr>
            </w:pPr>
          </w:p>
        </w:tc>
        <w:tc>
          <w:tcPr>
            <w:tcW w:w="6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2,234</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12,413</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999</w:t>
            </w:r>
          </w:p>
        </w:tc>
        <w:tc>
          <w:tcPr>
            <w:tcW w:w="1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68,401</w:t>
            </w: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959</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1,422</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1,339</w:t>
            </w: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5,754</w:t>
            </w:r>
          </w:p>
        </w:tc>
        <w:tc>
          <w:tcPr>
            <w:tcW w:w="0" w:type="dxa"/>
            <w:vAlign w:val="bottom"/>
          </w:tcPr>
          <w:p>
            <w:pPr>
              <w:spacing w:after="0"/>
              <w:rPr>
                <w:sz w:val="1"/>
                <w:szCs w:val="1"/>
                <w:color w:val="auto"/>
              </w:rPr>
            </w:pPr>
          </w:p>
        </w:tc>
      </w:tr>
      <w:tr>
        <w:trPr>
          <w:trHeight w:val="148"/>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36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310</w:t>
            </w:r>
          </w:p>
        </w:tc>
        <w:tc>
          <w:tcPr>
            <w:tcW w:w="220" w:type="dxa"/>
            <w:vAlign w:val="bottom"/>
          </w:tcPr>
          <w:p>
            <w:pPr>
              <w:spacing w:after="0"/>
              <w:rPr>
                <w:sz w:val="12"/>
                <w:szCs w:val="12"/>
                <w:color w:val="auto"/>
              </w:rPr>
            </w:pPr>
          </w:p>
        </w:tc>
        <w:tc>
          <w:tcPr>
            <w:tcW w:w="7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4,192</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4,700</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2,355</w:t>
            </w:r>
          </w:p>
        </w:tc>
        <w:tc>
          <w:tcPr>
            <w:tcW w:w="2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2,355</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other commercial and industrial</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15,929</w:t>
            </w: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15,775</w:t>
            </w: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16,883</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11,416</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2,264</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17,944</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999</w:t>
            </w: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81,210</w:t>
            </w: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Paycheck Protection Program loans:</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Paycheck Protection Program loans</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63</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Tax exempt loans:</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2,619</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36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4,093</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6,716</w:t>
            </w: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660" w:type="dxa"/>
            <w:vAlign w:val="bottom"/>
            <w:tcBorders>
              <w:bottom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tax exempt loans</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2,619</w:t>
            </w: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4,093</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6,716</w:t>
            </w: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1-4 family first-lien residential mortgages:</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14,993</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10,769</w:t>
            </w:r>
          </w:p>
        </w:tc>
        <w:tc>
          <w:tcPr>
            <w:tcW w:w="36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14,905</w:t>
            </w:r>
          </w:p>
        </w:tc>
        <w:tc>
          <w:tcPr>
            <w:tcW w:w="220" w:type="dxa"/>
            <w:vAlign w:val="bottom"/>
          </w:tcPr>
          <w:p>
            <w:pPr>
              <w:spacing w:after="0"/>
              <w:rPr>
                <w:sz w:val="12"/>
                <w:szCs w:val="12"/>
                <w:color w:val="auto"/>
              </w:rPr>
            </w:pPr>
          </w:p>
        </w:tc>
        <w:tc>
          <w:tcPr>
            <w:tcW w:w="7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26,481</w:t>
            </w:r>
          </w:p>
        </w:tc>
        <w:tc>
          <w:tcPr>
            <w:tcW w:w="160" w:type="dxa"/>
            <w:vAlign w:val="bottom"/>
          </w:tcPr>
          <w:p>
            <w:pPr>
              <w:spacing w:after="0"/>
              <w:rPr>
                <w:sz w:val="12"/>
                <w:szCs w:val="12"/>
                <w:color w:val="auto"/>
              </w:rPr>
            </w:pPr>
          </w:p>
        </w:tc>
        <w:tc>
          <w:tcPr>
            <w:tcW w:w="6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42,090</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125,533</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234,771</w:t>
            </w: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949</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1,317</w:t>
            </w: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2,549</w:t>
            </w:r>
          </w:p>
        </w:tc>
        <w:tc>
          <w:tcPr>
            <w:tcW w:w="0" w:type="dxa"/>
            <w:vAlign w:val="bottom"/>
          </w:tcPr>
          <w:p>
            <w:pPr>
              <w:spacing w:after="0"/>
              <w:rPr>
                <w:sz w:val="1"/>
                <w:szCs w:val="1"/>
                <w:color w:val="auto"/>
              </w:rPr>
            </w:pPr>
          </w:p>
        </w:tc>
      </w:tr>
      <w:tr>
        <w:trPr>
          <w:trHeight w:val="148"/>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220" w:type="dxa"/>
            <w:vAlign w:val="bottom"/>
          </w:tcPr>
          <w:p>
            <w:pPr>
              <w:spacing w:after="0"/>
              <w:rPr>
                <w:sz w:val="12"/>
                <w:szCs w:val="12"/>
                <w:color w:val="auto"/>
              </w:rPr>
            </w:pPr>
          </w:p>
        </w:tc>
        <w:tc>
          <w:tcPr>
            <w:tcW w:w="7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spacing w:after="0"/>
              <w:rPr>
                <w:sz w:val="12"/>
                <w:szCs w:val="12"/>
                <w:color w:val="auto"/>
              </w:rPr>
            </w:pPr>
          </w:p>
        </w:tc>
        <w:tc>
          <w:tcPr>
            <w:tcW w:w="6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1,429</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1,725</w:t>
            </w:r>
          </w:p>
        </w:tc>
        <w:tc>
          <w:tcPr>
            <w:tcW w:w="0" w:type="dxa"/>
            <w:vAlign w:val="bottom"/>
          </w:tcPr>
          <w:p>
            <w:pPr>
              <w:spacing w:after="0"/>
              <w:rPr>
                <w:sz w:val="1"/>
                <w:szCs w:val="1"/>
                <w:color w:val="auto"/>
              </w:rPr>
            </w:pPr>
          </w:p>
        </w:tc>
      </w:tr>
      <w:tr>
        <w:trPr>
          <w:trHeight w:val="149"/>
        </w:trPr>
        <w:tc>
          <w:tcPr>
            <w:tcW w:w="2660" w:type="dxa"/>
            <w:vAlign w:val="bottom"/>
            <w:tcBorders>
              <w:bottom w:val="single" w:sz="8" w:color="auto"/>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647</w:t>
            </w:r>
          </w:p>
        </w:tc>
        <w:tc>
          <w:tcPr>
            <w:tcW w:w="2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119"/>
        </w:trPr>
        <w:tc>
          <w:tcPr>
            <w:tcW w:w="26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Total 1-4 family first-lien residential</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15,116</w:t>
            </w:r>
          </w:p>
        </w:tc>
        <w:tc>
          <w:tcPr>
            <w:tcW w:w="2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10,769</w:t>
            </w:r>
          </w:p>
        </w:tc>
        <w:tc>
          <w:tcPr>
            <w:tcW w:w="360" w:type="dxa"/>
            <w:vAlign w:val="bottom"/>
          </w:tcPr>
          <w:p>
            <w:pPr>
              <w:spacing w:after="0"/>
              <w:rPr>
                <w:sz w:val="10"/>
                <w:szCs w:val="10"/>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15,012</w:t>
            </w:r>
          </w:p>
        </w:tc>
        <w:tc>
          <w:tcPr>
            <w:tcW w:w="220" w:type="dxa"/>
            <w:vAlign w:val="bottom"/>
          </w:tcPr>
          <w:p>
            <w:pPr>
              <w:spacing w:after="0"/>
              <w:rPr>
                <w:sz w:val="10"/>
                <w:szCs w:val="10"/>
                <w:color w:val="auto"/>
              </w:rPr>
            </w:pPr>
          </w:p>
        </w:tc>
        <w:tc>
          <w:tcPr>
            <w:tcW w:w="7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26,741</w:t>
            </w:r>
          </w:p>
        </w:tc>
        <w:tc>
          <w:tcPr>
            <w:tcW w:w="160" w:type="dxa"/>
            <w:vAlign w:val="bottom"/>
          </w:tcPr>
          <w:p>
            <w:pPr>
              <w:spacing w:after="0"/>
              <w:rPr>
                <w:sz w:val="10"/>
                <w:szCs w:val="10"/>
                <w:color w:val="auto"/>
              </w:rPr>
            </w:pPr>
          </w:p>
        </w:tc>
        <w:tc>
          <w:tcPr>
            <w:tcW w:w="6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43,128</w:t>
            </w:r>
          </w:p>
        </w:tc>
        <w:tc>
          <w:tcPr>
            <w:tcW w:w="220" w:type="dxa"/>
            <w:vAlign w:val="bottom"/>
          </w:tcPr>
          <w:p>
            <w:pPr>
              <w:spacing w:after="0"/>
              <w:rPr>
                <w:sz w:val="10"/>
                <w:szCs w:val="10"/>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128,926</w:t>
            </w:r>
          </w:p>
        </w:tc>
        <w:tc>
          <w:tcPr>
            <w:tcW w:w="20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239,692</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mortgages</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Residential construction:</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2,039</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residential construction</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2,039</w:t>
            </w: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Home equity and junior liens:</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4,623</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w:t>
            </w:r>
          </w:p>
        </w:tc>
        <w:tc>
          <w:tcPr>
            <w:tcW w:w="36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3,298</w:t>
            </w:r>
          </w:p>
        </w:tc>
        <w:tc>
          <w:tcPr>
            <w:tcW w:w="220" w:type="dxa"/>
            <w:vAlign w:val="bottom"/>
          </w:tcPr>
          <w:p>
            <w:pPr>
              <w:spacing w:after="0"/>
              <w:rPr>
                <w:sz w:val="12"/>
                <w:szCs w:val="12"/>
                <w:color w:val="auto"/>
              </w:rPr>
            </w:pPr>
          </w:p>
        </w:tc>
        <w:tc>
          <w:tcPr>
            <w:tcW w:w="7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2,694</w:t>
            </w:r>
          </w:p>
        </w:tc>
        <w:tc>
          <w:tcPr>
            <w:tcW w:w="160" w:type="dxa"/>
            <w:vAlign w:val="bottom"/>
          </w:tcPr>
          <w:p>
            <w:pPr>
              <w:spacing w:after="0"/>
              <w:rPr>
                <w:sz w:val="12"/>
                <w:szCs w:val="12"/>
                <w:color w:val="auto"/>
              </w:rPr>
            </w:pPr>
          </w:p>
        </w:tc>
        <w:tc>
          <w:tcPr>
            <w:tcW w:w="6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2,517</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10,459</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21,313</w:t>
            </w:r>
          </w:p>
        </w:tc>
        <w:tc>
          <w:tcPr>
            <w:tcW w:w="1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2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48,289</w:t>
            </w: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149"/>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60" w:type="dxa"/>
            <w:vAlign w:val="bottom"/>
          </w:tcPr>
          <w:p>
            <w:pPr>
              <w:spacing w:after="0"/>
              <w:rPr>
                <w:sz w:val="12"/>
                <w:szCs w:val="12"/>
                <w:color w:val="auto"/>
              </w:rPr>
            </w:pPr>
          </w:p>
        </w:tc>
        <w:tc>
          <w:tcPr>
            <w:tcW w:w="6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865</w:t>
            </w:r>
          </w:p>
        </w:tc>
        <w:tc>
          <w:tcPr>
            <w:tcW w:w="1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home equity and junior liens</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4,623</w:t>
            </w: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2,502</w:t>
            </w: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3,339</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2,926</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2,529</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10,733</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22,242</w:t>
            </w: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889</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49,783</w:t>
            </w: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Other Consumer:</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2,738</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2,407</w:t>
            </w:r>
          </w:p>
        </w:tc>
        <w:tc>
          <w:tcPr>
            <w:tcW w:w="36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51,295</w:t>
            </w:r>
          </w:p>
        </w:tc>
        <w:tc>
          <w:tcPr>
            <w:tcW w:w="220" w:type="dxa"/>
            <w:vAlign w:val="bottom"/>
          </w:tcPr>
          <w:p>
            <w:pPr>
              <w:spacing w:after="0"/>
              <w:rPr>
                <w:sz w:val="12"/>
                <w:szCs w:val="12"/>
                <w:color w:val="auto"/>
              </w:rPr>
            </w:pPr>
          </w:p>
        </w:tc>
        <w:tc>
          <w:tcPr>
            <w:tcW w:w="7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2,665</w:t>
            </w:r>
          </w:p>
        </w:tc>
        <w:tc>
          <w:tcPr>
            <w:tcW w:w="160" w:type="dxa"/>
            <w:vAlign w:val="bottom"/>
          </w:tcPr>
          <w:p>
            <w:pPr>
              <w:spacing w:after="0"/>
              <w:rPr>
                <w:sz w:val="12"/>
                <w:szCs w:val="12"/>
                <w:color w:val="auto"/>
              </w:rPr>
            </w:pPr>
          </w:p>
        </w:tc>
        <w:tc>
          <w:tcPr>
            <w:tcW w:w="6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1,414</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2,033</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62,552</w:t>
            </w: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49"/>
        </w:trPr>
        <w:tc>
          <w:tcPr>
            <w:tcW w:w="2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36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2"/>
                <w:szCs w:val="12"/>
                <w:color w:val="auto"/>
              </w:rPr>
            </w:pPr>
          </w:p>
        </w:tc>
        <w:tc>
          <w:tcPr>
            <w:tcW w:w="7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2"/>
                <w:szCs w:val="12"/>
                <w:color w:val="auto"/>
              </w:rPr>
            </w:pPr>
          </w:p>
        </w:tc>
        <w:tc>
          <w:tcPr>
            <w:tcW w:w="6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other consumer</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2,748</w:t>
            </w: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2,474</w:t>
            </w: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51,310</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2,690</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1,479</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2,124</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62,825</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deferred loan fees</w:t>
            </w:r>
          </w:p>
        </w:tc>
        <w:tc>
          <w:tcPr>
            <w:tcW w:w="22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(371)</w:t>
            </w:r>
          </w:p>
        </w:tc>
        <w:tc>
          <w:tcPr>
            <w:tcW w:w="2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3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(170)</w:t>
            </w: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(158)</w:t>
            </w:r>
          </w:p>
        </w:tc>
        <w:tc>
          <w:tcPr>
            <w:tcW w:w="2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(694)</w:t>
            </w:r>
          </w:p>
        </w:tc>
        <w:tc>
          <w:tcPr>
            <w:tcW w:w="2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(1,340)</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Loans, net of deferred fees</w:t>
            </w:r>
          </w:p>
        </w:tc>
        <w:tc>
          <w:tcPr>
            <w:tcW w:w="38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95,870</w:t>
            </w:r>
          </w:p>
        </w:tc>
        <w:tc>
          <w:tcPr>
            <w:tcW w:w="2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81,133</w:t>
            </w: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129,058</w:t>
            </w:r>
          </w:p>
        </w:tc>
        <w:tc>
          <w:tcPr>
            <w:tcW w:w="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105,204</w:t>
            </w:r>
          </w:p>
        </w:tc>
        <w:tc>
          <w:tcPr>
            <w:tcW w:w="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93,462</w:t>
            </w:r>
          </w:p>
        </w:tc>
        <w:tc>
          <w:tcPr>
            <w:tcW w:w="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292,442</w:t>
            </w:r>
          </w:p>
        </w:tc>
        <w:tc>
          <w:tcPr>
            <w:tcW w:w="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96,049</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3,452</w:t>
            </w:r>
          </w:p>
        </w:tc>
        <w:tc>
          <w:tcPr>
            <w:tcW w:w="2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896,670</w:t>
            </w:r>
          </w:p>
        </w:tc>
        <w:tc>
          <w:tcPr>
            <w:tcW w:w="0" w:type="dxa"/>
            <w:vAlign w:val="bottom"/>
          </w:tcPr>
          <w:p>
            <w:pPr>
              <w:spacing w:after="0"/>
              <w:rPr>
                <w:sz w:val="1"/>
                <w:szCs w:val="1"/>
                <w:color w:val="auto"/>
              </w:rPr>
            </w:pP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0" w:name="page21"/>
    <w:bookmarkEnd w:id="20"/>
    <w:p>
      <w:pPr>
        <w:jc w:val="both"/>
        <w:spacing w:after="0" w:line="269" w:lineRule="auto"/>
        <w:rPr>
          <w:sz w:val="20"/>
          <w:szCs w:val="20"/>
          <w:color w:val="auto"/>
        </w:rPr>
      </w:pPr>
      <w:r>
        <w:rPr>
          <w:rFonts w:ascii="Times New Roman" w:cs="Times New Roman" w:eastAsia="Times New Roman" w:hAnsi="Times New Roman"/>
          <w:sz w:val="20"/>
          <w:szCs w:val="20"/>
          <w:color w:val="auto"/>
        </w:rPr>
        <w:t>Management has reviewed its loan portfolio and determined that, to the best of its knowledge, no material exposure exists to sub-prime or other high-risk residential mortgages. The Company is not in the practice of originating these types of loans.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Nonaccrual and Past Due Loans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Loans are considered past due if the required principal and interest payments have not been received within thirty days of the payment due date. Loans are placed on nonaccrual when the contractual payment of principal and interest has become 90 days past due or when management has serious doubts about further collectability of principal or interest, even though the loan may be currently performing.</w:t>
      </w:r>
    </w:p>
    <w:p>
      <w:pPr>
        <w:spacing w:after="0" w:line="6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An aging analysis of past due loans, not including net deferred loan costs, segregated by portfolio segment and class of loans, as of March 31, 2026 and December 31, 2025, are detailed in the following tables: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color w:val="auto"/>
              </w:rPr>
              <w:t>As of March 31, 2026</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30-59 Days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60-89 Days</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Days</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Total Loans</w:t>
            </w:r>
          </w:p>
        </w:tc>
        <w:tc>
          <w:tcPr>
            <w:tcW w:w="0" w:type="dxa"/>
            <w:vAlign w:val="bottom"/>
          </w:tcPr>
          <w:p>
            <w:pPr>
              <w:spacing w:after="0"/>
              <w:rPr>
                <w:sz w:val="1"/>
                <w:szCs w:val="1"/>
                <w:color w:val="auto"/>
              </w:rPr>
            </w:pPr>
          </w:p>
        </w:tc>
      </w:tr>
      <w:tr>
        <w:trPr>
          <w:trHeight w:val="213"/>
        </w:trPr>
        <w:tc>
          <w:tcPr>
            <w:tcW w:w="35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Past Due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Past Due</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and Over</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Past Due</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Current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Receivable</w:t>
            </w:r>
          </w:p>
        </w:tc>
        <w:tc>
          <w:tcPr>
            <w:tcW w:w="0" w:type="dxa"/>
            <w:vAlign w:val="bottom"/>
          </w:tcPr>
          <w:p>
            <w:pPr>
              <w:spacing w:after="0"/>
              <w:rPr>
                <w:sz w:val="1"/>
                <w:szCs w:val="1"/>
                <w:color w:val="auto"/>
              </w:rPr>
            </w:pPr>
          </w:p>
        </w:tc>
      </w:tr>
      <w:tr>
        <w:trPr>
          <w:trHeight w:val="19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1-4 family first-lien residential mortgages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6,888</w:t>
            </w:r>
          </w:p>
        </w:tc>
        <w:tc>
          <w:tcPr>
            <w:tcW w:w="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227,139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234,027</w:t>
            </w:r>
          </w:p>
        </w:tc>
        <w:tc>
          <w:tcPr>
            <w:tcW w:w="0" w:type="dxa"/>
            <w:vAlign w:val="bottom"/>
          </w:tcPr>
          <w:p>
            <w:pPr>
              <w:spacing w:after="0"/>
              <w:rPr>
                <w:sz w:val="1"/>
                <w:szCs w:val="1"/>
                <w:color w:val="auto"/>
              </w:rPr>
            </w:pPr>
          </w:p>
        </w:tc>
      </w:tr>
      <w:tr>
        <w:trPr>
          <w:trHeight w:val="203"/>
        </w:trPr>
        <w:tc>
          <w:tcPr>
            <w:tcW w:w="3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Construction</w:t>
            </w: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1,259</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Loans held-for-sale</w:t>
            </w: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74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3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6,888</w:t>
            </w:r>
          </w:p>
        </w:tc>
        <w:tc>
          <w:tcPr>
            <w:tcW w:w="3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228,398</w:t>
            </w: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235,286</w:t>
            </w:r>
          </w:p>
        </w:tc>
        <w:tc>
          <w:tcPr>
            <w:tcW w:w="0" w:type="dxa"/>
            <w:vAlign w:val="bottom"/>
          </w:tcPr>
          <w:p>
            <w:pPr>
              <w:spacing w:after="0"/>
              <w:rPr>
                <w:sz w:val="1"/>
                <w:szCs w:val="1"/>
                <w:color w:val="auto"/>
              </w:rPr>
            </w:pPr>
          </w:p>
        </w:tc>
      </w:tr>
      <w:tr>
        <w:trPr>
          <w:trHeight w:val="196"/>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Commercial loans:</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Real estate</w:t>
            </w: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24,929</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27,736</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357,003</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384,739</w:t>
            </w:r>
          </w:p>
        </w:tc>
        <w:tc>
          <w:tcPr>
            <w:tcW w:w="0" w:type="dxa"/>
            <w:vAlign w:val="bottom"/>
          </w:tcPr>
          <w:p>
            <w:pPr>
              <w:spacing w:after="0"/>
              <w:rPr>
                <w:sz w:val="1"/>
                <w:szCs w:val="1"/>
                <w:color w:val="auto"/>
              </w:rPr>
            </w:pPr>
          </w:p>
        </w:tc>
      </w:tr>
      <w:tr>
        <w:trPr>
          <w:trHeight w:val="203"/>
        </w:trPr>
        <w:tc>
          <w:tcPr>
            <w:tcW w:w="3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Lines of credit</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78,068</w:t>
            </w:r>
          </w:p>
        </w:tc>
        <w:tc>
          <w:tcPr>
            <w:tcW w:w="2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80,238</w:t>
            </w:r>
          </w:p>
        </w:tc>
        <w:tc>
          <w:tcPr>
            <w:tcW w:w="0" w:type="dxa"/>
            <w:vAlign w:val="bottom"/>
          </w:tcPr>
          <w:p>
            <w:pPr>
              <w:spacing w:after="0"/>
              <w:rPr>
                <w:sz w:val="1"/>
                <w:szCs w:val="1"/>
                <w:color w:val="auto"/>
              </w:rPr>
            </w:pPr>
          </w:p>
        </w:tc>
      </w:tr>
      <w:tr>
        <w:trPr>
          <w:trHeight w:val="203"/>
        </w:trPr>
        <w:tc>
          <w:tcPr>
            <w:tcW w:w="3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 commercial and industrial</w:t>
            </w: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8,007</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8,361</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69,502</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77,863</w:t>
            </w:r>
          </w:p>
        </w:tc>
        <w:tc>
          <w:tcPr>
            <w:tcW w:w="0" w:type="dxa"/>
            <w:vAlign w:val="bottom"/>
          </w:tcPr>
          <w:p>
            <w:pPr>
              <w:spacing w:after="0"/>
              <w:rPr>
                <w:sz w:val="1"/>
                <w:szCs w:val="1"/>
                <w:color w:val="auto"/>
              </w:rPr>
            </w:pPr>
          </w:p>
        </w:tc>
      </w:tr>
      <w:tr>
        <w:trPr>
          <w:trHeight w:val="203"/>
        </w:trPr>
        <w:tc>
          <w:tcPr>
            <w:tcW w:w="3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Paycheck Protection Program loans</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Tax exempt loans</w:t>
            </w:r>
          </w:p>
        </w:tc>
        <w:tc>
          <w:tcPr>
            <w:tcW w:w="74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6,581</w:t>
            </w: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6,581</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commercial loans</w:t>
            </w: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34,831</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38,267</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511,203</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549,470</w:t>
            </w:r>
          </w:p>
        </w:tc>
        <w:tc>
          <w:tcPr>
            <w:tcW w:w="0" w:type="dxa"/>
            <w:vAlign w:val="bottom"/>
          </w:tcPr>
          <w:p>
            <w:pPr>
              <w:spacing w:after="0"/>
              <w:rPr>
                <w:sz w:val="1"/>
                <w:szCs w:val="1"/>
                <w:color w:val="auto"/>
              </w:rPr>
            </w:pPr>
          </w:p>
        </w:tc>
      </w:tr>
      <w:tr>
        <w:trPr>
          <w:trHeight w:val="19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Consumer loans:</w:t>
            </w: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Home equity and junior liens</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50,003</w:t>
            </w:r>
          </w:p>
        </w:tc>
        <w:tc>
          <w:tcPr>
            <w:tcW w:w="2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51,442</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 consumer</w:t>
            </w:r>
          </w:p>
        </w:tc>
        <w:tc>
          <w:tcPr>
            <w:tcW w:w="74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3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3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58,721</w:t>
            </w: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60,278</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consumer loans</w:t>
            </w: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108,724</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111,720</w:t>
            </w:r>
          </w:p>
        </w:tc>
        <w:tc>
          <w:tcPr>
            <w:tcW w:w="0" w:type="dxa"/>
            <w:vAlign w:val="bottom"/>
          </w:tcPr>
          <w:p>
            <w:pPr>
              <w:spacing w:after="0"/>
              <w:rPr>
                <w:sz w:val="1"/>
                <w:szCs w:val="1"/>
                <w:color w:val="auto"/>
              </w:rPr>
            </w:pPr>
          </w:p>
        </w:tc>
      </w:tr>
      <w:tr>
        <w:trPr>
          <w:trHeight w:val="236"/>
        </w:trPr>
        <w:tc>
          <w:tcPr>
            <w:tcW w:w="3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loans</w:t>
            </w:r>
          </w:p>
        </w:tc>
        <w:tc>
          <w:tcPr>
            <w:tcW w:w="94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6,579</w:t>
            </w:r>
          </w:p>
        </w:tc>
        <w:tc>
          <w:tcPr>
            <w:tcW w:w="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3,412</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38,160</w:t>
            </w:r>
          </w:p>
        </w:tc>
        <w:tc>
          <w:tcPr>
            <w:tcW w:w="3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48,151</w:t>
            </w:r>
          </w:p>
        </w:tc>
        <w:tc>
          <w:tcPr>
            <w:tcW w:w="3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848,325</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896,476</w:t>
            </w:r>
          </w:p>
        </w:tc>
        <w:tc>
          <w:tcPr>
            <w:tcW w:w="0" w:type="dxa"/>
            <w:vAlign w:val="bottom"/>
          </w:tcPr>
          <w:p>
            <w:pPr>
              <w:spacing w:after="0"/>
              <w:rPr>
                <w:sz w:val="1"/>
                <w:szCs w:val="1"/>
                <w:color w:val="auto"/>
              </w:rPr>
            </w:pPr>
          </w:p>
        </w:tc>
      </w:tr>
      <w:tr>
        <w:trPr>
          <w:trHeight w:val="383"/>
        </w:trPr>
        <w:tc>
          <w:tcPr>
            <w:tcW w:w="3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6"/>
                <w:szCs w:val="16"/>
                <w:color w:val="auto"/>
              </w:rPr>
              <w:t>As of December 31, 2025</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30-59 Days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60-89 Days</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Days</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Total Loans</w:t>
            </w:r>
          </w:p>
        </w:tc>
        <w:tc>
          <w:tcPr>
            <w:tcW w:w="0" w:type="dxa"/>
            <w:vAlign w:val="bottom"/>
          </w:tcPr>
          <w:p>
            <w:pPr>
              <w:spacing w:after="0"/>
              <w:rPr>
                <w:sz w:val="1"/>
                <w:szCs w:val="1"/>
                <w:color w:val="auto"/>
              </w:rPr>
            </w:pPr>
          </w:p>
        </w:tc>
      </w:tr>
      <w:tr>
        <w:trPr>
          <w:trHeight w:val="213"/>
        </w:trPr>
        <w:tc>
          <w:tcPr>
            <w:tcW w:w="35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Past Due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Past Due</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and Over</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Past Due</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Current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Receivable</w:t>
            </w:r>
          </w:p>
        </w:tc>
        <w:tc>
          <w:tcPr>
            <w:tcW w:w="0" w:type="dxa"/>
            <w:vAlign w:val="bottom"/>
          </w:tcPr>
          <w:p>
            <w:pPr>
              <w:spacing w:after="0"/>
              <w:rPr>
                <w:sz w:val="1"/>
                <w:szCs w:val="1"/>
                <w:color w:val="auto"/>
              </w:rPr>
            </w:pPr>
          </w:p>
        </w:tc>
      </w:tr>
      <w:tr>
        <w:trPr>
          <w:trHeight w:val="19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1-4 family first-lien residential mortgages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2,871</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7,782</w:t>
            </w:r>
          </w:p>
        </w:tc>
        <w:tc>
          <w:tcPr>
            <w:tcW w:w="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231,910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239,692</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Construction</w:t>
            </w:r>
          </w:p>
        </w:tc>
        <w:tc>
          <w:tcPr>
            <w:tcW w:w="74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2,039</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2,871</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7,782</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233,949</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241,731</w:t>
            </w:r>
          </w:p>
        </w:tc>
        <w:tc>
          <w:tcPr>
            <w:tcW w:w="0" w:type="dxa"/>
            <w:vAlign w:val="bottom"/>
          </w:tcPr>
          <w:p>
            <w:pPr>
              <w:spacing w:after="0"/>
              <w:rPr>
                <w:sz w:val="1"/>
                <w:szCs w:val="1"/>
                <w:color w:val="auto"/>
              </w:rPr>
            </w:pPr>
          </w:p>
        </w:tc>
      </w:tr>
      <w:tr>
        <w:trPr>
          <w:trHeight w:val="19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loans:</w:t>
            </w: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Real estate</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9,042</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7,461</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15,567</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32,070</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348,241</w:t>
            </w:r>
          </w:p>
        </w:tc>
        <w:tc>
          <w:tcPr>
            <w:tcW w:w="2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380,311</w:t>
            </w:r>
          </w:p>
        </w:tc>
        <w:tc>
          <w:tcPr>
            <w:tcW w:w="0" w:type="dxa"/>
            <w:vAlign w:val="bottom"/>
          </w:tcPr>
          <w:p>
            <w:pPr>
              <w:spacing w:after="0"/>
              <w:rPr>
                <w:sz w:val="1"/>
                <w:szCs w:val="1"/>
                <w:color w:val="auto"/>
              </w:rPr>
            </w:pPr>
          </w:p>
        </w:tc>
      </w:tr>
      <w:tr>
        <w:trPr>
          <w:trHeight w:val="202"/>
        </w:trPr>
        <w:tc>
          <w:tcPr>
            <w:tcW w:w="3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Lines of credit</w:t>
            </w: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73,792</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75,371</w:t>
            </w:r>
          </w:p>
        </w:tc>
        <w:tc>
          <w:tcPr>
            <w:tcW w:w="0" w:type="dxa"/>
            <w:vAlign w:val="bottom"/>
          </w:tcPr>
          <w:p>
            <w:pPr>
              <w:spacing w:after="0"/>
              <w:rPr>
                <w:sz w:val="1"/>
                <w:szCs w:val="1"/>
                <w:color w:val="auto"/>
              </w:rPr>
            </w:pPr>
          </w:p>
        </w:tc>
      </w:tr>
      <w:tr>
        <w:trPr>
          <w:trHeight w:val="203"/>
        </w:trPr>
        <w:tc>
          <w:tcPr>
            <w:tcW w:w="3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commercial and industrial</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7,914</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8,737</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72,473</w:t>
            </w:r>
          </w:p>
        </w:tc>
        <w:tc>
          <w:tcPr>
            <w:tcW w:w="2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81,210</w:t>
            </w:r>
          </w:p>
        </w:tc>
        <w:tc>
          <w:tcPr>
            <w:tcW w:w="0" w:type="dxa"/>
            <w:vAlign w:val="bottom"/>
          </w:tcPr>
          <w:p>
            <w:pPr>
              <w:spacing w:after="0"/>
              <w:rPr>
                <w:sz w:val="1"/>
                <w:szCs w:val="1"/>
                <w:color w:val="auto"/>
              </w:rPr>
            </w:pPr>
          </w:p>
        </w:tc>
      </w:tr>
      <w:tr>
        <w:trPr>
          <w:trHeight w:val="203"/>
        </w:trPr>
        <w:tc>
          <w:tcPr>
            <w:tcW w:w="3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Paycheck Protection Program loans</w:t>
            </w: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Tax exempt loans</w:t>
            </w: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6,716</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commercial loans</w:t>
            </w:r>
          </w:p>
        </w:tc>
        <w:tc>
          <w:tcPr>
            <w:tcW w:w="74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9,801</w:t>
            </w: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7,969</w:t>
            </w: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24,616</w:t>
            </w:r>
          </w:p>
        </w:tc>
        <w:tc>
          <w:tcPr>
            <w:tcW w:w="3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42,386</w:t>
            </w:r>
          </w:p>
        </w:tc>
        <w:tc>
          <w:tcPr>
            <w:tcW w:w="3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501,285</w:t>
            </w: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543,671</w:t>
            </w:r>
          </w:p>
        </w:tc>
        <w:tc>
          <w:tcPr>
            <w:tcW w:w="0" w:type="dxa"/>
            <w:vAlign w:val="bottom"/>
          </w:tcPr>
          <w:p>
            <w:pPr>
              <w:spacing w:after="0"/>
              <w:rPr>
                <w:sz w:val="1"/>
                <w:szCs w:val="1"/>
                <w:color w:val="auto"/>
              </w:rPr>
            </w:pPr>
          </w:p>
        </w:tc>
      </w:tr>
      <w:tr>
        <w:trPr>
          <w:trHeight w:val="196"/>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Consumer loans:</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Home equity and junior liens</w:t>
            </w: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48,402</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49,783</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Other consumer</w:t>
            </w: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61,346</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62,825</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consumer loans</w:t>
            </w:r>
          </w:p>
        </w:tc>
        <w:tc>
          <w:tcPr>
            <w:tcW w:w="74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3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2,860</w:t>
            </w:r>
          </w:p>
        </w:tc>
        <w:tc>
          <w:tcPr>
            <w:tcW w:w="3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109,748</w:t>
            </w: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112,608</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loans</w:t>
            </w:r>
          </w:p>
        </w:tc>
        <w:tc>
          <w:tcPr>
            <w:tcW w:w="9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13,936</w:t>
            </w:r>
          </w:p>
        </w:tc>
        <w:tc>
          <w:tcPr>
            <w:tcW w:w="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27,561</w:t>
            </w:r>
          </w:p>
        </w:tc>
        <w:tc>
          <w:tcPr>
            <w:tcW w:w="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53,028</w:t>
            </w:r>
          </w:p>
        </w:tc>
        <w:tc>
          <w:tcPr>
            <w:tcW w:w="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844,982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898,010</w:t>
            </w:r>
          </w:p>
        </w:tc>
        <w:tc>
          <w:tcPr>
            <w:tcW w:w="0" w:type="dxa"/>
            <w:vAlign w:val="bottom"/>
          </w:tcPr>
          <w:p>
            <w:pPr>
              <w:spacing w:after="0"/>
              <w:rPr>
                <w:sz w:val="1"/>
                <w:szCs w:val="1"/>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1" w:name="page22"/>
    <w:bookmarkEnd w:id="21"/>
    <w:p>
      <w:pPr>
        <w:jc w:val="both"/>
        <w:spacing w:after="0" w:line="254" w:lineRule="auto"/>
        <w:rPr>
          <w:sz w:val="20"/>
          <w:szCs w:val="20"/>
          <w:color w:val="auto"/>
        </w:rPr>
      </w:pPr>
      <w:r>
        <w:rPr>
          <w:rFonts w:ascii="Times New Roman" w:cs="Times New Roman" w:eastAsia="Times New Roman" w:hAnsi="Times New Roman"/>
          <w:sz w:val="20"/>
          <w:szCs w:val="20"/>
          <w:color w:val="auto"/>
        </w:rPr>
        <w:t>As of March 31, 2026 and December 31, 2025, the amount of interest income recognized on nonaccrual loans and the cost basis of nonaccrual loans, for which there is no ACL, are detailed in the following tables. All loans greater than 90 days past due are classified as nonaccrual.</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40" w:type="dxa"/>
            <w:vAlign w:val="bottom"/>
            <w:gridSpan w:val="3"/>
          </w:tcPr>
          <w:p>
            <w:pPr>
              <w:jc w:val="center"/>
              <w:ind w:left="1079"/>
              <w:spacing w:after="0"/>
              <w:rPr>
                <w:sz w:val="20"/>
                <w:szCs w:val="20"/>
                <w:color w:val="auto"/>
              </w:rPr>
            </w:pPr>
            <w:r>
              <w:rPr>
                <w:rFonts w:ascii="Times New Roman" w:cs="Times New Roman" w:eastAsia="Times New Roman" w:hAnsi="Times New Roman"/>
                <w:sz w:val="16"/>
                <w:szCs w:val="16"/>
                <w:color w:val="auto"/>
              </w:rPr>
              <w:t>As of and for the three months ended</w:t>
            </w: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center"/>
              <w:ind w:right="719"/>
              <w:spacing w:after="0"/>
              <w:rPr>
                <w:sz w:val="20"/>
                <w:szCs w:val="20"/>
                <w:color w:val="auto"/>
              </w:rPr>
            </w:pPr>
            <w:r>
              <w:rPr>
                <w:rFonts w:ascii="Times New Roman" w:cs="Times New Roman" w:eastAsia="Times New Roman" w:hAnsi="Times New Roman"/>
                <w:sz w:val="16"/>
                <w:szCs w:val="16"/>
                <w:color w:val="auto"/>
              </w:rPr>
              <w:t>March 31, 2026</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Nonaccrual loans without</w:t>
            </w: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related allowance for credit</w:t>
            </w:r>
          </w:p>
        </w:tc>
        <w:tc>
          <w:tcPr>
            <w:tcW w:w="17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Recognized interest</w:t>
            </w:r>
          </w:p>
        </w:tc>
        <w:tc>
          <w:tcPr>
            <w:tcW w:w="0" w:type="dxa"/>
            <w:vAlign w:val="bottom"/>
          </w:tcPr>
          <w:p>
            <w:pPr>
              <w:spacing w:after="0"/>
              <w:rPr>
                <w:sz w:val="1"/>
                <w:szCs w:val="1"/>
                <w:color w:val="auto"/>
              </w:rPr>
            </w:pPr>
          </w:p>
        </w:tc>
      </w:tr>
      <w:tr>
        <w:trPr>
          <w:trHeight w:val="213"/>
        </w:trPr>
        <w:tc>
          <w:tcPr>
            <w:tcW w:w="39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Nonaccrual Loans</w:t>
            </w:r>
          </w:p>
        </w:tc>
        <w:tc>
          <w:tcPr>
            <w:tcW w:w="3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loss</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income</w:t>
            </w:r>
          </w:p>
        </w:tc>
        <w:tc>
          <w:tcPr>
            <w:tcW w:w="0" w:type="dxa"/>
            <w:vAlign w:val="bottom"/>
          </w:tcPr>
          <w:p>
            <w:pPr>
              <w:spacing w:after="0"/>
              <w:rPr>
                <w:sz w:val="1"/>
                <w:szCs w:val="1"/>
                <w:color w:val="auto"/>
              </w:rPr>
            </w:pPr>
          </w:p>
        </w:tc>
      </w:tr>
      <w:tr>
        <w:trPr>
          <w:trHeight w:val="199"/>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1-4 family first-lien residential mortgages</w:t>
            </w:r>
          </w:p>
        </w:tc>
        <w:tc>
          <w:tcPr>
            <w:tcW w:w="1580" w:type="dxa"/>
            <w:vAlign w:val="bottom"/>
            <w:tcBorders>
              <w:bottom w:val="single" w:sz="8" w:color="auto"/>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3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9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loans:</w:t>
            </w:r>
          </w:p>
        </w:tc>
        <w:tc>
          <w:tcPr>
            <w:tcW w:w="1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Real estate</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24,929</w:t>
            </w:r>
          </w:p>
        </w:tc>
        <w:tc>
          <w:tcPr>
            <w:tcW w:w="360" w:type="dxa"/>
            <w:vAlign w:val="bottom"/>
          </w:tcPr>
          <w:p>
            <w:pPr>
              <w:spacing w:after="0"/>
              <w:rPr>
                <w:sz w:val="17"/>
                <w:szCs w:val="17"/>
                <w:color w:val="auto"/>
              </w:rPr>
            </w:pPr>
          </w:p>
        </w:tc>
        <w:tc>
          <w:tcPr>
            <w:tcW w:w="2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14,038</w:t>
            </w:r>
          </w:p>
        </w:tc>
        <w:tc>
          <w:tcPr>
            <w:tcW w:w="7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Lines of credit</w:t>
            </w:r>
          </w:p>
        </w:tc>
        <w:tc>
          <w:tcPr>
            <w:tcW w:w="1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360" w:type="dxa"/>
            <w:vAlign w:val="bottom"/>
            <w:shd w:val="clear" w:color="auto" w:fill="CFF0FC"/>
          </w:tcPr>
          <w:p>
            <w:pPr>
              <w:spacing w:after="0"/>
              <w:rPr>
                <w:sz w:val="17"/>
                <w:szCs w:val="17"/>
                <w:color w:val="auto"/>
              </w:rPr>
            </w:pPr>
          </w:p>
        </w:tc>
        <w:tc>
          <w:tcPr>
            <w:tcW w:w="2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749</w:t>
            </w:r>
          </w:p>
        </w:tc>
        <w:tc>
          <w:tcPr>
            <w:tcW w:w="7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3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Other commercial and industrial</w:t>
            </w: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8,007</w:t>
            </w:r>
          </w:p>
        </w:tc>
        <w:tc>
          <w:tcPr>
            <w:tcW w:w="3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189</w:t>
            </w:r>
          </w:p>
        </w:tc>
        <w:tc>
          <w:tcPr>
            <w:tcW w:w="7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commercial loans</w:t>
            </w:r>
          </w:p>
        </w:tc>
        <w:tc>
          <w:tcPr>
            <w:tcW w:w="11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34,831</w:t>
            </w:r>
          </w:p>
        </w:tc>
        <w:tc>
          <w:tcPr>
            <w:tcW w:w="360" w:type="dxa"/>
            <w:vAlign w:val="bottom"/>
            <w:tcBorders>
              <w:bottom w:val="single" w:sz="8" w:color="auto"/>
            </w:tcBorders>
            <w:shd w:val="clear" w:color="auto" w:fill="CFF0FC"/>
          </w:tcPr>
          <w:p>
            <w:pPr>
              <w:spacing w:after="0"/>
              <w:rPr>
                <w:sz w:val="17"/>
                <w:szCs w:val="17"/>
                <w:color w:val="auto"/>
              </w:rPr>
            </w:pPr>
          </w:p>
        </w:tc>
        <w:tc>
          <w:tcPr>
            <w:tcW w:w="20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14,976</w:t>
            </w:r>
          </w:p>
        </w:tc>
        <w:tc>
          <w:tcPr>
            <w:tcW w:w="7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Consumer loans:</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Home equity and junior liens</w:t>
            </w:r>
          </w:p>
        </w:tc>
        <w:tc>
          <w:tcPr>
            <w:tcW w:w="1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360" w:type="dxa"/>
            <w:vAlign w:val="bottom"/>
            <w:shd w:val="clear" w:color="auto" w:fill="CFF0FC"/>
          </w:tcPr>
          <w:p>
            <w:pPr>
              <w:spacing w:after="0"/>
              <w:rPr>
                <w:sz w:val="17"/>
                <w:szCs w:val="17"/>
                <w:color w:val="auto"/>
              </w:rPr>
            </w:pPr>
          </w:p>
        </w:tc>
        <w:tc>
          <w:tcPr>
            <w:tcW w:w="2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3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Other consumer</w:t>
            </w: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3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consumer loans</w:t>
            </w:r>
          </w:p>
        </w:tc>
        <w:tc>
          <w:tcPr>
            <w:tcW w:w="11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360" w:type="dxa"/>
            <w:vAlign w:val="bottom"/>
            <w:tcBorders>
              <w:bottom w:val="single" w:sz="8" w:color="auto"/>
            </w:tcBorders>
            <w:shd w:val="clear" w:color="auto" w:fill="CFF0FC"/>
          </w:tcPr>
          <w:p>
            <w:pPr>
              <w:spacing w:after="0"/>
              <w:rPr>
                <w:sz w:val="17"/>
                <w:szCs w:val="17"/>
                <w:color w:val="auto"/>
              </w:rPr>
            </w:pPr>
          </w:p>
        </w:tc>
        <w:tc>
          <w:tcPr>
            <w:tcW w:w="20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Total nonaccrual loans</w:t>
            </w:r>
          </w:p>
        </w:tc>
        <w:tc>
          <w:tcPr>
            <w:tcW w:w="15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38,160</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14,976</w:t>
            </w:r>
          </w:p>
        </w:tc>
        <w:tc>
          <w:tcPr>
            <w:tcW w:w="7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40" w:type="dxa"/>
            <w:vAlign w:val="bottom"/>
            <w:gridSpan w:val="2"/>
          </w:tcPr>
          <w:p>
            <w:pPr>
              <w:jc w:val="center"/>
              <w:ind w:right="359"/>
              <w:spacing w:after="0"/>
              <w:rPr>
                <w:sz w:val="20"/>
                <w:szCs w:val="20"/>
                <w:color w:val="auto"/>
              </w:rPr>
            </w:pPr>
            <w:r>
              <w:rPr>
                <w:rFonts w:ascii="Times New Roman" w:cs="Times New Roman" w:eastAsia="Times New Roman" w:hAnsi="Times New Roman"/>
                <w:sz w:val="16"/>
                <w:szCs w:val="16"/>
                <w:color w:val="auto"/>
              </w:rPr>
              <w:t>As of and for the year ended</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center"/>
              <w:ind w:right="719"/>
              <w:spacing w:after="0"/>
              <w:rPr>
                <w:sz w:val="20"/>
                <w:szCs w:val="20"/>
                <w:color w:val="auto"/>
              </w:rPr>
            </w:pPr>
            <w:r>
              <w:rPr>
                <w:rFonts w:ascii="Times New Roman" w:cs="Times New Roman" w:eastAsia="Times New Roman" w:hAnsi="Times New Roman"/>
                <w:sz w:val="16"/>
                <w:szCs w:val="16"/>
                <w:color w:val="auto"/>
              </w:rPr>
              <w:t>December 31, 2025</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Nonaccrual loans without</w:t>
            </w: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related allowance for credit</w:t>
            </w:r>
          </w:p>
        </w:tc>
        <w:tc>
          <w:tcPr>
            <w:tcW w:w="17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Recognized interest</w:t>
            </w:r>
          </w:p>
        </w:tc>
        <w:tc>
          <w:tcPr>
            <w:tcW w:w="0" w:type="dxa"/>
            <w:vAlign w:val="bottom"/>
          </w:tcPr>
          <w:p>
            <w:pPr>
              <w:spacing w:after="0"/>
              <w:rPr>
                <w:sz w:val="1"/>
                <w:szCs w:val="1"/>
                <w:color w:val="auto"/>
              </w:rPr>
            </w:pPr>
          </w:p>
        </w:tc>
      </w:tr>
      <w:tr>
        <w:trPr>
          <w:trHeight w:val="213"/>
        </w:trPr>
        <w:tc>
          <w:tcPr>
            <w:tcW w:w="39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Nonaccrual Loans</w:t>
            </w:r>
          </w:p>
        </w:tc>
        <w:tc>
          <w:tcPr>
            <w:tcW w:w="3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loss</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income</w:t>
            </w:r>
          </w:p>
        </w:tc>
        <w:tc>
          <w:tcPr>
            <w:tcW w:w="0" w:type="dxa"/>
            <w:vAlign w:val="bottom"/>
          </w:tcPr>
          <w:p>
            <w:pPr>
              <w:spacing w:after="0"/>
              <w:rPr>
                <w:sz w:val="1"/>
                <w:szCs w:val="1"/>
                <w:color w:val="auto"/>
              </w:rPr>
            </w:pPr>
          </w:p>
        </w:tc>
      </w:tr>
      <w:tr>
        <w:trPr>
          <w:trHeight w:val="199"/>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1-4 family first-lien residential mortgages</w:t>
            </w:r>
          </w:p>
        </w:tc>
        <w:tc>
          <w:tcPr>
            <w:tcW w:w="1580" w:type="dxa"/>
            <w:vAlign w:val="bottom"/>
            <w:tcBorders>
              <w:bottom w:val="single" w:sz="8" w:color="auto"/>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3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19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loans:</w:t>
            </w:r>
          </w:p>
        </w:tc>
        <w:tc>
          <w:tcPr>
            <w:tcW w:w="1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Real estate</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15,567</w:t>
            </w:r>
          </w:p>
        </w:tc>
        <w:tc>
          <w:tcPr>
            <w:tcW w:w="360" w:type="dxa"/>
            <w:vAlign w:val="bottom"/>
          </w:tcPr>
          <w:p>
            <w:pPr>
              <w:spacing w:after="0"/>
              <w:rPr>
                <w:sz w:val="17"/>
                <w:szCs w:val="17"/>
                <w:color w:val="auto"/>
              </w:rPr>
            </w:pPr>
          </w:p>
        </w:tc>
        <w:tc>
          <w:tcPr>
            <w:tcW w:w="2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4,853</w:t>
            </w:r>
          </w:p>
        </w:tc>
        <w:tc>
          <w:tcPr>
            <w:tcW w:w="7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Lines of credit</w:t>
            </w:r>
          </w:p>
        </w:tc>
        <w:tc>
          <w:tcPr>
            <w:tcW w:w="1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360" w:type="dxa"/>
            <w:vAlign w:val="bottom"/>
            <w:shd w:val="clear" w:color="auto" w:fill="CFF0FC"/>
          </w:tcPr>
          <w:p>
            <w:pPr>
              <w:spacing w:after="0"/>
              <w:rPr>
                <w:sz w:val="17"/>
                <w:szCs w:val="17"/>
                <w:color w:val="auto"/>
              </w:rPr>
            </w:pPr>
          </w:p>
        </w:tc>
        <w:tc>
          <w:tcPr>
            <w:tcW w:w="2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03"/>
        </w:trPr>
        <w:tc>
          <w:tcPr>
            <w:tcW w:w="3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Other commercial and industrial</w:t>
            </w: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7,914</w:t>
            </w:r>
          </w:p>
        </w:tc>
        <w:tc>
          <w:tcPr>
            <w:tcW w:w="3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commercial loans</w:t>
            </w:r>
          </w:p>
        </w:tc>
        <w:tc>
          <w:tcPr>
            <w:tcW w:w="11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24,616</w:t>
            </w:r>
          </w:p>
        </w:tc>
        <w:tc>
          <w:tcPr>
            <w:tcW w:w="360" w:type="dxa"/>
            <w:vAlign w:val="bottom"/>
            <w:tcBorders>
              <w:bottom w:val="single" w:sz="8" w:color="auto"/>
            </w:tcBorders>
            <w:shd w:val="clear" w:color="auto" w:fill="CFF0FC"/>
          </w:tcPr>
          <w:p>
            <w:pPr>
              <w:spacing w:after="0"/>
              <w:rPr>
                <w:sz w:val="17"/>
                <w:szCs w:val="17"/>
                <w:color w:val="auto"/>
              </w:rPr>
            </w:pPr>
          </w:p>
        </w:tc>
        <w:tc>
          <w:tcPr>
            <w:tcW w:w="20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4,853</w:t>
            </w:r>
          </w:p>
        </w:tc>
        <w:tc>
          <w:tcPr>
            <w:tcW w:w="7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986</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Consumer loans:</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Home equity and junior liens</w:t>
            </w:r>
          </w:p>
        </w:tc>
        <w:tc>
          <w:tcPr>
            <w:tcW w:w="1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360" w:type="dxa"/>
            <w:vAlign w:val="bottom"/>
            <w:shd w:val="clear" w:color="auto" w:fill="CFF0FC"/>
          </w:tcPr>
          <w:p>
            <w:pPr>
              <w:spacing w:after="0"/>
              <w:rPr>
                <w:sz w:val="17"/>
                <w:szCs w:val="17"/>
                <w:color w:val="auto"/>
              </w:rPr>
            </w:pPr>
          </w:p>
        </w:tc>
        <w:tc>
          <w:tcPr>
            <w:tcW w:w="2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3"/>
        </w:trPr>
        <w:tc>
          <w:tcPr>
            <w:tcW w:w="3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Other consumer</w:t>
            </w: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3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consumer loans</w:t>
            </w:r>
          </w:p>
        </w:tc>
        <w:tc>
          <w:tcPr>
            <w:tcW w:w="11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360" w:type="dxa"/>
            <w:vAlign w:val="bottom"/>
            <w:tcBorders>
              <w:bottom w:val="single" w:sz="8" w:color="auto"/>
            </w:tcBorders>
            <w:shd w:val="clear" w:color="auto" w:fill="CFF0FC"/>
          </w:tcPr>
          <w:p>
            <w:pPr>
              <w:spacing w:after="0"/>
              <w:rPr>
                <w:sz w:val="17"/>
                <w:szCs w:val="17"/>
                <w:color w:val="auto"/>
              </w:rPr>
            </w:pPr>
          </w:p>
        </w:tc>
        <w:tc>
          <w:tcPr>
            <w:tcW w:w="20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Total nonaccrual loans</w:t>
            </w:r>
          </w:p>
        </w:tc>
        <w:tc>
          <w:tcPr>
            <w:tcW w:w="15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27,561</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4,853</w:t>
            </w:r>
          </w:p>
        </w:tc>
        <w:tc>
          <w:tcPr>
            <w:tcW w:w="7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1,158</w:t>
            </w:r>
          </w:p>
        </w:tc>
        <w:tc>
          <w:tcPr>
            <w:tcW w:w="0" w:type="dxa"/>
            <w:vAlign w:val="bottom"/>
          </w:tcPr>
          <w:p>
            <w:pPr>
              <w:spacing w:after="0"/>
              <w:rPr>
                <w:sz w:val="1"/>
                <w:szCs w:val="1"/>
                <w:color w:val="auto"/>
              </w:rPr>
            </w:pP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At March 31, 2026, the Bank's 89 nonperforming loans represented 4.3% of total loans, with an aggregate outstanding balance of $38.2 million, as compared to 88 loans, representing 3.1% of total loans, with an aggregate outstanding balance of $27.6 million at December 31, 2025. The increase primarily reflected certain legacy loans associated with two commercial relationships that may have been less than 90 days delinquent but were identified as having unique risk characteristics through the Company’s previously disclosed comprehensive review of approximately 90% of the Bank’s commercial portfolio in 2025, and specific reserves for these exposures were established as appropriate prior to the first quarter of 2026.</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measurement of individually evaluated loans is generally based upon the present value of future cash flows discounted at the historical effective interest rate, except that all collateral-dependent loans are measured based on the fair value of the collateral, less costs to sell. The Company utilizes the Discounted Cash Flow (“DCF”) method for its pooled segment calculation. The DCF method implements a probability of default with loss given default and loss exposure at default estimation. The probability of default and loss given default are applied to future cash flows that are adjusted to present value and these discounted expected losses become the Allowance for Credit Losses.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22</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i w:val="1"/>
          <w:iCs w:val="1"/>
          <w:color w:val="auto"/>
        </w:rPr>
        <w:t>Loans Modified With Borrowers Experiencing Financial Difficulty</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When the Company modifies a loan with a borrower experiencing financial difficulty, a potential impairment is analyzed either based on the present value of the expected future cash flows discounted at the interest rate of the original loan terms or the fair value of the collateral less costs to sell. If it is determined that the value of the loan is less than its recorded investment, then impairment is recognized as a component of the provision for credit losses, an associated increase to the allowance for credit losses or as a charge-off to the allowance for credit losses in the current period.</w:t>
      </w:r>
    </w:p>
    <w:p>
      <w:pPr>
        <w:spacing w:after="0" w:line="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Because the effect of most loan modifications made with borrowers experiencing financial difficulty is already included in the allowance for credit losses, a change to the allowance for credit losses is generally not recorded upon modification. In some cases, the Company will modify a certain loan by providing multiple types of concessions. Typically, one type of concession, such as a term extension, is granted initially. If the borrower continues to experience financial difficulty, another concession such as an interest rate reduction, may be granted. Nonaccrual loans that are modified will remain on nonaccrual status, but may move to accrual status after they have performed according to the modified terms for a period of time of at least six consecutive months.</w:t>
      </w:r>
    </w:p>
    <w:p>
      <w:pPr>
        <w:spacing w:after="0" w:line="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financial impact of commercial loan modifications made to borrowers experiencing financial difficulty during the three months ended March 31, 2026 related to a total of four borrowers that were granted either maturity extensions or an interest rate modification. The Company closely monitors the performance of loans that are modified to borrowers experiencing financial difficulty to understand the effectiveness of its modification efforts. The payment status of modified loans were current during the three months ending March 31, 2026. There was one loan modification made to a borrower experiencing financial difficulty during the three months ended March 31, 2025.</w:t>
      </w:r>
    </w:p>
    <w:p>
      <w:pPr>
        <w:spacing w:after="0" w:line="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the amortized cost basis of loans for the three months ended March 31, 2026 and March 31, 2025 that were experiencing financial difficulty and modified, by class and by type of modification.</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Three Months Ended March 31, 2026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Three Months Ended March 31, 2025</w:t>
            </w:r>
          </w:p>
        </w:tc>
        <w:tc>
          <w:tcPr>
            <w:tcW w:w="0" w:type="dxa"/>
            <w:vAlign w:val="bottom"/>
          </w:tcPr>
          <w:p>
            <w:pPr>
              <w:spacing w:after="0"/>
              <w:rPr>
                <w:sz w:val="1"/>
                <w:szCs w:val="1"/>
                <w:color w:val="auto"/>
              </w:rPr>
            </w:pPr>
          </w:p>
        </w:tc>
      </w:tr>
      <w:tr>
        <w:trPr>
          <w:trHeight w:val="188"/>
        </w:trPr>
        <w:tc>
          <w:tcPr>
            <w:tcW w:w="31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8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Term</w:t>
            </w:r>
          </w:p>
        </w:tc>
        <w:tc>
          <w:tcPr>
            <w:tcW w:w="16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Total Class of</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Term</w:t>
            </w:r>
          </w:p>
        </w:tc>
        <w:tc>
          <w:tcPr>
            <w:tcW w:w="16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Total Class of</w:t>
            </w:r>
          </w:p>
        </w:tc>
        <w:tc>
          <w:tcPr>
            <w:tcW w:w="0" w:type="dxa"/>
            <w:vAlign w:val="bottom"/>
          </w:tcPr>
          <w:p>
            <w:pPr>
              <w:spacing w:after="0"/>
              <w:rPr>
                <w:sz w:val="1"/>
                <w:szCs w:val="1"/>
                <w:color w:val="auto"/>
              </w:rPr>
            </w:pPr>
          </w:p>
        </w:tc>
      </w:tr>
      <w:tr>
        <w:trPr>
          <w:trHeight w:val="213"/>
        </w:trPr>
        <w:tc>
          <w:tcPr>
            <w:tcW w:w="314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Extension</w:t>
            </w:r>
          </w:p>
        </w:tc>
        <w:tc>
          <w:tcPr>
            <w:tcW w:w="186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color w:val="auto"/>
              </w:rPr>
              <w:t>Receivable</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Extension</w:t>
            </w:r>
          </w:p>
        </w:tc>
        <w:tc>
          <w:tcPr>
            <w:tcW w:w="16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Receivable</w:t>
            </w:r>
          </w:p>
        </w:tc>
        <w:tc>
          <w:tcPr>
            <w:tcW w:w="0" w:type="dxa"/>
            <w:vAlign w:val="bottom"/>
          </w:tcPr>
          <w:p>
            <w:pPr>
              <w:spacing w:after="0"/>
              <w:rPr>
                <w:sz w:val="1"/>
                <w:szCs w:val="1"/>
                <w:color w:val="auto"/>
              </w:rPr>
            </w:pPr>
          </w:p>
        </w:tc>
      </w:tr>
      <w:tr>
        <w:trPr>
          <w:trHeight w:val="199"/>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380" w:type="dxa"/>
            <w:vAlign w:val="bottom"/>
            <w:shd w:val="clear" w:color="auto" w:fill="CFF0FC"/>
          </w:tcPr>
          <w:p>
            <w:pPr>
              <w:spacing w:after="0"/>
              <w:rPr>
                <w:sz w:val="17"/>
                <w:szCs w:val="17"/>
                <w:color w:val="auto"/>
              </w:rPr>
            </w:pPr>
          </w:p>
        </w:tc>
        <w:tc>
          <w:tcPr>
            <w:tcW w:w="192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92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2,031</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Commercial lines of credit</w:t>
            </w:r>
          </w:p>
        </w:tc>
        <w:tc>
          <w:tcPr>
            <w:tcW w:w="380" w:type="dxa"/>
            <w:vAlign w:val="bottom"/>
          </w:tcPr>
          <w:p>
            <w:pPr>
              <w:spacing w:after="0"/>
              <w:rPr>
                <w:sz w:val="17"/>
                <w:szCs w:val="17"/>
                <w:color w:val="auto"/>
              </w:rPr>
            </w:pPr>
          </w:p>
        </w:tc>
        <w:tc>
          <w:tcPr>
            <w:tcW w:w="19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33</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80" w:type="dxa"/>
            <w:vAlign w:val="bottom"/>
            <w:shd w:val="clear" w:color="auto" w:fill="CFF0FC"/>
          </w:tcPr>
          <w:p>
            <w:pPr>
              <w:spacing w:after="0"/>
              <w:rPr>
                <w:sz w:val="17"/>
                <w:szCs w:val="17"/>
                <w:color w:val="auto"/>
              </w:rPr>
            </w:pPr>
          </w:p>
        </w:tc>
        <w:tc>
          <w:tcPr>
            <w:tcW w:w="192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2,355</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92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Home equity and consumer</w:t>
            </w: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3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Borders>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2,388</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Borders>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2,031</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406"/>
        </w:trPr>
        <w:tc>
          <w:tcPr>
            <w:tcW w:w="3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Three Months Ended March 31, 2026</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Three Months Ended March 31, 2025</w:t>
            </w:r>
          </w:p>
        </w:tc>
        <w:tc>
          <w:tcPr>
            <w:tcW w:w="0" w:type="dxa"/>
            <w:vAlign w:val="bottom"/>
          </w:tcPr>
          <w:p>
            <w:pPr>
              <w:spacing w:after="0"/>
              <w:rPr>
                <w:sz w:val="1"/>
                <w:szCs w:val="1"/>
                <w:color w:val="auto"/>
              </w:rPr>
            </w:pPr>
          </w:p>
        </w:tc>
      </w:tr>
      <w:tr>
        <w:trPr>
          <w:trHeight w:val="188"/>
        </w:trPr>
        <w:tc>
          <w:tcPr>
            <w:tcW w:w="31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8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Interest Rate</w:t>
            </w:r>
          </w:p>
        </w:tc>
        <w:tc>
          <w:tcPr>
            <w:tcW w:w="166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Total Class of</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Interest Rate</w:t>
            </w:r>
          </w:p>
        </w:tc>
        <w:tc>
          <w:tcPr>
            <w:tcW w:w="16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Total Class of</w:t>
            </w:r>
          </w:p>
        </w:tc>
        <w:tc>
          <w:tcPr>
            <w:tcW w:w="0" w:type="dxa"/>
            <w:vAlign w:val="bottom"/>
          </w:tcPr>
          <w:p>
            <w:pPr>
              <w:spacing w:after="0"/>
              <w:rPr>
                <w:sz w:val="1"/>
                <w:szCs w:val="1"/>
                <w:color w:val="auto"/>
              </w:rPr>
            </w:pPr>
          </w:p>
        </w:tc>
      </w:tr>
      <w:tr>
        <w:trPr>
          <w:trHeight w:val="213"/>
        </w:trPr>
        <w:tc>
          <w:tcPr>
            <w:tcW w:w="314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Reduction</w:t>
            </w:r>
          </w:p>
        </w:tc>
        <w:tc>
          <w:tcPr>
            <w:tcW w:w="18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color w:val="auto"/>
              </w:rPr>
              <w:t>Receivable</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Reduction</w:t>
            </w:r>
          </w:p>
        </w:tc>
        <w:tc>
          <w:tcPr>
            <w:tcW w:w="16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Receivable</w:t>
            </w:r>
          </w:p>
        </w:tc>
        <w:tc>
          <w:tcPr>
            <w:tcW w:w="0" w:type="dxa"/>
            <w:vAlign w:val="bottom"/>
          </w:tcPr>
          <w:p>
            <w:pPr>
              <w:spacing w:after="0"/>
              <w:rPr>
                <w:sz w:val="1"/>
                <w:szCs w:val="1"/>
                <w:color w:val="auto"/>
              </w:rPr>
            </w:pPr>
          </w:p>
        </w:tc>
      </w:tr>
      <w:tr>
        <w:trPr>
          <w:trHeight w:val="199"/>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380" w:type="dxa"/>
            <w:vAlign w:val="bottom"/>
            <w:shd w:val="clear" w:color="auto" w:fill="CFF0FC"/>
          </w:tcPr>
          <w:p>
            <w:pPr>
              <w:spacing w:after="0"/>
              <w:rPr>
                <w:sz w:val="17"/>
                <w:szCs w:val="17"/>
                <w:color w:val="auto"/>
              </w:rPr>
            </w:pPr>
          </w:p>
        </w:tc>
        <w:tc>
          <w:tcPr>
            <w:tcW w:w="192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11,495</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92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Commercial lines of credit</w:t>
            </w:r>
          </w:p>
        </w:tc>
        <w:tc>
          <w:tcPr>
            <w:tcW w:w="380" w:type="dxa"/>
            <w:vAlign w:val="bottom"/>
          </w:tcPr>
          <w:p>
            <w:pPr>
              <w:spacing w:after="0"/>
              <w:rPr>
                <w:sz w:val="17"/>
                <w:szCs w:val="17"/>
                <w:color w:val="auto"/>
              </w:rPr>
            </w:pPr>
          </w:p>
        </w:tc>
        <w:tc>
          <w:tcPr>
            <w:tcW w:w="19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80" w:type="dxa"/>
            <w:vAlign w:val="bottom"/>
            <w:shd w:val="clear" w:color="auto" w:fill="CFF0FC"/>
          </w:tcPr>
          <w:p>
            <w:pPr>
              <w:spacing w:after="0"/>
              <w:rPr>
                <w:sz w:val="17"/>
                <w:szCs w:val="17"/>
                <w:color w:val="auto"/>
              </w:rPr>
            </w:pPr>
          </w:p>
        </w:tc>
        <w:tc>
          <w:tcPr>
            <w:tcW w:w="192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1,322</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92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Home equity and consumer</w:t>
            </w: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3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Borders>
              <w:bottom w:val="single" w:sz="8" w:color="auto"/>
            </w:tcBorders>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12,817</w:t>
            </w:r>
          </w:p>
        </w:tc>
        <w:tc>
          <w:tcPr>
            <w:tcW w:w="16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auto"/>
        </w:rPr>
        <w:t>Note 7:  Allowance for Credit Losses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Management extensively reviews recent trends in historical losses, qualitative factors, including concentrations of loans to related borrowers and concentrations of loans by collateral type, and specific reserve requirements on loans individually evaluated in its determination of the adequacy of the credit losses. Provision for credit losses was a benefit of $168,000 for the three month period ended March 31, 2026, as compared to a $457,000 provision for credit losses ("PCL") expense for the three month period ended March 31, 2025.</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Provision for credit losses decreased $625,000 for the three months ended March 31, 2026 compared to the same period in 2025. During the first quarter of 2026, the Company recorded a $186,000 reduction in the provision for credit losses related to its loan portfolio, partially offset by an $18,000 increase in reserves for unfunded commitments. The provision for the quarter ended March 31, 2026 primarily reflected lower net charge-offs and overall credit performance that resulted in a small reserve release in the first three months of this year. The first quarter 2026 PCL reflects a reduction in reserves driven by improved asset quality metrics.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the activity related to the ACL as of and for the three months ended March 31, 2026 and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6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Reserves as of</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Q1 2026 Charge-</w:t>
            </w: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Reserves as of March 31,</w:t>
            </w:r>
          </w:p>
        </w:tc>
      </w:tr>
      <w:tr>
        <w:trPr>
          <w:trHeight w:val="213"/>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ACL - Loans</w:t>
            </w: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December 31, 2025</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Offs</w:t>
            </w: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Q1 2026 Recoveries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Q1 2026 PCL</w:t>
            </w: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2026</w:t>
            </w:r>
          </w:p>
        </w:tc>
      </w:tr>
      <w:tr>
        <w:trPr>
          <w:trHeight w:val="199"/>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Individually evaluated</w:t>
            </w: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451</w:t>
            </w:r>
          </w:p>
        </w:tc>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18,472</w:t>
            </w:r>
          </w:p>
        </w:tc>
      </w:tr>
      <w:tr>
        <w:trPr>
          <w:trHeight w:val="203"/>
        </w:trPr>
        <w:tc>
          <w:tcPr>
            <w:tcW w:w="3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Collectively evaluated:</w:t>
            </w: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3"/>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Overdraft</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6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0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c>
          <w:tcPr>
            <w:tcW w:w="6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Pooled - quantitative</w:t>
            </w: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8,336</w:t>
            </w: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6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729</w:t>
            </w:r>
          </w:p>
        </w:tc>
        <w:tc>
          <w:tcPr>
            <w:tcW w:w="6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9,274</w:t>
            </w:r>
          </w:p>
        </w:tc>
      </w:tr>
      <w:tr>
        <w:trPr>
          <w:trHeight w:val="203"/>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Pooled - qualitative</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w:t>
            </w:r>
          </w:p>
        </w:tc>
      </w:tr>
      <w:tr>
        <w:trPr>
          <w:trHeight w:val="203"/>
        </w:trPr>
        <w:tc>
          <w:tcPr>
            <w:tcW w:w="312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Purchased</w:t>
            </w:r>
          </w:p>
        </w:tc>
        <w:tc>
          <w:tcPr>
            <w:tcW w:w="4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2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6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3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2,449</w:t>
            </w:r>
          </w:p>
        </w:tc>
      </w:tr>
      <w:tr>
        <w:trPr>
          <w:trHeight w:val="196"/>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ACL - Loans</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29,436</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6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6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28,966</w:t>
            </w:r>
          </w:p>
        </w:tc>
      </w:tr>
      <w:tr>
        <w:trPr>
          <w:trHeight w:val="203"/>
        </w:trPr>
        <w:tc>
          <w:tcPr>
            <w:tcW w:w="3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3"/>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ACL - Held-To-Maturity Securities</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w:t>
            </w:r>
          </w:p>
        </w:tc>
      </w:tr>
      <w:tr>
        <w:trPr>
          <w:trHeight w:val="203"/>
        </w:trPr>
        <w:tc>
          <w:tcPr>
            <w:tcW w:w="3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3"/>
        </w:trPr>
        <w:tc>
          <w:tcPr>
            <w:tcW w:w="3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Other Liabilities - Unfunded Commitments</w:t>
            </w: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588</w:t>
            </w:r>
          </w:p>
        </w:tc>
      </w:tr>
      <w:tr>
        <w:trPr>
          <w:trHeight w:val="236"/>
        </w:trPr>
        <w:tc>
          <w:tcPr>
            <w:tcW w:w="31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Total ACL</w:t>
            </w:r>
          </w:p>
        </w:tc>
        <w:tc>
          <w:tcPr>
            <w:tcW w:w="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30,182</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6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3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6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29,730</w:t>
            </w:r>
          </w:p>
        </w:tc>
      </w:tr>
      <w:tr>
        <w:trPr>
          <w:trHeight w:val="628"/>
        </w:trPr>
        <w:tc>
          <w:tcPr>
            <w:tcW w:w="31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60" w:type="dxa"/>
            <w:vAlign w:val="bottom"/>
          </w:tcPr>
          <w:p>
            <w:pPr>
              <w:spacing w:after="0"/>
              <w:rPr>
                <w:sz w:val="24"/>
                <w:szCs w:val="24"/>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Reserves as of</w:t>
            </w:r>
          </w:p>
        </w:tc>
        <w:tc>
          <w:tcPr>
            <w:tcW w:w="220" w:type="dxa"/>
            <w:vAlign w:val="bottom"/>
          </w:tcPr>
          <w:p>
            <w:pPr>
              <w:spacing w:after="0"/>
              <w:rPr>
                <w:sz w:val="24"/>
                <w:szCs w:val="24"/>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Q1 2025 Charge-</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Reserves as of March 31,</w:t>
            </w:r>
          </w:p>
        </w:tc>
      </w:tr>
      <w:tr>
        <w:trPr>
          <w:trHeight w:val="213"/>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ACL - Loans</w:t>
            </w: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December 31, 2024</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Offs</w:t>
            </w: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Q1 2025 Recoveries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Q1 2025 PCL</w:t>
            </w: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2025</w:t>
            </w:r>
          </w:p>
        </w:tc>
      </w:tr>
      <w:tr>
        <w:trPr>
          <w:trHeight w:val="199"/>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Individually evaluated</w:t>
            </w:r>
          </w:p>
        </w:tc>
        <w:tc>
          <w:tcPr>
            <w:tcW w:w="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2,490</w:t>
            </w:r>
          </w:p>
        </w:tc>
      </w:tr>
      <w:tr>
        <w:trPr>
          <w:trHeight w:val="203"/>
        </w:trPr>
        <w:tc>
          <w:tcPr>
            <w:tcW w:w="3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Collectively evaluated:</w:t>
            </w: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3"/>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Overdraft</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6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Pooled - quantitative</w:t>
            </w: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6,570</w:t>
            </w: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6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6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6,638</w:t>
            </w:r>
          </w:p>
        </w:tc>
      </w:tr>
      <w:tr>
        <w:trPr>
          <w:trHeight w:val="203"/>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Pooled - qualitative</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4,269</w:t>
            </w:r>
          </w:p>
        </w:tc>
        <w:tc>
          <w:tcPr>
            <w:tcW w:w="22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6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4,428</w:t>
            </w:r>
          </w:p>
        </w:tc>
      </w:tr>
      <w:tr>
        <w:trPr>
          <w:trHeight w:val="203"/>
        </w:trPr>
        <w:tc>
          <w:tcPr>
            <w:tcW w:w="312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Purchased</w:t>
            </w:r>
          </w:p>
        </w:tc>
        <w:tc>
          <w:tcPr>
            <w:tcW w:w="4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3,919</w:t>
            </w:r>
          </w:p>
        </w:tc>
        <w:tc>
          <w:tcPr>
            <w:tcW w:w="2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6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3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3,851</w:t>
            </w:r>
          </w:p>
        </w:tc>
      </w:tr>
      <w:tr>
        <w:trPr>
          <w:trHeight w:val="196"/>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ACL - Loans</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17,243</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6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6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17,407</w:t>
            </w:r>
          </w:p>
        </w:tc>
      </w:tr>
      <w:tr>
        <w:trPr>
          <w:trHeight w:val="203"/>
        </w:trPr>
        <w:tc>
          <w:tcPr>
            <w:tcW w:w="3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3"/>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ACL - Held-To-Maturity Securities</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2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257</w:t>
            </w:r>
          </w:p>
        </w:tc>
      </w:tr>
      <w:tr>
        <w:trPr>
          <w:trHeight w:val="203"/>
        </w:trPr>
        <w:tc>
          <w:tcPr>
            <w:tcW w:w="3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3"/>
        </w:trPr>
        <w:tc>
          <w:tcPr>
            <w:tcW w:w="3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Other Liabilities - Unfunded Commitments</w:t>
            </w: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503</w:t>
            </w:r>
          </w:p>
        </w:tc>
      </w:tr>
      <w:tr>
        <w:trPr>
          <w:trHeight w:val="236"/>
        </w:trPr>
        <w:tc>
          <w:tcPr>
            <w:tcW w:w="31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Total ACL</w:t>
            </w:r>
          </w:p>
        </w:tc>
        <w:tc>
          <w:tcPr>
            <w:tcW w:w="4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18,050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6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3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68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18,167</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4" w:name="page25"/>
    <w:bookmarkEnd w:id="24"/>
    <w:p>
      <w:pPr>
        <w:jc w:val="both"/>
        <w:spacing w:after="0" w:line="249" w:lineRule="auto"/>
        <w:rPr>
          <w:sz w:val="20"/>
          <w:szCs w:val="20"/>
          <w:color w:val="auto"/>
        </w:rPr>
      </w:pPr>
      <w:r>
        <w:rPr>
          <w:rFonts w:ascii="Times New Roman" w:cs="Times New Roman" w:eastAsia="Times New Roman" w:hAnsi="Times New Roman"/>
          <w:sz w:val="20"/>
          <w:szCs w:val="20"/>
          <w:color w:val="auto"/>
        </w:rPr>
        <w:t>Summarized in the tables below are changes in the allowance for credit losses for loans for the indicated periods and information pertaining to the allocation of the balances of the credit losses, loans receivable based on individual, and collective evaluation by loan portfolio class. An allocation of a portion of the allowance to a given portfolio class does not limit the Company’s ability to absorb losses in another portfolio class.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9"/>
          </w:tcPr>
          <w:p>
            <w:pPr>
              <w:jc w:val="right"/>
              <w:ind w:right="228"/>
              <w:spacing w:after="0"/>
              <w:rPr>
                <w:sz w:val="20"/>
                <w:szCs w:val="20"/>
                <w:color w:val="auto"/>
              </w:rPr>
            </w:pPr>
            <w:r>
              <w:rPr>
                <w:rFonts w:ascii="Times New Roman" w:cs="Times New Roman" w:eastAsia="Times New Roman" w:hAnsi="Times New Roman"/>
                <w:sz w:val="14"/>
                <w:szCs w:val="14"/>
                <w:color w:val="auto"/>
              </w:rPr>
              <w:t>As of and for the three months ended March 31, 2026</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1-4 family</w:t>
            </w:r>
          </w:p>
        </w:tc>
        <w:tc>
          <w:tcPr>
            <w:tcW w:w="180" w:type="dxa"/>
            <w:vAlign w:val="bottom"/>
          </w:tcPr>
          <w:p>
            <w:pPr>
              <w:spacing w:after="0"/>
              <w:rPr>
                <w:sz w:val="10"/>
                <w:szCs w:val="10"/>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0"/>
                <w:szCs w:val="10"/>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Paycheck</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Home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first-lien</w:t>
            </w: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Commercial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Tax</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residential</w:t>
            </w:r>
          </w:p>
        </w:tc>
        <w:tc>
          <w:tcPr>
            <w:tcW w:w="18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97"/>
              </w:rPr>
              <w:t>Protection</w:t>
            </w:r>
          </w:p>
        </w:tc>
        <w:tc>
          <w:tcPr>
            <w:tcW w:w="16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equity &amp;</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mortgage</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mortgage</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lines of credit</w:t>
            </w:r>
          </w:p>
        </w:tc>
        <w:tc>
          <w:tcPr>
            <w:tcW w:w="94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and industrial</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Program</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exempt</w:t>
            </w:r>
          </w:p>
        </w:tc>
        <w:tc>
          <w:tcPr>
            <w:tcW w:w="8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junior liens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99"/>
              </w:rPr>
              <w:t>consumer</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Allowance for credit losses: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Beginning Balance</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2,141</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474</w:t>
            </w:r>
          </w:p>
        </w:tc>
        <w:tc>
          <w:tcPr>
            <w:tcW w:w="1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10,580</w:t>
            </w:r>
          </w:p>
        </w:tc>
        <w:tc>
          <w:tcPr>
            <w:tcW w:w="1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3,698</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9,064</w:t>
            </w:r>
          </w:p>
        </w:tc>
        <w:tc>
          <w:tcPr>
            <w:tcW w:w="1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2,769</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29,436</w:t>
            </w: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(765)</w:t>
            </w:r>
          </w:p>
        </w:tc>
        <w:tc>
          <w:tcPr>
            <w:tcW w:w="0" w:type="dxa"/>
            <w:vAlign w:val="bottom"/>
          </w:tcPr>
          <w:p>
            <w:pPr>
              <w:spacing w:after="0"/>
              <w:rPr>
                <w:sz w:val="1"/>
                <w:szCs w:val="1"/>
                <w:color w:val="auto"/>
              </w:rPr>
            </w:pPr>
          </w:p>
        </w:tc>
      </w:tr>
      <w:tr>
        <w:trPr>
          <w:trHeight w:val="148"/>
        </w:trPr>
        <w:tc>
          <w:tcPr>
            <w:tcW w:w="22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Recoveries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8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26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0" w:type="dxa"/>
            <w:vAlign w:val="bottom"/>
          </w:tcPr>
          <w:p>
            <w:pPr>
              <w:spacing w:after="0"/>
              <w:rPr>
                <w:sz w:val="1"/>
                <w:szCs w:val="1"/>
                <w:color w:val="auto"/>
              </w:rPr>
            </w:pPr>
          </w:p>
        </w:tc>
      </w:tr>
      <w:tr>
        <w:trPr>
          <w:trHeight w:val="148"/>
        </w:trPr>
        <w:tc>
          <w:tcPr>
            <w:tcW w:w="2240" w:type="dxa"/>
            <w:vAlign w:val="bottom"/>
            <w:tcBorders>
              <w:bottom w:val="single" w:sz="8" w:color="auto"/>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Provisions (credits)</w:t>
            </w:r>
          </w:p>
        </w:tc>
        <w:tc>
          <w:tcPr>
            <w:tcW w:w="6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16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831</w:t>
            </w:r>
          </w:p>
        </w:tc>
        <w:tc>
          <w:tcPr>
            <w:tcW w:w="10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(874)</w:t>
            </w:r>
          </w:p>
        </w:tc>
        <w:tc>
          <w:tcPr>
            <w:tcW w:w="12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2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42"/>
        </w:trPr>
        <w:tc>
          <w:tcPr>
            <w:tcW w:w="22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Ending balance</w:t>
            </w:r>
          </w:p>
        </w:tc>
        <w:tc>
          <w:tcPr>
            <w:tcW w:w="1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1,890</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678</w:t>
            </w:r>
          </w:p>
        </w:tc>
        <w:tc>
          <w:tcPr>
            <w:tcW w:w="16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11,760</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2,729</w:t>
            </w: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8,810</w:t>
            </w:r>
          </w:p>
        </w:tc>
        <w:tc>
          <w:tcPr>
            <w:tcW w:w="1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587</w:t>
            </w: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2,507</w:t>
            </w: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28,966</w:t>
            </w:r>
          </w:p>
        </w:tc>
        <w:tc>
          <w:tcPr>
            <w:tcW w:w="0" w:type="dxa"/>
            <w:vAlign w:val="bottom"/>
          </w:tcPr>
          <w:p>
            <w:pPr>
              <w:spacing w:after="0"/>
              <w:rPr>
                <w:sz w:val="1"/>
                <w:szCs w:val="1"/>
                <w:color w:val="auto"/>
              </w:rPr>
            </w:pP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2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2"/>
                <w:szCs w:val="12"/>
                <w:color w:val="auto"/>
              </w:rPr>
              <w:t>Ending balance: related to loans</w:t>
            </w: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7,705</w:t>
            </w:r>
          </w:p>
        </w:tc>
        <w:tc>
          <w:tcPr>
            <w:tcW w:w="100" w:type="dxa"/>
            <w:vAlign w:val="bottom"/>
            <w:shd w:val="clear" w:color="auto" w:fill="CFF0FC"/>
          </w:tcPr>
          <w:p>
            <w:pPr>
              <w:spacing w:after="0"/>
              <w:rPr>
                <w:sz w:val="9"/>
                <w:szCs w:val="9"/>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2,576</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7,985</w:t>
            </w:r>
          </w:p>
        </w:tc>
        <w:tc>
          <w:tcPr>
            <w:tcW w:w="1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9"/>
                <w:szCs w:val="9"/>
                <w:color w:val="auto"/>
              </w:rPr>
            </w:pPr>
          </w:p>
        </w:tc>
        <w:tc>
          <w:tcPr>
            <w:tcW w:w="5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18,472</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individually evaluated</w:t>
            </w:r>
          </w:p>
        </w:tc>
        <w:tc>
          <w:tcPr>
            <w:tcW w:w="140" w:type="dxa"/>
            <w:vAlign w:val="bottom"/>
            <w:tcBorders>
              <w:bottom w:val="single" w:sz="8" w:color="auto"/>
            </w:tcBorders>
            <w:gridSpan w:val="2"/>
            <w:vMerge w:val="continue"/>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44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auto"/>
            </w:tcBorders>
            <w:vMerge w:val="continue"/>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Ending balance: related to loans</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825</w:t>
            </w: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2,487</w:t>
            </w:r>
          </w:p>
        </w:tc>
        <w:tc>
          <w:tcPr>
            <w:tcW w:w="2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10,494</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collectively evaluated</w:t>
            </w:r>
          </w:p>
        </w:tc>
        <w:tc>
          <w:tcPr>
            <w:tcW w:w="140" w:type="dxa"/>
            <w:vAlign w:val="bottom"/>
            <w:tcBorders>
              <w:bottom w:val="single" w:sz="8" w:color="auto"/>
            </w:tcBorders>
            <w:gridSpan w:val="2"/>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Loans receivables: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Ending balance, gross</w:t>
            </w:r>
          </w:p>
        </w:tc>
        <w:tc>
          <w:tcPr>
            <w:tcW w:w="140" w:type="dxa"/>
            <w:vAlign w:val="bottom"/>
            <w:tcBorders>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234,027</w:t>
            </w:r>
          </w:p>
        </w:tc>
        <w:tc>
          <w:tcPr>
            <w:tcW w:w="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1,259</w:t>
            </w:r>
          </w:p>
        </w:tc>
        <w:tc>
          <w:tcPr>
            <w:tcW w:w="160" w:type="dxa"/>
            <w:vAlign w:val="bottom"/>
            <w:tcBorders>
              <w:bottom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384,739</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80,238</w:t>
            </w:r>
          </w:p>
        </w:tc>
        <w:tc>
          <w:tcPr>
            <w:tcW w:w="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77,863</w:t>
            </w:r>
          </w:p>
        </w:tc>
        <w:tc>
          <w:tcPr>
            <w:tcW w:w="18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6,581</w:t>
            </w:r>
          </w:p>
        </w:tc>
        <w:tc>
          <w:tcPr>
            <w:tcW w:w="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51,442</w:t>
            </w:r>
          </w:p>
        </w:tc>
        <w:tc>
          <w:tcPr>
            <w:tcW w:w="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60,278</w:t>
            </w:r>
          </w:p>
        </w:tc>
        <w:tc>
          <w:tcPr>
            <w:tcW w:w="26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896,476</w:t>
            </w:r>
          </w:p>
        </w:tc>
        <w:tc>
          <w:tcPr>
            <w:tcW w:w="0" w:type="dxa"/>
            <w:vAlign w:val="bottom"/>
          </w:tcPr>
          <w:p>
            <w:pPr>
              <w:spacing w:after="0"/>
              <w:rPr>
                <w:sz w:val="1"/>
                <w:szCs w:val="1"/>
                <w:color w:val="auto"/>
              </w:rPr>
            </w:pP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2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2"/>
                <w:szCs w:val="12"/>
                <w:color w:val="auto"/>
              </w:rPr>
              <w:t>Ending balance: individually</w:t>
            </w: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54,448</w:t>
            </w:r>
          </w:p>
        </w:tc>
        <w:tc>
          <w:tcPr>
            <w:tcW w:w="100" w:type="dxa"/>
            <w:vAlign w:val="bottom"/>
            <w:shd w:val="clear" w:color="auto" w:fill="CFF0FC"/>
          </w:tcPr>
          <w:p>
            <w:pPr>
              <w:spacing w:after="0"/>
              <w:rPr>
                <w:sz w:val="9"/>
                <w:szCs w:val="9"/>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11,732</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17,016</w:t>
            </w:r>
          </w:p>
        </w:tc>
        <w:tc>
          <w:tcPr>
            <w:tcW w:w="1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9"/>
                <w:szCs w:val="9"/>
                <w:color w:val="auto"/>
              </w:rPr>
            </w:pPr>
          </w:p>
        </w:tc>
        <w:tc>
          <w:tcPr>
            <w:tcW w:w="5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84,651</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evaluated</w:t>
            </w:r>
          </w:p>
        </w:tc>
        <w:tc>
          <w:tcPr>
            <w:tcW w:w="140" w:type="dxa"/>
            <w:vAlign w:val="bottom"/>
            <w:tcBorders>
              <w:bottom w:val="single" w:sz="8" w:color="auto"/>
            </w:tcBorders>
            <w:gridSpan w:val="2"/>
            <w:vMerge w:val="continue"/>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44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auto"/>
            </w:tcBorders>
            <w:vMerge w:val="continue"/>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Ending balance: collectively</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233,201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330,291</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68,506</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60,847</w:t>
            </w: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6,581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50,843</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60,248</w:t>
            </w:r>
          </w:p>
        </w:tc>
        <w:tc>
          <w:tcPr>
            <w:tcW w:w="2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811,825</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evaluated</w:t>
            </w:r>
          </w:p>
        </w:tc>
        <w:tc>
          <w:tcPr>
            <w:tcW w:w="140" w:type="dxa"/>
            <w:vAlign w:val="bottom"/>
            <w:tcBorders>
              <w:bottom w:val="single" w:sz="8" w:color="auto"/>
            </w:tcBorders>
            <w:gridSpan w:val="2"/>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28"/>
        </w:trPr>
        <w:tc>
          <w:tcPr>
            <w:tcW w:w="22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9"/>
          </w:tcPr>
          <w:p>
            <w:pPr>
              <w:jc w:val="right"/>
              <w:ind w:right="268"/>
              <w:spacing w:after="0"/>
              <w:rPr>
                <w:sz w:val="20"/>
                <w:szCs w:val="20"/>
                <w:color w:val="auto"/>
              </w:rPr>
            </w:pPr>
            <w:r>
              <w:rPr>
                <w:rFonts w:ascii="Times New Roman" w:cs="Times New Roman" w:eastAsia="Times New Roman" w:hAnsi="Times New Roman"/>
                <w:sz w:val="14"/>
                <w:szCs w:val="14"/>
                <w:color w:val="auto"/>
              </w:rPr>
              <w:t>As of and for the three months ended March 31, 2025</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68"/>
              <w:spacing w:after="0" w:line="119" w:lineRule="exact"/>
              <w:rPr>
                <w:sz w:val="20"/>
                <w:szCs w:val="20"/>
                <w:color w:val="auto"/>
              </w:rPr>
            </w:pPr>
            <w:r>
              <w:rPr>
                <w:rFonts w:ascii="Times New Roman" w:cs="Times New Roman" w:eastAsia="Times New Roman" w:hAnsi="Times New Roman"/>
                <w:sz w:val="13"/>
                <w:szCs w:val="13"/>
                <w:color w:val="auto"/>
              </w:rPr>
              <w:t>1-4 family</w:t>
            </w:r>
          </w:p>
        </w:tc>
        <w:tc>
          <w:tcPr>
            <w:tcW w:w="180" w:type="dxa"/>
            <w:vAlign w:val="bottom"/>
          </w:tcPr>
          <w:p>
            <w:pPr>
              <w:spacing w:after="0"/>
              <w:rPr>
                <w:sz w:val="10"/>
                <w:szCs w:val="10"/>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0"/>
                <w:szCs w:val="10"/>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Paycheck</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Home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first-lien</w:t>
            </w: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Commercial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equity &amp;</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residential</w:t>
            </w:r>
          </w:p>
        </w:tc>
        <w:tc>
          <w:tcPr>
            <w:tcW w:w="180" w:type="dxa"/>
            <w:vAlign w:val="bottom"/>
          </w:tcPr>
          <w:p>
            <w:pPr>
              <w:spacing w:after="0"/>
              <w:rPr>
                <w:sz w:val="12"/>
                <w:szCs w:val="12"/>
                <w:color w:val="auto"/>
              </w:rPr>
            </w:pP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Protection</w:t>
            </w: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junior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mortgage</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mortgage</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lines of credit</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and industrial</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Program</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exempt</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liens</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consumer</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Allowance for credit losses: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Beginning Balance</w:t>
            </w:r>
          </w:p>
        </w:tc>
        <w:tc>
          <w:tcPr>
            <w:tcW w:w="1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1,467</w:t>
            </w:r>
          </w:p>
        </w:tc>
        <w:tc>
          <w:tcPr>
            <w:tcW w:w="1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592</w:t>
            </w:r>
          </w:p>
        </w:tc>
        <w:tc>
          <w:tcPr>
            <w:tcW w:w="1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6,746</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749</w:t>
            </w: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2,879</w:t>
            </w: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715</w:t>
            </w: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4,091</w:t>
            </w:r>
          </w:p>
        </w:tc>
        <w:tc>
          <w:tcPr>
            <w:tcW w:w="2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17,243</w:t>
            </w:r>
          </w:p>
        </w:tc>
        <w:tc>
          <w:tcPr>
            <w:tcW w:w="0" w:type="dxa"/>
            <w:vAlign w:val="bottom"/>
          </w:tcPr>
          <w:p>
            <w:pPr>
              <w:spacing w:after="0"/>
              <w:rPr>
                <w:sz w:val="1"/>
                <w:szCs w:val="1"/>
                <w:color w:val="auto"/>
              </w:rPr>
            </w:pPr>
          </w:p>
        </w:tc>
      </w:tr>
      <w:tr>
        <w:trPr>
          <w:trHeight w:val="148"/>
        </w:trPr>
        <w:tc>
          <w:tcPr>
            <w:tcW w:w="22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20" w:type="dxa"/>
            <w:vAlign w:val="bottom"/>
          </w:tcPr>
          <w:p>
            <w:pPr>
              <w:spacing w:after="0"/>
              <w:rPr>
                <w:sz w:val="12"/>
                <w:szCs w:val="12"/>
                <w:color w:val="auto"/>
              </w:rPr>
            </w:pPr>
          </w:p>
        </w:tc>
        <w:tc>
          <w:tcPr>
            <w:tcW w:w="10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149"/>
        </w:trPr>
        <w:tc>
          <w:tcPr>
            <w:tcW w:w="224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Recoveries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48"/>
        </w:trPr>
        <w:tc>
          <w:tcPr>
            <w:tcW w:w="2240" w:type="dxa"/>
            <w:vAlign w:val="bottom"/>
            <w:tcBorders>
              <w:bottom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Provisions (credits)</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182"/>
        </w:trPr>
        <w:tc>
          <w:tcPr>
            <w:tcW w:w="224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Ending balance</w:t>
            </w:r>
          </w:p>
        </w:tc>
        <w:tc>
          <w:tcPr>
            <w:tcW w:w="140" w:type="dxa"/>
            <w:vAlign w:val="bottom"/>
            <w:tcBorders>
              <w:bottom w:val="single" w:sz="8" w:color="auto"/>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1,433</w:t>
            </w:r>
          </w:p>
        </w:tc>
        <w:tc>
          <w:tcPr>
            <w:tcW w:w="18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504</w:t>
            </w:r>
          </w:p>
        </w:tc>
        <w:tc>
          <w:tcPr>
            <w:tcW w:w="160" w:type="dxa"/>
            <w:vAlign w:val="bottom"/>
            <w:tcBorders>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7,079</w:t>
            </w: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911</w:t>
            </w: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2,848</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694</w:t>
            </w: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3,936</w:t>
            </w:r>
          </w:p>
        </w:tc>
        <w:tc>
          <w:tcPr>
            <w:tcW w:w="2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17,407</w:t>
            </w:r>
          </w:p>
        </w:tc>
        <w:tc>
          <w:tcPr>
            <w:tcW w:w="0" w:type="dxa"/>
            <w:vAlign w:val="bottom"/>
          </w:tcPr>
          <w:p>
            <w:pPr>
              <w:spacing w:after="0"/>
              <w:rPr>
                <w:sz w:val="1"/>
                <w:szCs w:val="1"/>
                <w:color w:val="auto"/>
              </w:rPr>
            </w:pPr>
          </w:p>
        </w:tc>
      </w:tr>
      <w:tr>
        <w:trPr>
          <w:trHeight w:val="106"/>
        </w:trPr>
        <w:tc>
          <w:tcPr>
            <w:tcW w:w="224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Ending balance: related to loans</w:t>
            </w:r>
          </w:p>
        </w:tc>
        <w:tc>
          <w:tcPr>
            <w:tcW w:w="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41</w:t>
            </w: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1,004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9"/>
                <w:szCs w:val="9"/>
                <w:color w:val="auto"/>
              </w:rPr>
            </w:pPr>
          </w:p>
        </w:tc>
        <w:tc>
          <w:tcPr>
            <w:tcW w:w="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2,490</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individually evaluated</w:t>
            </w:r>
          </w:p>
        </w:tc>
        <w:tc>
          <w:tcPr>
            <w:tcW w:w="140" w:type="dxa"/>
            <w:vAlign w:val="bottom"/>
            <w:tcBorders>
              <w:bottom w:val="single" w:sz="8" w:color="auto"/>
            </w:tcBorders>
            <w:gridSpan w:val="2"/>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Ending balance: related to loans</w:t>
            </w:r>
          </w:p>
        </w:tc>
        <w:tc>
          <w:tcPr>
            <w:tcW w:w="1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1,392</w:t>
            </w:r>
          </w:p>
        </w:tc>
        <w:tc>
          <w:tcPr>
            <w:tcW w:w="1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504</w:t>
            </w:r>
          </w:p>
        </w:tc>
        <w:tc>
          <w:tcPr>
            <w:tcW w:w="1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6,075</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658</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514</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3,936</w:t>
            </w:r>
          </w:p>
        </w:tc>
        <w:tc>
          <w:tcPr>
            <w:tcW w:w="2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14,917</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collectively evaluated</w:t>
            </w:r>
          </w:p>
        </w:tc>
        <w:tc>
          <w:tcPr>
            <w:tcW w:w="140" w:type="dxa"/>
            <w:vAlign w:val="bottom"/>
            <w:tcBorders>
              <w:bottom w:val="single" w:sz="8" w:color="auto"/>
            </w:tcBorders>
            <w:gridSpan w:val="2"/>
            <w:vMerge w:val="continue"/>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640" w:type="dxa"/>
            <w:vAlign w:val="bottom"/>
            <w:tcBorders>
              <w:bottom w:val="single" w:sz="8" w:color="auto"/>
            </w:tcBorders>
            <w:gridSpan w:val="2"/>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auto"/>
            </w:tcBorders>
            <w:vMerge w:val="continue"/>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Loans receivables: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4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Ending balance, gross</w:t>
            </w:r>
          </w:p>
        </w:tc>
        <w:tc>
          <w:tcPr>
            <w:tcW w:w="140" w:type="dxa"/>
            <w:vAlign w:val="bottom"/>
            <w:tcBorders>
              <w:bottom w:val="single" w:sz="8" w:color="auto"/>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243,854</w:t>
            </w:r>
          </w:p>
        </w:tc>
        <w:tc>
          <w:tcPr>
            <w:tcW w:w="180" w:type="dxa"/>
            <w:vAlign w:val="bottom"/>
            <w:tcBorders>
              <w:bottom w:val="single" w:sz="8" w:color="auto"/>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3,162</w:t>
            </w:r>
          </w:p>
        </w:tc>
        <w:tc>
          <w:tcPr>
            <w:tcW w:w="160" w:type="dxa"/>
            <w:vAlign w:val="bottom"/>
            <w:tcBorders>
              <w:bottom w:val="single" w:sz="8" w:color="auto"/>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381,479</w:t>
            </w:r>
          </w:p>
        </w:tc>
        <w:tc>
          <w:tcPr>
            <w:tcW w:w="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65,074</w:t>
            </w:r>
          </w:p>
        </w:tc>
        <w:tc>
          <w:tcPr>
            <w:tcW w:w="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91,644</w:t>
            </w:r>
          </w:p>
        </w:tc>
        <w:tc>
          <w:tcPr>
            <w:tcW w:w="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4,446</w:t>
            </w:r>
          </w:p>
        </w:tc>
        <w:tc>
          <w:tcPr>
            <w:tcW w:w="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52,315</w:t>
            </w:r>
          </w:p>
        </w:tc>
        <w:tc>
          <w:tcPr>
            <w:tcW w:w="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71,681</w:t>
            </w:r>
          </w:p>
        </w:tc>
        <w:tc>
          <w:tcPr>
            <w:tcW w:w="260" w:type="dxa"/>
            <w:vAlign w:val="bottom"/>
            <w:tcBorders>
              <w:bottom w:val="single" w:sz="8" w:color="auto"/>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913,751</w:t>
            </w:r>
          </w:p>
        </w:tc>
        <w:tc>
          <w:tcPr>
            <w:tcW w:w="0" w:type="dxa"/>
            <w:vAlign w:val="bottom"/>
          </w:tcPr>
          <w:p>
            <w:pPr>
              <w:spacing w:after="0"/>
              <w:rPr>
                <w:sz w:val="1"/>
                <w:szCs w:val="1"/>
                <w:color w:val="auto"/>
              </w:rPr>
            </w:pPr>
          </w:p>
        </w:tc>
      </w:tr>
      <w:tr>
        <w:trPr>
          <w:trHeight w:val="106"/>
        </w:trPr>
        <w:tc>
          <w:tcPr>
            <w:tcW w:w="224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Ending balance: individually</w:t>
            </w:r>
          </w:p>
        </w:tc>
        <w:tc>
          <w:tcPr>
            <w:tcW w:w="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1,170</w:t>
            </w: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10,650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503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9"/>
                <w:szCs w:val="9"/>
                <w:color w:val="auto"/>
              </w:rPr>
            </w:pPr>
          </w:p>
        </w:tc>
        <w:tc>
          <w:tcPr>
            <w:tcW w:w="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530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15,798</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evaluated</w:t>
            </w:r>
          </w:p>
        </w:tc>
        <w:tc>
          <w:tcPr>
            <w:tcW w:w="140" w:type="dxa"/>
            <w:vAlign w:val="bottom"/>
            <w:tcBorders>
              <w:bottom w:val="single" w:sz="8" w:color="auto"/>
            </w:tcBorders>
            <w:gridSpan w:val="2"/>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Ending balance: collectively</w:t>
            </w:r>
          </w:p>
        </w:tc>
        <w:tc>
          <w:tcPr>
            <w:tcW w:w="1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242,684</w:t>
            </w:r>
          </w:p>
        </w:tc>
        <w:tc>
          <w:tcPr>
            <w:tcW w:w="1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3,162</w:t>
            </w:r>
          </w:p>
        </w:tc>
        <w:tc>
          <w:tcPr>
            <w:tcW w:w="1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370,829</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64,571</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88,699</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4,446</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51,785</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71,681</w:t>
            </w:r>
          </w:p>
        </w:tc>
        <w:tc>
          <w:tcPr>
            <w:tcW w:w="2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897,953</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evaluated</w:t>
            </w:r>
          </w:p>
        </w:tc>
        <w:tc>
          <w:tcPr>
            <w:tcW w:w="140" w:type="dxa"/>
            <w:vAlign w:val="bottom"/>
            <w:tcBorders>
              <w:bottom w:val="single" w:sz="8" w:color="auto"/>
            </w:tcBorders>
            <w:gridSpan w:val="2"/>
            <w:vMerge w:val="continue"/>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640" w:type="dxa"/>
            <w:vAlign w:val="bottom"/>
            <w:tcBorders>
              <w:bottom w:val="single" w:sz="8" w:color="auto"/>
            </w:tcBorders>
            <w:gridSpan w:val="2"/>
            <w:vMerge w:val="continue"/>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640" w:type="dxa"/>
            <w:vAlign w:val="bottom"/>
            <w:tcBorders>
              <w:bottom w:val="single" w:sz="8" w:color="auto"/>
            </w:tcBorders>
            <w:gridSpan w:val="2"/>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auto"/>
            </w:tcBorders>
            <w:vMerge w:val="continue"/>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methodology for determining its allowance for credit losses includes an analysis of qualitative factors that are added to the historical loss rates in arriving at the total allowance for credit losses needed for collectively evaluated loans. The qualitative factors include, but are not limited to, the following:</w:t>
      </w:r>
    </w:p>
    <w:p>
      <w:pPr>
        <w:spacing w:after="0" w:line="147"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national and local economic trends;</w:t>
      </w:r>
    </w:p>
    <w:p>
      <w:pPr>
        <w:spacing w:after="0" w:line="2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of growth in the portfolio;</w:t>
      </w: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Trends of delinquencies and nonaccrual balances;</w:t>
      </w: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loan policy; and</w:t>
      </w: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lending management experience and related staffing.</w:t>
      </w:r>
    </w:p>
    <w:p>
      <w:pPr>
        <w:spacing w:after="0" w:line="2" w:lineRule="exact"/>
        <w:rPr>
          <w:rFonts w:ascii="Times New Roman" w:cs="Times New Roman" w:eastAsia="Times New Roman" w:hAnsi="Times New Roman"/>
          <w:sz w:val="20"/>
          <w:szCs w:val="20"/>
          <w:color w:val="auto"/>
        </w:rPr>
      </w:pPr>
    </w:p>
    <w:p>
      <w:pPr>
        <w:ind w:left="5540" w:hanging="111"/>
        <w:spacing w:after="0"/>
        <w:tabs>
          <w:tab w:leader="none" w:pos="5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5" w:name="page26"/>
    <w:bookmarkEnd w:id="25"/>
    <w:p>
      <w:pPr>
        <w:jc w:val="both"/>
        <w:spacing w:after="0" w:line="246" w:lineRule="auto"/>
        <w:rPr>
          <w:sz w:val="20"/>
          <w:szCs w:val="20"/>
          <w:color w:val="auto"/>
        </w:rPr>
      </w:pPr>
      <w:r>
        <w:rPr>
          <w:rFonts w:ascii="Times New Roman" w:cs="Times New Roman" w:eastAsia="Times New Roman" w:hAnsi="Times New Roman"/>
          <w:sz w:val="20"/>
          <w:szCs w:val="20"/>
          <w:color w:val="auto"/>
        </w:rPr>
        <w:t>Each factor is assigned a value to reflect improving, stable or declining conditions based on management’s best judgment using relevant information available at the time of the evaluation. These qualitative factors, applied to each loan class, make the evaluation inherently subjective, as it requires material estimates that may be susceptible to significant revision as more information becomes available. Adjustments to the factors are supported through documentation of changes in conditions in a narrative accompanying the allowance for credit losses analysis and calculation.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allocation of the allowance for credit losses summarized on the basis of the Company’s calculation methodology was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6"/>
                <w:szCs w:val="16"/>
                <w:color w:val="auto"/>
              </w:rPr>
              <w:t>As of March 31,2026</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 family</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first-lien</w:t>
            </w:r>
          </w:p>
        </w:tc>
        <w:tc>
          <w:tcPr>
            <w:tcW w:w="16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Residential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Home</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residential</w:t>
            </w:r>
          </w:p>
        </w:tc>
        <w:tc>
          <w:tcPr>
            <w:tcW w:w="16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construction</w:t>
            </w:r>
          </w:p>
        </w:tc>
        <w:tc>
          <w:tcPr>
            <w:tcW w:w="16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Commercial</w:t>
            </w:r>
          </w:p>
        </w:tc>
        <w:tc>
          <w:tcPr>
            <w:tcW w:w="1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Commercial</w:t>
            </w:r>
          </w:p>
        </w:tc>
        <w:tc>
          <w:tcPr>
            <w:tcW w:w="12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commercial</w:t>
            </w:r>
          </w:p>
        </w:tc>
        <w:tc>
          <w:tcPr>
            <w:tcW w:w="140" w:type="dxa"/>
            <w:vAlign w:val="bottom"/>
          </w:tcPr>
          <w:p>
            <w:pPr>
              <w:spacing w:after="0"/>
              <w:rPr>
                <w:sz w:val="17"/>
                <w:szCs w:val="17"/>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Tax</w:t>
            </w:r>
          </w:p>
        </w:tc>
        <w:tc>
          <w:tcPr>
            <w:tcW w:w="9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equity and</w:t>
            </w:r>
          </w:p>
        </w:tc>
        <w:tc>
          <w:tcPr>
            <w:tcW w:w="20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mortgage</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mortgage</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real estate</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lines of credit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and industrial</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exempt</w:t>
            </w:r>
          </w:p>
        </w:tc>
        <w:tc>
          <w:tcPr>
            <w:tcW w:w="90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junior liens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9"/>
        </w:trPr>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Specifically reserved</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7,705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2,576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7,985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333</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2,322</w:t>
            </w: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20,921</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Historical loss rate</w:t>
            </w:r>
          </w:p>
        </w:tc>
        <w:tc>
          <w:tcPr>
            <w:tcW w:w="1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2,139</w:t>
            </w:r>
          </w:p>
        </w:tc>
        <w:tc>
          <w:tcPr>
            <w:tcW w:w="16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727</w:t>
            </w:r>
          </w:p>
        </w:tc>
        <w:tc>
          <w:tcPr>
            <w:tcW w:w="16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4,771</w:t>
            </w:r>
          </w:p>
        </w:tc>
        <w:tc>
          <w:tcPr>
            <w:tcW w:w="18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971</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293</w:t>
            </w:r>
          </w:p>
        </w:tc>
        <w:tc>
          <w:tcPr>
            <w:tcW w:w="20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188</w:t>
            </w:r>
          </w:p>
        </w:tc>
        <w:tc>
          <w:tcPr>
            <w:tcW w:w="30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9,274</w:t>
            </w:r>
          </w:p>
        </w:tc>
        <w:tc>
          <w:tcPr>
            <w:tcW w:w="0" w:type="dxa"/>
            <w:vAlign w:val="bottom"/>
          </w:tcPr>
          <w:p>
            <w:pPr>
              <w:spacing w:after="0"/>
              <w:rPr>
                <w:sz w:val="1"/>
                <w:szCs w:val="1"/>
                <w:color w:val="auto"/>
              </w:rPr>
            </w:pPr>
          </w:p>
        </w:tc>
      </w:tr>
      <w:tr>
        <w:trPr>
          <w:trHeight w:val="203"/>
        </w:trPr>
        <w:tc>
          <w:tcPr>
            <w:tcW w:w="18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Qualitative factors</w:t>
            </w: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0" w:type="dxa"/>
            <w:vAlign w:val="bottom"/>
          </w:tcPr>
          <w:p>
            <w:pPr>
              <w:spacing w:after="0"/>
              <w:rPr>
                <w:sz w:val="1"/>
                <w:szCs w:val="1"/>
                <w:color w:val="auto"/>
              </w:rPr>
            </w:pPr>
          </w:p>
        </w:tc>
      </w:tr>
      <w:tr>
        <w:trPr>
          <w:trHeight w:val="196"/>
        </w:trPr>
        <w:tc>
          <w:tcPr>
            <w:tcW w:w="1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1,890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678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11,760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2,729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8,810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587</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2,507</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28,966</w:t>
            </w:r>
          </w:p>
        </w:tc>
        <w:tc>
          <w:tcPr>
            <w:tcW w:w="0" w:type="dxa"/>
            <w:vAlign w:val="bottom"/>
          </w:tcPr>
          <w:p>
            <w:pPr>
              <w:spacing w:after="0"/>
              <w:rPr>
                <w:sz w:val="1"/>
                <w:szCs w:val="1"/>
                <w:color w:val="auto"/>
              </w:rPr>
            </w:pPr>
          </w:p>
        </w:tc>
      </w:tr>
      <w:tr>
        <w:trPr>
          <w:trHeight w:val="20"/>
        </w:trPr>
        <w:tc>
          <w:tcPr>
            <w:tcW w:w="1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1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As of December 31, 2025</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 family</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first-lien</w:t>
            </w:r>
          </w:p>
        </w:tc>
        <w:tc>
          <w:tcPr>
            <w:tcW w:w="16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Residential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Home</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residential</w:t>
            </w:r>
          </w:p>
        </w:tc>
        <w:tc>
          <w:tcPr>
            <w:tcW w:w="16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construction</w:t>
            </w:r>
          </w:p>
        </w:tc>
        <w:tc>
          <w:tcPr>
            <w:tcW w:w="16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Commercial</w:t>
            </w:r>
          </w:p>
        </w:tc>
        <w:tc>
          <w:tcPr>
            <w:tcW w:w="1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Commercial</w:t>
            </w:r>
          </w:p>
        </w:tc>
        <w:tc>
          <w:tcPr>
            <w:tcW w:w="12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commercial</w:t>
            </w:r>
          </w:p>
        </w:tc>
        <w:tc>
          <w:tcPr>
            <w:tcW w:w="140" w:type="dxa"/>
            <w:vAlign w:val="bottom"/>
          </w:tcPr>
          <w:p>
            <w:pPr>
              <w:spacing w:after="0"/>
              <w:rPr>
                <w:sz w:val="17"/>
                <w:szCs w:val="17"/>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Tax</w:t>
            </w:r>
          </w:p>
        </w:tc>
        <w:tc>
          <w:tcPr>
            <w:tcW w:w="9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equity and</w:t>
            </w:r>
          </w:p>
        </w:tc>
        <w:tc>
          <w:tcPr>
            <w:tcW w:w="20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mortgage</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mortgage</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real estate</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lines of credit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and industrial</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exempt</w:t>
            </w:r>
          </w:p>
        </w:tc>
        <w:tc>
          <w:tcPr>
            <w:tcW w:w="90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junior liens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9"/>
        </w:trPr>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Specifically reserved</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6,523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3,519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7,913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394</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2,583</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20,932</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Historical loss rate</w:t>
            </w:r>
          </w:p>
        </w:tc>
        <w:tc>
          <w:tcPr>
            <w:tcW w:w="1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2,332</w:t>
            </w:r>
          </w:p>
        </w:tc>
        <w:tc>
          <w:tcPr>
            <w:tcW w:w="16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474</w:t>
            </w:r>
          </w:p>
        </w:tc>
        <w:tc>
          <w:tcPr>
            <w:tcW w:w="16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3,858</w:t>
            </w:r>
          </w:p>
        </w:tc>
        <w:tc>
          <w:tcPr>
            <w:tcW w:w="18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1,038</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296</w:t>
            </w:r>
          </w:p>
        </w:tc>
        <w:tc>
          <w:tcPr>
            <w:tcW w:w="20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168</w:t>
            </w:r>
          </w:p>
        </w:tc>
        <w:tc>
          <w:tcPr>
            <w:tcW w:w="30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8,336</w:t>
            </w:r>
          </w:p>
        </w:tc>
        <w:tc>
          <w:tcPr>
            <w:tcW w:w="0" w:type="dxa"/>
            <w:vAlign w:val="bottom"/>
          </w:tcPr>
          <w:p>
            <w:pPr>
              <w:spacing w:after="0"/>
              <w:rPr>
                <w:sz w:val="1"/>
                <w:szCs w:val="1"/>
                <w:color w:val="auto"/>
              </w:rPr>
            </w:pPr>
          </w:p>
        </w:tc>
      </w:tr>
      <w:tr>
        <w:trPr>
          <w:trHeight w:val="203"/>
        </w:trPr>
        <w:tc>
          <w:tcPr>
            <w:tcW w:w="18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Qualitative factors</w:t>
            </w: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199</w:t>
            </w: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113</w:t>
            </w:r>
          </w:p>
        </w:tc>
        <w:tc>
          <w:tcPr>
            <w:tcW w:w="1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3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196"/>
        </w:trPr>
        <w:tc>
          <w:tcPr>
            <w:tcW w:w="1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2,141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10,580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3,698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9,064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705</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2,769</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29,436</w:t>
            </w:r>
          </w:p>
        </w:tc>
        <w:tc>
          <w:tcPr>
            <w:tcW w:w="0" w:type="dxa"/>
            <w:vAlign w:val="bottom"/>
          </w:tcPr>
          <w:p>
            <w:pPr>
              <w:spacing w:after="0"/>
              <w:rPr>
                <w:sz w:val="1"/>
                <w:szCs w:val="1"/>
                <w:color w:val="auto"/>
              </w:rPr>
            </w:pPr>
          </w:p>
        </w:tc>
      </w:tr>
      <w:tr>
        <w:trPr>
          <w:trHeight w:val="20"/>
        </w:trPr>
        <w:tc>
          <w:tcPr>
            <w:tcW w:w="1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Collateral Dependent Loans</w:t>
      </w:r>
    </w:p>
    <w:p>
      <w:pPr>
        <w:spacing w:after="0" w:line="11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has certain loans for which repayment is dependent upon the operation or sale of collateral, as the borrower is experiencing financial difficulty. The underlying collateral can vary based upon the type of loan. The following provides more detail about the types of collateral that secure collateral dependent loans:</w:t>
      </w:r>
    </w:p>
    <w:p>
      <w:pPr>
        <w:spacing w:after="0" w:line="66" w:lineRule="exact"/>
        <w:rPr>
          <w:sz w:val="20"/>
          <w:szCs w:val="20"/>
          <w:color w:val="auto"/>
        </w:rPr>
      </w:pPr>
    </w:p>
    <w:p>
      <w:pPr>
        <w:jc w:val="both"/>
        <w:ind w:left="1020" w:hanging="503"/>
        <w:spacing w:after="0" w:line="246" w:lineRule="auto"/>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real estate loans can be secured by either owner occupied commercial real estate or non-owner occupied investment commercial real estate. Typically, owner occupied commercial real estate loans are secured by office buildings, warehouses, manufacturing facilities and other commercial and industrial properties occupied by operating companies. Non-owner occupied commercial real estate loans are generally secured by office buildings and complexes, retail facilities, multifamily complexes, land under development, industrial properties, as well as other commercial or industrial real estate.</w:t>
      </w:r>
    </w:p>
    <w:p>
      <w:pPr>
        <w:spacing w:after="0" w:line="7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Residential real estate loans are typically secured by first mortgages, and in some cases could be secured by a second mortgage.</w:t>
      </w:r>
    </w:p>
    <w:p>
      <w:pPr>
        <w:spacing w:after="0" w:line="119"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Home equity lines of credit are generally secured by second mortgages on residential real estate property.</w:t>
      </w:r>
    </w:p>
    <w:p>
      <w:pPr>
        <w:spacing w:after="0" w:line="107" w:lineRule="exact"/>
        <w:rPr>
          <w:rFonts w:ascii="Times New Roman" w:cs="Times New Roman" w:eastAsia="Times New Roman" w:hAnsi="Times New Roman"/>
          <w:sz w:val="20"/>
          <w:szCs w:val="20"/>
          <w:color w:val="auto"/>
        </w:rPr>
      </w:pPr>
    </w:p>
    <w:p>
      <w:pPr>
        <w:ind w:left="1020" w:right="20" w:hanging="503"/>
        <w:spacing w:after="0" w:line="269" w:lineRule="auto"/>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loans are generally secured by automobiles, motorcycles, recreational vehicles and other personal property. Some consumer loans are unsecured and have no underlying collateral.</w:t>
      </w:r>
    </w:p>
    <w:p>
      <w:pPr>
        <w:spacing w:after="0" w:line="51" w:lineRule="exact"/>
        <w:rPr>
          <w:rFonts w:ascii="Times New Roman" w:cs="Times New Roman" w:eastAsia="Times New Roman" w:hAnsi="Times New Roman"/>
          <w:sz w:val="20"/>
          <w:szCs w:val="20"/>
          <w:color w:val="auto"/>
        </w:rPr>
      </w:pPr>
    </w:p>
    <w:p>
      <w:pPr>
        <w:ind w:left="5540" w:hanging="111"/>
        <w:spacing w:after="0"/>
        <w:tabs>
          <w:tab w:leader="none" w:pos="5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color w:val="auto"/>
        </w:rPr>
        <w:t>The following table details the amortized cost of collateral dependent loans at March 31, 2026 and December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 2026</w:t>
            </w:r>
          </w:p>
        </w:tc>
        <w:tc>
          <w:tcPr>
            <w:tcW w:w="5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19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62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28,748</w:t>
            </w:r>
          </w:p>
        </w:tc>
        <w:tc>
          <w:tcPr>
            <w:tcW w:w="58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34,182</w:t>
            </w: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26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54,448</w:t>
            </w:r>
          </w:p>
        </w:tc>
        <w:tc>
          <w:tcPr>
            <w:tcW w:w="580" w:type="dxa"/>
            <w:vAlign w:val="bottom"/>
          </w:tcPr>
          <w:p>
            <w:pPr>
              <w:spacing w:after="0"/>
              <w:rPr>
                <w:sz w:val="17"/>
                <w:szCs w:val="17"/>
                <w:color w:val="auto"/>
              </w:rPr>
            </w:pPr>
          </w:p>
        </w:tc>
        <w:tc>
          <w:tcPr>
            <w:tcW w:w="1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54,008</w:t>
            </w:r>
          </w:p>
        </w:tc>
      </w:tr>
      <w:tr>
        <w:trPr>
          <w:trHeight w:val="203"/>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Residential (1-4 family) first mortgages</w:t>
            </w:r>
          </w:p>
        </w:tc>
        <w:tc>
          <w:tcPr>
            <w:tcW w:w="26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580" w:type="dxa"/>
            <w:vAlign w:val="bottom"/>
            <w:shd w:val="clear" w:color="auto" w:fill="CFF0FC"/>
          </w:tcPr>
          <w:p>
            <w:pPr>
              <w:spacing w:after="0"/>
              <w:rPr>
                <w:sz w:val="17"/>
                <w:szCs w:val="17"/>
                <w:color w:val="auto"/>
              </w:rPr>
            </w:pPr>
          </w:p>
        </w:tc>
        <w:tc>
          <w:tcPr>
            <w:tcW w:w="1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613</w:t>
            </w: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Home equity loans and lines of credit</w:t>
            </w:r>
          </w:p>
        </w:tc>
        <w:tc>
          <w:tcPr>
            <w:tcW w:w="26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580" w:type="dxa"/>
            <w:vAlign w:val="bottom"/>
          </w:tcPr>
          <w:p>
            <w:pPr>
              <w:spacing w:after="0"/>
              <w:rPr>
                <w:sz w:val="17"/>
                <w:szCs w:val="17"/>
                <w:color w:val="auto"/>
              </w:rPr>
            </w:pPr>
          </w:p>
        </w:tc>
        <w:tc>
          <w:tcPr>
            <w:tcW w:w="1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599</w:t>
            </w:r>
          </w:p>
        </w:tc>
      </w:tr>
      <w:tr>
        <w:trPr>
          <w:trHeight w:val="203"/>
        </w:trPr>
        <w:tc>
          <w:tcPr>
            <w:tcW w:w="47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Consumer loans</w:t>
            </w:r>
          </w:p>
        </w:tc>
        <w:tc>
          <w:tcPr>
            <w:tcW w:w="26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58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loans</w:t>
            </w:r>
          </w:p>
        </w:tc>
        <w:tc>
          <w:tcPr>
            <w:tcW w:w="26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84,651</w:t>
            </w:r>
          </w:p>
        </w:tc>
        <w:tc>
          <w:tcPr>
            <w:tcW w:w="5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89,402</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Foreclosed Real Estate</w:t>
      </w:r>
    </w:p>
    <w:p>
      <w:pPr>
        <w:spacing w:after="0" w:line="2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is required to disclose the carrying amount of foreclosed real estate properties held as a result of obtaining physical possession of the property at each reporting period.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92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rPr>
              <w:t>Number of</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Number of</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3"/>
        </w:trPr>
        <w:tc>
          <w:tcPr>
            <w:tcW w:w="3620" w:type="dxa"/>
            <w:vAlign w:val="bottom"/>
            <w:tcBorders>
              <w:bottom w:val="single" w:sz="8" w:color="auto"/>
            </w:tcBorders>
            <w:vMerge w:val="continue"/>
          </w:tcPr>
          <w:p>
            <w:pPr>
              <w:spacing w:after="0"/>
              <w:rPr>
                <w:sz w:val="18"/>
                <w:szCs w:val="18"/>
                <w:color w:val="auto"/>
              </w:rPr>
            </w:pPr>
          </w:p>
        </w:tc>
        <w:tc>
          <w:tcPr>
            <w:tcW w:w="2920" w:type="dxa"/>
            <w:vAlign w:val="bottom"/>
            <w:tcBorders>
              <w:bottom w:val="single" w:sz="8" w:color="auto"/>
            </w:tcBorders>
          </w:tcPr>
          <w:p>
            <w:pPr>
              <w:jc w:val="center"/>
              <w:ind w:left="1959"/>
              <w:spacing w:after="0"/>
              <w:rPr>
                <w:sz w:val="20"/>
                <w:szCs w:val="20"/>
                <w:color w:val="auto"/>
              </w:rPr>
            </w:pPr>
            <w:r>
              <w:rPr>
                <w:rFonts w:ascii="Times New Roman" w:cs="Times New Roman" w:eastAsia="Times New Roman" w:hAnsi="Times New Roman"/>
                <w:sz w:val="16"/>
                <w:szCs w:val="16"/>
                <w:color w:val="auto"/>
                <w:w w:val="99"/>
              </w:rPr>
              <w:t>properties</w:t>
            </w: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March 31, 2026</w:t>
            </w:r>
          </w:p>
        </w:tc>
        <w:tc>
          <w:tcPr>
            <w:tcW w:w="102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color w:val="auto"/>
                <w:w w:val="99"/>
              </w:rPr>
              <w:t>properties</w:t>
            </w: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239"/>
        </w:trPr>
        <w:tc>
          <w:tcPr>
            <w:tcW w:w="36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Foreclosed real estate</w:t>
            </w:r>
          </w:p>
        </w:tc>
        <w:tc>
          <w:tcPr>
            <w:tcW w:w="292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137</w:t>
            </w:r>
          </w:p>
        </w:tc>
        <w:tc>
          <w:tcPr>
            <w:tcW w:w="102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At March 31, 2026 and December 31, 2025, the Company reported $679,000 and $698,000, respectively, in real estate loans in the process of foreclosure.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Guarantees</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does not issue any guarantees that would require liability recognition or disclosure, other than its standby letters of credit. Generally, all letters of credit, when issued, have expiration dates within one year. The credit risks involved in issuing letters of credit are essentially the same as those that are involved in extending loan facilities to customers. The Company generally holds collateral and/or personal guarantees supporting these commitments. The Company had $3.5 million and $3.4 million of standby letters of credit as of March 31, 2026 and December 31, 2025, respectively. Management believes that the proceeds obtained through a liquidation of collateral and the enforcement of guarantees would be sufficient to cover the potential amount of future payments required under the corresponding guarantees. The fair value of standby letters of credit was not significant to the Company’s consolidated financial statements.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Fair Value Measurements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Accounting guidance related to fair value measurements and disclosures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 value hierarchy:</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Level 1 – Quoted prices (unadjusted) for identical assets or liabilities in active markets that the entity has the ability to access as of the measurement date.</w:t>
      </w:r>
    </w:p>
    <w:p>
      <w:pPr>
        <w:spacing w:after="0" w:line="14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Level 2 – Quoted prices for similar assets and liabilities in active markets; quoted prices for identical or similar assets or liabilities in markets that are not active; and model-derived valuations in which all significant inputs and significant value drivers are observable in active markets.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3 – Model-derived valuations in which one or more significant inputs or significant value drivers are unobservable.</w:t>
      </w:r>
    </w:p>
    <w:p>
      <w:pPr>
        <w:spacing w:after="0" w:line="20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 asset’s or liability’s level within the fair value hierarchy is based on the lowest level of input that is significant to the fair value measurement.</w:t>
      </w:r>
    </w:p>
    <w:p>
      <w:pPr>
        <w:spacing w:after="0" w:line="146"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In determining fair value, the Company utilizes valuation techniques that maximize the use of observable inputs, minimize the use of unobservable inputs, to the extent possible, and considers counterparty credit risk in its assessment of fair value.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color w:val="auto"/>
        </w:rPr>
        <w:t>The Company used the following methods and significant assumptions to estimate fair value:</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Investment securities: The fair values of available-for-sale and marketable equity securities are obtained from an independent third party and are based on quoted prices on nationally recognized securities exchanges where available (Level 1). If quoted prices are not available, fair values are measured by utilizing matrix pricing, which is a mathematical technique used widely in the industry to value debt securities without relying exclusively on quoted prices for specific securities but rather by relying on the securities’ relationship to other benchmark quoted securities (Level 2). Management made no adjustment to the fair value quotes that were received from the independent third party pricing service. Level 3 securities are assets whose fair value cannot be determined by using observable measures, such as market prices or pricing models. Level 3 assets are typically very illiquid, and fair values can only be calculated using estimates or risk-adjusted value ranges. Management applies known factors, such as currently applicable discount rates, to the valuation of those investments in order to determine fair value at the reporting date.</w:t>
      </w:r>
    </w:p>
    <w:p>
      <w:pPr>
        <w:spacing w:after="0" w:line="1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holds two corporate investment securities with an amortized historical cost of $4.0 million and an aggregate fair market value of $4.2 million as of March 31, 2026. These securities have an aggregate valuation that is determined using published net asset values ("NAV") derived by an analysis of the securities’ underlying assets. These securities are comprised primarily of broadly-diversified real estate holdings and are traded in secondary markets on an infrequent basis. While these securities are redeemable at least annually through tender offers made by respective issuers, the liquidation value of these securities may be below stated NAVs and also subject to restrictions as to the amount that can be redeemed at any single scheduled redemption. The Company anticipates that these securities will be redeemed by respective issuers on indeterminate future dates as a consequence of the ultimate liquidation strategies employed by the managers of these portfolios.</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also holds two limited partnership investments managed by an unrelated third party with an aggregate fair market value of $6.2 million and $6.0 million as of March 31, 2026 and December 31, 2025, respectively. The investments are funds comprised of marketable equity securities, primarily issued by community banks and financial technology companies. These investments are recorded at fair value at the end of each reporting period using Level 1 valuation techniques. Unrealized changes in the fair value of these investments are recorded in earnings in the period in which the changes occur.</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Interest rate derivatives: The fair value of the interest rate derivatives, characterized as either fair value or cash flow hedges, are calculated based on a discounted cash flow model. All future floating rate cash flows are projected and both floating rate and fixed rate cash flows are discounted to the valuation date. The benchmark interest rate curve utilized for projecting cash flows and applying appropriate discount rates is built by obtaining publicly available third party market quotes for various swap maturity terms.</w:t>
      </w:r>
    </w:p>
    <w:p>
      <w:pPr>
        <w:spacing w:after="0" w:line="1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Individually evaluated loans: Individually evaluated loans are those loans in which the Company has measured potential credit losses based on the fair value of the loan’s collateral or the discounted value of expected future cash flows. Fair value is generally determined based upon market value evaluations by third parties of the properties and/or estimates by management of working capital collateral or discounted cash flows based upon expected proceeds. These appraisals may include up to three approaches to value: the sales comparison approach, the income approach (for income-producing property), and the cost approach. Management modifies the appraised values, if needed, to take into account recent developments in the market or other factors, such as, changes in absorption rates or market conditions from the time of valuation and anticipated sales values considering management’s plans for disposition. Such modifications to the appraised values could result in lower valuations of such collateral. Estimated costs to sell are based on current amounts of disposal costs for similar assets. These measurements are classified as Level 3 within the valuation hierarchy. Individually evaluated loans are subject to nonrecurring fair value adjustments upon initial recognition or subsequent impairment. A portion of the allowance for credit losses is allocated to individually evaluated loans if the value of such loans is deemed to be less than the unpaid balance.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8" w:name="page29"/>
    <w:bookmarkEnd w:id="28"/>
    <w:p>
      <w:pPr>
        <w:spacing w:after="0" w:line="269" w:lineRule="auto"/>
        <w:rPr>
          <w:sz w:val="20"/>
          <w:szCs w:val="20"/>
          <w:color w:val="auto"/>
        </w:rPr>
      </w:pPr>
      <w:r>
        <w:rPr>
          <w:rFonts w:ascii="Times New Roman" w:cs="Times New Roman" w:eastAsia="Times New Roman" w:hAnsi="Times New Roman"/>
          <w:sz w:val="20"/>
          <w:szCs w:val="20"/>
          <w:color w:val="auto"/>
        </w:rPr>
        <w:t>The following tables summarize assets measured at fair value on a recurring basis as of the indicated dates, segregated by the level of valuation inputs within the hierarchy utilized to measure fair value: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March 31, 2026</w:t>
            </w: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0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Total Fair</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auto"/>
            </w:tcBorders>
            <w:gridSpan w:val="3"/>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Level 1</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Level 2</w:t>
            </w: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Level 3</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199"/>
        </w:trPr>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b w:val="1"/>
                <w:bCs w:val="1"/>
                <w:i w:val="1"/>
                <w:iCs w:val="1"/>
                <w:color w:val="auto"/>
              </w:rPr>
              <w:t>Available-for-Sale Portfolio</w:t>
            </w:r>
          </w:p>
        </w:tc>
        <w:tc>
          <w:tcPr>
            <w:tcW w:w="5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08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Debt investment securities:</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7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8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US Treasury, agencies and GSEs</w:t>
            </w:r>
          </w:p>
        </w:tc>
        <w:tc>
          <w:tcPr>
            <w:tcW w:w="9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62,779</w:t>
            </w:r>
          </w:p>
        </w:tc>
        <w:tc>
          <w:tcPr>
            <w:tcW w:w="6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62,779</w:t>
            </w:r>
          </w:p>
        </w:tc>
        <w:tc>
          <w:tcPr>
            <w:tcW w:w="0" w:type="dxa"/>
            <w:vAlign w:val="bottom"/>
          </w:tcPr>
          <w:p>
            <w:pPr>
              <w:spacing w:after="0"/>
              <w:rPr>
                <w:sz w:val="1"/>
                <w:szCs w:val="1"/>
                <w:color w:val="auto"/>
              </w:rPr>
            </w:pPr>
          </w:p>
        </w:tc>
      </w:tr>
      <w:tr>
        <w:trPr>
          <w:trHeight w:val="203"/>
        </w:trPr>
        <w:tc>
          <w:tcPr>
            <w:tcW w:w="50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33,066</w:t>
            </w:r>
          </w:p>
        </w:tc>
        <w:tc>
          <w:tcPr>
            <w:tcW w:w="62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33,066</w:t>
            </w:r>
          </w:p>
        </w:tc>
        <w:tc>
          <w:tcPr>
            <w:tcW w:w="0" w:type="dxa"/>
            <w:vAlign w:val="bottom"/>
          </w:tcPr>
          <w:p>
            <w:pPr>
              <w:spacing w:after="0"/>
              <w:rPr>
                <w:sz w:val="1"/>
                <w:szCs w:val="1"/>
                <w:color w:val="auto"/>
              </w:rPr>
            </w:pPr>
          </w:p>
        </w:tc>
      </w:tr>
      <w:tr>
        <w:trPr>
          <w:trHeight w:val="203"/>
        </w:trPr>
        <w:tc>
          <w:tcPr>
            <w:tcW w:w="508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Corporate</w:t>
            </w:r>
          </w:p>
        </w:tc>
        <w:tc>
          <w:tcPr>
            <w:tcW w:w="5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2,696</w:t>
            </w:r>
          </w:p>
        </w:tc>
        <w:tc>
          <w:tcPr>
            <w:tcW w:w="6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2,696</w:t>
            </w:r>
          </w:p>
        </w:tc>
        <w:tc>
          <w:tcPr>
            <w:tcW w:w="0" w:type="dxa"/>
            <w:vAlign w:val="bottom"/>
          </w:tcPr>
          <w:p>
            <w:pPr>
              <w:spacing w:after="0"/>
              <w:rPr>
                <w:sz w:val="1"/>
                <w:szCs w:val="1"/>
                <w:color w:val="auto"/>
              </w:rPr>
            </w:pPr>
          </w:p>
        </w:tc>
      </w:tr>
      <w:tr>
        <w:trPr>
          <w:trHeight w:val="203"/>
        </w:trPr>
        <w:tc>
          <w:tcPr>
            <w:tcW w:w="50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Corporate issuances measured at NAV</w:t>
            </w: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4,206</w:t>
            </w:r>
          </w:p>
        </w:tc>
        <w:tc>
          <w:tcPr>
            <w:tcW w:w="0" w:type="dxa"/>
            <w:vAlign w:val="bottom"/>
          </w:tcPr>
          <w:p>
            <w:pPr>
              <w:spacing w:after="0"/>
              <w:rPr>
                <w:sz w:val="1"/>
                <w:szCs w:val="1"/>
                <w:color w:val="auto"/>
              </w:rPr>
            </w:pPr>
          </w:p>
        </w:tc>
      </w:tr>
      <w:tr>
        <w:trPr>
          <w:trHeight w:val="203"/>
        </w:trPr>
        <w:tc>
          <w:tcPr>
            <w:tcW w:w="508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Asset backed securities</w:t>
            </w:r>
          </w:p>
        </w:tc>
        <w:tc>
          <w:tcPr>
            <w:tcW w:w="5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15,040</w:t>
            </w:r>
          </w:p>
        </w:tc>
        <w:tc>
          <w:tcPr>
            <w:tcW w:w="6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15,040</w:t>
            </w:r>
          </w:p>
        </w:tc>
        <w:tc>
          <w:tcPr>
            <w:tcW w:w="0" w:type="dxa"/>
            <w:vAlign w:val="bottom"/>
          </w:tcPr>
          <w:p>
            <w:pPr>
              <w:spacing w:after="0"/>
              <w:rPr>
                <w:sz w:val="1"/>
                <w:szCs w:val="1"/>
                <w:color w:val="auto"/>
              </w:rPr>
            </w:pPr>
          </w:p>
        </w:tc>
      </w:tr>
      <w:tr>
        <w:trPr>
          <w:trHeight w:val="203"/>
        </w:trPr>
        <w:tc>
          <w:tcPr>
            <w:tcW w:w="50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Residential mortgage-backed - US agency</w:t>
            </w: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51,544</w:t>
            </w:r>
          </w:p>
        </w:tc>
        <w:tc>
          <w:tcPr>
            <w:tcW w:w="62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51,544</w:t>
            </w:r>
          </w:p>
        </w:tc>
        <w:tc>
          <w:tcPr>
            <w:tcW w:w="0" w:type="dxa"/>
            <w:vAlign w:val="bottom"/>
          </w:tcPr>
          <w:p>
            <w:pPr>
              <w:spacing w:after="0"/>
              <w:rPr>
                <w:sz w:val="1"/>
                <w:szCs w:val="1"/>
                <w:color w:val="auto"/>
              </w:rPr>
            </w:pPr>
          </w:p>
        </w:tc>
      </w:tr>
      <w:tr>
        <w:trPr>
          <w:trHeight w:val="203"/>
        </w:trPr>
        <w:tc>
          <w:tcPr>
            <w:tcW w:w="508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5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20,560</w:t>
            </w:r>
          </w:p>
        </w:tc>
        <w:tc>
          <w:tcPr>
            <w:tcW w:w="6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20,560</w:t>
            </w:r>
          </w:p>
        </w:tc>
        <w:tc>
          <w:tcPr>
            <w:tcW w:w="0" w:type="dxa"/>
            <w:vAlign w:val="bottom"/>
          </w:tcPr>
          <w:p>
            <w:pPr>
              <w:spacing w:after="0"/>
              <w:rPr>
                <w:sz w:val="1"/>
                <w:szCs w:val="1"/>
                <w:color w:val="auto"/>
              </w:rPr>
            </w:pPr>
          </w:p>
        </w:tc>
      </w:tr>
      <w:tr>
        <w:trPr>
          <w:trHeight w:val="203"/>
        </w:trPr>
        <w:tc>
          <w:tcPr>
            <w:tcW w:w="50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5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82,874</w:t>
            </w:r>
          </w:p>
        </w:tc>
        <w:tc>
          <w:tcPr>
            <w:tcW w:w="6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82,874</w:t>
            </w:r>
          </w:p>
        </w:tc>
        <w:tc>
          <w:tcPr>
            <w:tcW w:w="0" w:type="dxa"/>
            <w:vAlign w:val="bottom"/>
          </w:tcPr>
          <w:p>
            <w:pPr>
              <w:spacing w:after="0"/>
              <w:rPr>
                <w:sz w:val="1"/>
                <w:szCs w:val="1"/>
                <w:color w:val="auto"/>
              </w:rPr>
            </w:pPr>
          </w:p>
        </w:tc>
      </w:tr>
      <w:tr>
        <w:trPr>
          <w:trHeight w:val="196"/>
        </w:trPr>
        <w:tc>
          <w:tcPr>
            <w:tcW w:w="50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268,559</w:t>
            </w:r>
          </w:p>
        </w:tc>
        <w:tc>
          <w:tcPr>
            <w:tcW w:w="6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272,765</w:t>
            </w:r>
          </w:p>
        </w:tc>
        <w:tc>
          <w:tcPr>
            <w:tcW w:w="0" w:type="dxa"/>
            <w:vAlign w:val="bottom"/>
          </w:tcPr>
          <w:p>
            <w:pPr>
              <w:spacing w:after="0"/>
              <w:rPr>
                <w:sz w:val="1"/>
                <w:szCs w:val="1"/>
                <w:color w:val="auto"/>
              </w:rPr>
            </w:pPr>
          </w:p>
        </w:tc>
      </w:tr>
      <w:tr>
        <w:trPr>
          <w:trHeight w:val="162"/>
        </w:trPr>
        <w:tc>
          <w:tcPr>
            <w:tcW w:w="508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Equity investment securities:</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7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tcBorders>
              <w:bottom w:val="single" w:sz="8" w:color="auto"/>
            </w:tcBorders>
            <w:gridSpan w:val="3"/>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Common stock - financial services industry</w:t>
            </w:r>
          </w:p>
        </w:tc>
        <w:tc>
          <w:tcPr>
            <w:tcW w:w="5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206</w:t>
            </w:r>
          </w:p>
        </w:tc>
        <w:tc>
          <w:tcPr>
            <w:tcW w:w="5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9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206</w:t>
            </w:r>
          </w:p>
        </w:tc>
        <w:tc>
          <w:tcPr>
            <w:tcW w:w="5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268,559</w:t>
            </w:r>
          </w:p>
        </w:tc>
        <w:tc>
          <w:tcPr>
            <w:tcW w:w="6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272,971</w:t>
            </w:r>
          </w:p>
        </w:tc>
        <w:tc>
          <w:tcPr>
            <w:tcW w:w="0" w:type="dxa"/>
            <w:vAlign w:val="bottom"/>
          </w:tcPr>
          <w:p>
            <w:pPr>
              <w:spacing w:after="0"/>
              <w:rPr>
                <w:sz w:val="1"/>
                <w:szCs w:val="1"/>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Marketable equity securities measured at NAV</w:t>
            </w:r>
          </w:p>
        </w:tc>
        <w:tc>
          <w:tcPr>
            <w:tcW w:w="9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6,207</w:t>
            </w:r>
          </w:p>
        </w:tc>
        <w:tc>
          <w:tcPr>
            <w:tcW w:w="0" w:type="dxa"/>
            <w:vAlign w:val="bottom"/>
          </w:tcPr>
          <w:p>
            <w:pPr>
              <w:spacing w:after="0"/>
              <w:rPr>
                <w:sz w:val="1"/>
                <w:szCs w:val="1"/>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rate swap derivative fair value hedges (unrealized gain carried as</w:t>
            </w: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receivable from derivative counterparties)</w:t>
            </w:r>
          </w:p>
        </w:tc>
        <w:tc>
          <w:tcPr>
            <w:tcW w:w="9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2,392</w:t>
            </w:r>
          </w:p>
        </w:tc>
        <w:tc>
          <w:tcPr>
            <w:tcW w:w="6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2,392</w:t>
            </w:r>
          </w:p>
        </w:tc>
        <w:tc>
          <w:tcPr>
            <w:tcW w:w="0" w:type="dxa"/>
            <w:vAlign w:val="bottom"/>
          </w:tcPr>
          <w:p>
            <w:pPr>
              <w:spacing w:after="0"/>
              <w:rPr>
                <w:sz w:val="1"/>
                <w:szCs w:val="1"/>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December 31, 2025</w:t>
            </w:r>
          </w:p>
        </w:tc>
        <w:tc>
          <w:tcPr>
            <w:tcW w:w="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0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Total Fair</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auto"/>
            </w:tcBorders>
            <w:gridSpan w:val="3"/>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Level 1</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Level 2</w:t>
            </w: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Level 3</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199"/>
        </w:trPr>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b w:val="1"/>
                <w:bCs w:val="1"/>
                <w:i w:val="1"/>
                <w:iCs w:val="1"/>
                <w:color w:val="auto"/>
              </w:rPr>
              <w:t>Available-for-Sale Portfolio</w:t>
            </w:r>
          </w:p>
        </w:tc>
        <w:tc>
          <w:tcPr>
            <w:tcW w:w="5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08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Debt investment securities:</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US Treasury, agencies and GSEs</w:t>
            </w:r>
          </w:p>
        </w:tc>
        <w:tc>
          <w:tcPr>
            <w:tcW w:w="9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65,015</w:t>
            </w:r>
          </w:p>
        </w:tc>
        <w:tc>
          <w:tcPr>
            <w:tcW w:w="6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65,015</w:t>
            </w:r>
          </w:p>
        </w:tc>
        <w:tc>
          <w:tcPr>
            <w:tcW w:w="0" w:type="dxa"/>
            <w:vAlign w:val="bottom"/>
          </w:tcPr>
          <w:p>
            <w:pPr>
              <w:spacing w:after="0"/>
              <w:rPr>
                <w:sz w:val="1"/>
                <w:szCs w:val="1"/>
                <w:color w:val="auto"/>
              </w:rPr>
            </w:pPr>
          </w:p>
        </w:tc>
      </w:tr>
      <w:tr>
        <w:trPr>
          <w:trHeight w:val="203"/>
        </w:trPr>
        <w:tc>
          <w:tcPr>
            <w:tcW w:w="50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33,918</w:t>
            </w:r>
          </w:p>
        </w:tc>
        <w:tc>
          <w:tcPr>
            <w:tcW w:w="62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33,918</w:t>
            </w:r>
          </w:p>
        </w:tc>
        <w:tc>
          <w:tcPr>
            <w:tcW w:w="0" w:type="dxa"/>
            <w:vAlign w:val="bottom"/>
          </w:tcPr>
          <w:p>
            <w:pPr>
              <w:spacing w:after="0"/>
              <w:rPr>
                <w:sz w:val="1"/>
                <w:szCs w:val="1"/>
                <w:color w:val="auto"/>
              </w:rPr>
            </w:pPr>
          </w:p>
        </w:tc>
      </w:tr>
      <w:tr>
        <w:trPr>
          <w:trHeight w:val="203"/>
        </w:trPr>
        <w:tc>
          <w:tcPr>
            <w:tcW w:w="508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Corporate</w:t>
            </w:r>
          </w:p>
        </w:tc>
        <w:tc>
          <w:tcPr>
            <w:tcW w:w="5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3,753</w:t>
            </w:r>
          </w:p>
        </w:tc>
        <w:tc>
          <w:tcPr>
            <w:tcW w:w="6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3,753</w:t>
            </w:r>
          </w:p>
        </w:tc>
        <w:tc>
          <w:tcPr>
            <w:tcW w:w="0" w:type="dxa"/>
            <w:vAlign w:val="bottom"/>
          </w:tcPr>
          <w:p>
            <w:pPr>
              <w:spacing w:after="0"/>
              <w:rPr>
                <w:sz w:val="1"/>
                <w:szCs w:val="1"/>
                <w:color w:val="auto"/>
              </w:rPr>
            </w:pPr>
          </w:p>
        </w:tc>
      </w:tr>
      <w:tr>
        <w:trPr>
          <w:trHeight w:val="203"/>
        </w:trPr>
        <w:tc>
          <w:tcPr>
            <w:tcW w:w="50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Corporate issuances measured at NAV</w:t>
            </w: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4,189</w:t>
            </w:r>
          </w:p>
        </w:tc>
        <w:tc>
          <w:tcPr>
            <w:tcW w:w="0" w:type="dxa"/>
            <w:vAlign w:val="bottom"/>
          </w:tcPr>
          <w:p>
            <w:pPr>
              <w:spacing w:after="0"/>
              <w:rPr>
                <w:sz w:val="1"/>
                <w:szCs w:val="1"/>
                <w:color w:val="auto"/>
              </w:rPr>
            </w:pPr>
          </w:p>
        </w:tc>
      </w:tr>
      <w:tr>
        <w:trPr>
          <w:trHeight w:val="203"/>
        </w:trPr>
        <w:tc>
          <w:tcPr>
            <w:tcW w:w="508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Asset backed securities</w:t>
            </w:r>
          </w:p>
        </w:tc>
        <w:tc>
          <w:tcPr>
            <w:tcW w:w="5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15,612</w:t>
            </w:r>
          </w:p>
        </w:tc>
        <w:tc>
          <w:tcPr>
            <w:tcW w:w="6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15,612</w:t>
            </w:r>
          </w:p>
        </w:tc>
        <w:tc>
          <w:tcPr>
            <w:tcW w:w="0" w:type="dxa"/>
            <w:vAlign w:val="bottom"/>
          </w:tcPr>
          <w:p>
            <w:pPr>
              <w:spacing w:after="0"/>
              <w:rPr>
                <w:sz w:val="1"/>
                <w:szCs w:val="1"/>
                <w:color w:val="auto"/>
              </w:rPr>
            </w:pPr>
          </w:p>
        </w:tc>
      </w:tr>
      <w:tr>
        <w:trPr>
          <w:trHeight w:val="203"/>
        </w:trPr>
        <w:tc>
          <w:tcPr>
            <w:tcW w:w="50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Residential mortgage-backed - US agency</w:t>
            </w: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49,015</w:t>
            </w:r>
          </w:p>
        </w:tc>
        <w:tc>
          <w:tcPr>
            <w:tcW w:w="62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49,015</w:t>
            </w:r>
          </w:p>
        </w:tc>
        <w:tc>
          <w:tcPr>
            <w:tcW w:w="0" w:type="dxa"/>
            <w:vAlign w:val="bottom"/>
          </w:tcPr>
          <w:p>
            <w:pPr>
              <w:spacing w:after="0"/>
              <w:rPr>
                <w:sz w:val="1"/>
                <w:szCs w:val="1"/>
                <w:color w:val="auto"/>
              </w:rPr>
            </w:pPr>
          </w:p>
        </w:tc>
      </w:tr>
      <w:tr>
        <w:trPr>
          <w:trHeight w:val="203"/>
        </w:trPr>
        <w:tc>
          <w:tcPr>
            <w:tcW w:w="508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5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18,383</w:t>
            </w:r>
          </w:p>
        </w:tc>
        <w:tc>
          <w:tcPr>
            <w:tcW w:w="6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18,383</w:t>
            </w:r>
          </w:p>
        </w:tc>
        <w:tc>
          <w:tcPr>
            <w:tcW w:w="0" w:type="dxa"/>
            <w:vAlign w:val="bottom"/>
          </w:tcPr>
          <w:p>
            <w:pPr>
              <w:spacing w:after="0"/>
              <w:rPr>
                <w:sz w:val="1"/>
                <w:szCs w:val="1"/>
                <w:color w:val="auto"/>
              </w:rPr>
            </w:pPr>
          </w:p>
        </w:tc>
      </w:tr>
      <w:tr>
        <w:trPr>
          <w:trHeight w:val="203"/>
        </w:trPr>
        <w:tc>
          <w:tcPr>
            <w:tcW w:w="50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5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86,724</w:t>
            </w:r>
          </w:p>
        </w:tc>
        <w:tc>
          <w:tcPr>
            <w:tcW w:w="6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86,724</w:t>
            </w:r>
          </w:p>
        </w:tc>
        <w:tc>
          <w:tcPr>
            <w:tcW w:w="0" w:type="dxa"/>
            <w:vAlign w:val="bottom"/>
          </w:tcPr>
          <w:p>
            <w:pPr>
              <w:spacing w:after="0"/>
              <w:rPr>
                <w:sz w:val="1"/>
                <w:szCs w:val="1"/>
                <w:color w:val="auto"/>
              </w:rPr>
            </w:pPr>
          </w:p>
        </w:tc>
      </w:tr>
      <w:tr>
        <w:trPr>
          <w:trHeight w:val="196"/>
        </w:trPr>
        <w:tc>
          <w:tcPr>
            <w:tcW w:w="50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272,420</w:t>
            </w:r>
          </w:p>
        </w:tc>
        <w:tc>
          <w:tcPr>
            <w:tcW w:w="6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276,609</w:t>
            </w:r>
          </w:p>
        </w:tc>
        <w:tc>
          <w:tcPr>
            <w:tcW w:w="0" w:type="dxa"/>
            <w:vAlign w:val="bottom"/>
          </w:tcPr>
          <w:p>
            <w:pPr>
              <w:spacing w:after="0"/>
              <w:rPr>
                <w:sz w:val="1"/>
                <w:szCs w:val="1"/>
                <w:color w:val="auto"/>
              </w:rPr>
            </w:pPr>
          </w:p>
        </w:tc>
      </w:tr>
      <w:tr>
        <w:trPr>
          <w:trHeight w:val="162"/>
        </w:trPr>
        <w:tc>
          <w:tcPr>
            <w:tcW w:w="508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Equity investment securities:</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tcBorders>
              <w:bottom w:val="single" w:sz="8" w:color="auto"/>
            </w:tcBorders>
            <w:gridSpan w:val="3"/>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Common stock - financial services industry</w:t>
            </w:r>
          </w:p>
        </w:tc>
        <w:tc>
          <w:tcPr>
            <w:tcW w:w="5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206</w:t>
            </w:r>
          </w:p>
        </w:tc>
        <w:tc>
          <w:tcPr>
            <w:tcW w:w="5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9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206</w:t>
            </w:r>
          </w:p>
        </w:tc>
        <w:tc>
          <w:tcPr>
            <w:tcW w:w="5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272,420</w:t>
            </w:r>
          </w:p>
        </w:tc>
        <w:tc>
          <w:tcPr>
            <w:tcW w:w="6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276,815</w:t>
            </w:r>
          </w:p>
        </w:tc>
        <w:tc>
          <w:tcPr>
            <w:tcW w:w="0" w:type="dxa"/>
            <w:vAlign w:val="bottom"/>
          </w:tcPr>
          <w:p>
            <w:pPr>
              <w:spacing w:after="0"/>
              <w:rPr>
                <w:sz w:val="1"/>
                <w:szCs w:val="1"/>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Marketable equity securities measured at NAV</w:t>
            </w:r>
          </w:p>
        </w:tc>
        <w:tc>
          <w:tcPr>
            <w:tcW w:w="9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6,034</w:t>
            </w:r>
          </w:p>
        </w:tc>
        <w:tc>
          <w:tcPr>
            <w:tcW w:w="0" w:type="dxa"/>
            <w:vAlign w:val="bottom"/>
          </w:tcPr>
          <w:p>
            <w:pPr>
              <w:spacing w:after="0"/>
              <w:rPr>
                <w:sz w:val="1"/>
                <w:szCs w:val="1"/>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rate swap derivative fair value hedges (unrealized gain carried as</w:t>
            </w: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receivable from derivative counterparties)</w:t>
            </w:r>
          </w:p>
        </w:tc>
        <w:tc>
          <w:tcPr>
            <w:tcW w:w="9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1,506</w:t>
            </w:r>
          </w:p>
        </w:tc>
        <w:tc>
          <w:tcPr>
            <w:tcW w:w="6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1,506</w:t>
            </w:r>
          </w:p>
        </w:tc>
        <w:tc>
          <w:tcPr>
            <w:tcW w:w="0" w:type="dxa"/>
            <w:vAlign w:val="bottom"/>
          </w:tcPr>
          <w:p>
            <w:pPr>
              <w:spacing w:after="0"/>
              <w:rPr>
                <w:sz w:val="1"/>
                <w:szCs w:val="1"/>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29</w:t>
            </w:r>
            <w:r>
              <w:rPr>
                <w:rFonts w:ascii="Times New Roman" w:cs="Times New Roman" w:eastAsia="Times New Roman" w:hAnsi="Times New Roman"/>
                <w:sz w:val="18"/>
                <w:szCs w:val="18"/>
                <w:color w:val="auto"/>
              </w:rPr>
              <w:t xml:space="preserve"> -</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color w:val="auto"/>
        </w:rPr>
        <w:t>Pathfinder Bank had the following assets measured at fair value on a nonrecurring basis as of March 31, 2026 and December 31, 2025: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March 31, 2026</w:t>
            </w: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5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Total Fair</w:t>
            </w:r>
          </w:p>
        </w:tc>
        <w:tc>
          <w:tcPr>
            <w:tcW w:w="0" w:type="dxa"/>
            <w:vAlign w:val="bottom"/>
          </w:tcPr>
          <w:p>
            <w:pPr>
              <w:spacing w:after="0"/>
              <w:rPr>
                <w:sz w:val="1"/>
                <w:szCs w:val="1"/>
                <w:color w:val="auto"/>
              </w:rPr>
            </w:pPr>
          </w:p>
        </w:tc>
      </w:tr>
      <w:tr>
        <w:trPr>
          <w:trHeight w:val="213"/>
        </w:trPr>
        <w:tc>
          <w:tcPr>
            <w:tcW w:w="554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Level 1</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Level 2</w:t>
            </w:r>
          </w:p>
        </w:tc>
        <w:tc>
          <w:tcPr>
            <w:tcW w:w="7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Level 3</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19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Individually evaluated loans</w:t>
            </w:r>
          </w:p>
        </w:tc>
        <w:tc>
          <w:tcPr>
            <w:tcW w:w="4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17,046</w:t>
            </w:r>
          </w:p>
        </w:tc>
        <w:tc>
          <w:tcPr>
            <w:tcW w:w="4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17,046</w:t>
            </w: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Foreclosed real estate</w:t>
            </w:r>
          </w:p>
        </w:tc>
        <w:tc>
          <w:tcPr>
            <w:tcW w:w="40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w:t>
            </w:r>
          </w:p>
        </w:tc>
        <w:tc>
          <w:tcPr>
            <w:tcW w:w="4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421"/>
        </w:trPr>
        <w:tc>
          <w:tcPr>
            <w:tcW w:w="55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December 31, 2025</w:t>
            </w: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5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Total Fair</w:t>
            </w:r>
          </w:p>
        </w:tc>
        <w:tc>
          <w:tcPr>
            <w:tcW w:w="0" w:type="dxa"/>
            <w:vAlign w:val="bottom"/>
          </w:tcPr>
          <w:p>
            <w:pPr>
              <w:spacing w:after="0"/>
              <w:rPr>
                <w:sz w:val="1"/>
                <w:szCs w:val="1"/>
                <w:color w:val="auto"/>
              </w:rPr>
            </w:pPr>
          </w:p>
        </w:tc>
      </w:tr>
      <w:tr>
        <w:trPr>
          <w:trHeight w:val="213"/>
        </w:trPr>
        <w:tc>
          <w:tcPr>
            <w:tcW w:w="554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Level 1</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Level 2</w:t>
            </w:r>
          </w:p>
        </w:tc>
        <w:tc>
          <w:tcPr>
            <w:tcW w:w="7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Level 3</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19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Individually evaluated loans</w:t>
            </w:r>
          </w:p>
        </w:tc>
        <w:tc>
          <w:tcPr>
            <w:tcW w:w="4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48,649</w:t>
            </w:r>
          </w:p>
        </w:tc>
        <w:tc>
          <w:tcPr>
            <w:tcW w:w="4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48,649</w:t>
            </w: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Foreclosed real estate</w:t>
            </w:r>
          </w:p>
        </w:tc>
        <w:tc>
          <w:tcPr>
            <w:tcW w:w="40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w:t>
            </w:r>
          </w:p>
        </w:tc>
        <w:tc>
          <w:tcPr>
            <w:tcW w:w="4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tables presents additional quantitative information about assets measured at fair value on a nonrecurring basis and for which Level 3 inputs were used to determine fair value at the indicated dates.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50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Quantitative Information about Level 3 Fair Value Measurements</w:t>
            </w:r>
          </w:p>
        </w:tc>
        <w:tc>
          <w:tcPr>
            <w:tcW w:w="1840" w:type="dxa"/>
            <w:vAlign w:val="bottom"/>
            <w:tcBorders>
              <w:bottom w:val="single" w:sz="8" w:color="auto"/>
            </w:tcBorders>
          </w:tcPr>
          <w:p>
            <w:pPr>
              <w:spacing w:after="0"/>
              <w:rPr>
                <w:sz w:val="18"/>
                <w:szCs w:val="18"/>
                <w:color w:val="auto"/>
              </w:rPr>
            </w:pPr>
          </w:p>
        </w:tc>
      </w:tr>
      <w:tr>
        <w:trPr>
          <w:trHeight w:val="185"/>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Valuation</w:t>
            </w:r>
          </w:p>
        </w:tc>
        <w:tc>
          <w:tcPr>
            <w:tcW w:w="508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Unobservable</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Range</w:t>
            </w:r>
          </w:p>
        </w:tc>
      </w:tr>
      <w:tr>
        <w:trPr>
          <w:trHeight w:val="213"/>
        </w:trPr>
        <w:tc>
          <w:tcPr>
            <w:tcW w:w="2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color w:val="auto"/>
              </w:rPr>
              <w:t>Techniques</w:t>
            </w:r>
          </w:p>
        </w:tc>
        <w:tc>
          <w:tcPr>
            <w:tcW w:w="50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Input</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(Weighted Avg.)</w:t>
            </w:r>
          </w:p>
        </w:tc>
      </w:tr>
      <w:tr>
        <w:trPr>
          <w:trHeight w:val="199"/>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At March 31, 2026</w:t>
            </w:r>
          </w:p>
        </w:tc>
        <w:tc>
          <w:tcPr>
            <w:tcW w:w="1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50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r>
      <w:tr>
        <w:trPr>
          <w:trHeight w:val="196"/>
        </w:trPr>
        <w:tc>
          <w:tcPr>
            <w:tcW w:w="2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Individually evaluated loans</w:t>
            </w:r>
          </w:p>
        </w:tc>
        <w:tc>
          <w:tcPr>
            <w:tcW w:w="140" w:type="dxa"/>
            <w:vAlign w:val="bottom"/>
            <w:tcBorders>
              <w:bottom w:val="single" w:sz="8" w:color="auto"/>
            </w:tcBorders>
            <w:shd w:val="clear" w:color="auto" w:fill="CFF0FC"/>
          </w:tcPr>
          <w:p>
            <w:pPr>
              <w:spacing w:after="0"/>
              <w:rPr>
                <w:sz w:val="17"/>
                <w:szCs w:val="17"/>
                <w:color w:val="auto"/>
              </w:rPr>
            </w:pPr>
          </w:p>
        </w:tc>
        <w:tc>
          <w:tcPr>
            <w:tcW w:w="2020" w:type="dxa"/>
            <w:vAlign w:val="bottom"/>
            <w:tcBorders>
              <w:bottom w:val="single" w:sz="8" w:color="auto"/>
            </w:tcBorders>
            <w:shd w:val="clear" w:color="auto" w:fill="CFF0FC"/>
          </w:tcPr>
          <w:p>
            <w:pPr>
              <w:jc w:val="center"/>
              <w:ind w:right="359"/>
              <w:spacing w:after="0"/>
              <w:rPr>
                <w:sz w:val="20"/>
                <w:szCs w:val="20"/>
                <w:color w:val="auto"/>
              </w:rPr>
            </w:pPr>
            <w:r>
              <w:rPr>
                <w:rFonts w:ascii="Times New Roman" w:cs="Times New Roman" w:eastAsia="Times New Roman" w:hAnsi="Times New Roman"/>
                <w:sz w:val="16"/>
                <w:szCs w:val="16"/>
                <w:color w:val="auto"/>
              </w:rPr>
              <w:t>Appraisal of collateral</w:t>
            </w:r>
          </w:p>
        </w:tc>
        <w:tc>
          <w:tcPr>
            <w:tcW w:w="5080" w:type="dxa"/>
            <w:vAlign w:val="bottom"/>
            <w:tcBorders>
              <w:bottom w:val="single" w:sz="8" w:color="auto"/>
            </w:tcBorders>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Discounted Cash Flow</w:t>
            </w:r>
          </w:p>
        </w:tc>
        <w:tc>
          <w:tcPr>
            <w:tcW w:w="184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6% - 82% (36%)</w:t>
            </w:r>
          </w:p>
        </w:tc>
      </w:tr>
      <w:tr>
        <w:trPr>
          <w:trHeight w:val="196"/>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Foreclosed real estate</w:t>
            </w:r>
          </w:p>
        </w:tc>
        <w:tc>
          <w:tcPr>
            <w:tcW w:w="1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color w:val="auto"/>
              </w:rPr>
              <w:t>Appraisal of collateral</w:t>
            </w:r>
          </w:p>
        </w:tc>
        <w:tc>
          <w:tcPr>
            <w:tcW w:w="50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Costs to Sell</w:t>
            </w:r>
          </w:p>
        </w:tc>
        <w:tc>
          <w:tcPr>
            <w:tcW w:w="18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21% - 24% (22%)</w:t>
            </w:r>
          </w:p>
        </w:tc>
      </w:tr>
      <w:tr>
        <w:trPr>
          <w:trHeight w:val="652"/>
        </w:trPr>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Quantitative Information about Level 3 Fair Value Measurements</w:t>
            </w:r>
          </w:p>
        </w:tc>
        <w:tc>
          <w:tcPr>
            <w:tcW w:w="1840" w:type="dxa"/>
            <w:vAlign w:val="bottom"/>
            <w:tcBorders>
              <w:bottom w:val="single" w:sz="8" w:color="auto"/>
            </w:tcBorders>
          </w:tcPr>
          <w:p>
            <w:pPr>
              <w:spacing w:after="0"/>
              <w:rPr>
                <w:sz w:val="24"/>
                <w:szCs w:val="24"/>
                <w:color w:val="auto"/>
              </w:rPr>
            </w:pPr>
          </w:p>
        </w:tc>
      </w:tr>
      <w:tr>
        <w:trPr>
          <w:trHeight w:val="185"/>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Valuation</w:t>
            </w:r>
          </w:p>
        </w:tc>
        <w:tc>
          <w:tcPr>
            <w:tcW w:w="50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8"/>
              </w:rPr>
              <w:t>Unobservable</w:t>
            </w:r>
          </w:p>
        </w:tc>
        <w:tc>
          <w:tcPr>
            <w:tcW w:w="18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7"/>
              </w:rPr>
              <w:t>Range</w:t>
            </w:r>
          </w:p>
        </w:tc>
      </w:tr>
      <w:tr>
        <w:trPr>
          <w:trHeight w:val="213"/>
        </w:trPr>
        <w:tc>
          <w:tcPr>
            <w:tcW w:w="2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Techniques</w:t>
            </w:r>
          </w:p>
        </w:tc>
        <w:tc>
          <w:tcPr>
            <w:tcW w:w="508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Input</w:t>
            </w:r>
          </w:p>
        </w:tc>
        <w:tc>
          <w:tcPr>
            <w:tcW w:w="18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(Weighted Avg.)</w:t>
            </w:r>
          </w:p>
        </w:tc>
      </w:tr>
      <w:tr>
        <w:trPr>
          <w:trHeight w:val="199"/>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At December 31, 2025</w:t>
            </w:r>
          </w:p>
        </w:tc>
        <w:tc>
          <w:tcPr>
            <w:tcW w:w="1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50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r>
      <w:tr>
        <w:trPr>
          <w:trHeight w:val="196"/>
        </w:trPr>
        <w:tc>
          <w:tcPr>
            <w:tcW w:w="2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Individually evaluated loans</w:t>
            </w:r>
          </w:p>
        </w:tc>
        <w:tc>
          <w:tcPr>
            <w:tcW w:w="140" w:type="dxa"/>
            <w:vAlign w:val="bottom"/>
            <w:tcBorders>
              <w:bottom w:val="single" w:sz="8" w:color="auto"/>
            </w:tcBorders>
            <w:shd w:val="clear" w:color="auto" w:fill="CFF0FC"/>
          </w:tcPr>
          <w:p>
            <w:pPr>
              <w:spacing w:after="0"/>
              <w:rPr>
                <w:sz w:val="17"/>
                <w:szCs w:val="17"/>
                <w:color w:val="auto"/>
              </w:rPr>
            </w:pPr>
          </w:p>
        </w:tc>
        <w:tc>
          <w:tcPr>
            <w:tcW w:w="20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Appraisal of collateral</w:t>
            </w:r>
          </w:p>
        </w:tc>
        <w:tc>
          <w:tcPr>
            <w:tcW w:w="5080" w:type="dxa"/>
            <w:vAlign w:val="bottom"/>
            <w:tcBorders>
              <w:bottom w:val="single" w:sz="8" w:color="auto"/>
            </w:tcBorders>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Discounted Cash Flow</w:t>
            </w:r>
          </w:p>
        </w:tc>
        <w:tc>
          <w:tcPr>
            <w:tcW w:w="184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5% - 97% (48%)</w:t>
            </w:r>
          </w:p>
        </w:tc>
      </w:tr>
      <w:tr>
        <w:trPr>
          <w:trHeight w:val="196"/>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Foreclosed real estate</w:t>
            </w:r>
          </w:p>
        </w:tc>
        <w:tc>
          <w:tcPr>
            <w:tcW w:w="1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Appraisal of collateral</w:t>
            </w:r>
          </w:p>
        </w:tc>
        <w:tc>
          <w:tcPr>
            <w:tcW w:w="508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8"/>
              </w:rPr>
              <w:t>Costs to Sell</w:t>
            </w:r>
          </w:p>
        </w:tc>
        <w:tc>
          <w:tcPr>
            <w:tcW w:w="18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21% - 24% (22%)</w:t>
            </w:r>
          </w:p>
        </w:tc>
      </w:tr>
    </w:tbl>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have been no transfers of assets into or out of any fair value measurement level during the three months ended March 31, 2026 or 2025.</w:t>
      </w:r>
    </w:p>
    <w:p>
      <w:pPr>
        <w:spacing w:after="0" w:line="1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Required disclosures include fair value information of financial instruments, whether or not recognized in the consolidated statements of condition, for which it is practicable to estimate that value.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w:t>
      </w:r>
    </w:p>
    <w:p>
      <w:pPr>
        <w:spacing w:after="0" w:line="15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Company has various processes and controls in place to ensure that fair value is reasonably estimated. The Company performs due diligence procedures over third-party pricing service providers in order to support their use in the valuation process.</w:t>
      </w:r>
    </w:p>
    <w:p>
      <w:pPr>
        <w:spacing w:after="0" w:line="1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30" w:name="page31"/>
    <w:bookmarkEnd w:id="30"/>
    <w:p>
      <w:pPr>
        <w:jc w:val="both"/>
        <w:spacing w:after="0" w:line="245" w:lineRule="auto"/>
        <w:rPr>
          <w:sz w:val="20"/>
          <w:szCs w:val="20"/>
          <w:color w:val="auto"/>
        </w:rPr>
      </w:pPr>
      <w:r>
        <w:rPr>
          <w:rFonts w:ascii="Times New Roman" w:cs="Times New Roman" w:eastAsia="Times New Roman" w:hAnsi="Times New Roman"/>
          <w:sz w:val="20"/>
          <w:szCs w:val="20"/>
          <w:color w:val="auto"/>
        </w:rPr>
        <w:t>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the Company could have realized in a sales transaction on the dates indicated. The estimated fair value amounts have been measured as of their respective period-ends, and have not been re-evaluated or updated for purposes of these financial statements subsequent to those respective dates. As such, the estimated fair values of these financial instruments subsequent to the respective reporting dates may be different than the amounts reported at each period-end.</w:t>
      </w:r>
    </w:p>
    <w:p>
      <w:pPr>
        <w:spacing w:after="0" w:line="15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Under FASB ASC Topic 820, </w:t>
      </w:r>
      <w:r>
        <w:rPr>
          <w:rFonts w:ascii="Times New Roman" w:cs="Times New Roman" w:eastAsia="Times New Roman" w:hAnsi="Times New Roman"/>
          <w:sz w:val="20"/>
          <w:szCs w:val="20"/>
          <w:i w:val="1"/>
          <w:iCs w:val="1"/>
          <w:color w:val="auto"/>
        </w:rPr>
        <w:t>Fair Value Measurements</w:t>
      </w:r>
      <w:r>
        <w:rPr>
          <w:rFonts w:ascii="Times New Roman" w:cs="Times New Roman" w:eastAsia="Times New Roman" w:hAnsi="Times New Roman"/>
          <w:sz w:val="20"/>
          <w:szCs w:val="20"/>
          <w:color w:val="auto"/>
        </w:rPr>
        <w:t>, the financial assets and liabilities were valued at a price that represents the Company’s exit price or the price at which these instruments would be sold or transferred.</w:t>
      </w:r>
    </w:p>
    <w:p>
      <w:pPr>
        <w:spacing w:after="0" w:line="1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following information should not be interpreted as an estimate of the fair value of the entire Company since a fair value calculation is only provided for a limited portion of the Company’s assets and liabilities. Due to a wide range of valuation techniques and the degree of subjectivity used in making the estimates, comparisons between the Company’s disclosures and those of other companies may not be meaningful. The Company, in estimating its fair value disclosures for financial instruments, used the following methods and assumptions: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and cash equivalents – The carrying amounts of these assets approximate their fair value and are classified as Level 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Federal Home Loan Bank stock – The carrying amount of these assets approximates their fair value and are classified as Level 2.</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Net loans – For variable-rate loans that re-price frequently, fair value is based on carrying amounts. The fair value of other loans (for example, fixed-rate commercial real estate loans, mortgage loans, and commercial and industrial loans) is estimated using discounted cash flow analysis, based on interest rates currently being offered in the market for loans with similar terms to borrowers of similar credit quality. Loan value estimates include judgments based on expected prepayment rates. The measurement of the fair value of loans, including individually evaluated loans, is classified within Level 3 of the fair value hierarchy.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interest receivable and payable – The carrying amount of these assets approximates their fair value and are classified as Level 1.</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Deposits – The fair values disclosed for demand deposits (e.g., interest-bearing and noninterest-bearing checking, passbook savings and certain types of money management accounts) are, by definition, equal to the amount payable on demand at the reporting date (i.e., their carrying amounts) and are classified within Level 1 of the fair value hierarchy. Fair values for fixed-rate certificates of deposit are estimated using a discounted cash flow calculation that applies interest rates currently being offered in the market on certificates of deposits to a schedule of aggregated expected monthly maturities on time deposits. Measurements of the fair value of time deposits are classified within Level 2 of the fair value hierarchy.</w:t>
      </w:r>
    </w:p>
    <w:p>
      <w:pPr>
        <w:spacing w:after="0" w:line="1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Borrowings – Fixed/variable term “bullet” structures are valued using a replacement cost of funds approach. These borrowings are discounted to the FHLB-NY advance curve. Option structured borrowings’ fair values are determined by the FHLB for borrowings that include a call or conversion option. If market pricing is not available from this source, current market indications from the FHLB-NY are obtained and the borrowings are discounted to the FHLB-NY advance curve less an appropriate spread to adjust for the option. These measurements are classified as Level 2 within the fair value hierarchy.</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Subordinated debt – The Company secures quotes from its pricing service based on a discounted cash flow methodology or utilizes observations of recent highly-similar transactions which result in a Level 2 classification.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color w:val="auto"/>
        </w:rPr>
        <w:t>The carrying amounts and fair values of the Company’s financial instruments as of the indicated dates are presented in the following table: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6"/>
                <w:szCs w:val="16"/>
                <w:color w:val="auto"/>
              </w:rPr>
              <w:t>March 31, 2026</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6"/>
                <w:szCs w:val="16"/>
                <w:color w:val="auto"/>
              </w:rPr>
              <w:t>December 31, 2025</w:t>
            </w:r>
          </w:p>
        </w:tc>
        <w:tc>
          <w:tcPr>
            <w:tcW w:w="0" w:type="dxa"/>
            <w:vAlign w:val="bottom"/>
          </w:tcPr>
          <w:p>
            <w:pPr>
              <w:spacing w:after="0"/>
              <w:rPr>
                <w:sz w:val="1"/>
                <w:szCs w:val="1"/>
                <w:color w:val="auto"/>
              </w:rPr>
            </w:pPr>
          </w:p>
        </w:tc>
      </w:tr>
      <w:tr>
        <w:trPr>
          <w:trHeight w:val="188"/>
        </w:trPr>
        <w:tc>
          <w:tcPr>
            <w:tcW w:w="43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Fair Value</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Carrying</w:t>
            </w:r>
          </w:p>
        </w:tc>
        <w:tc>
          <w:tcPr>
            <w:tcW w:w="28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Estimated</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Carrying</w:t>
            </w:r>
          </w:p>
        </w:tc>
        <w:tc>
          <w:tcPr>
            <w:tcW w:w="28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Estimated</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auto"/>
            </w:tcBorders>
            <w:gridSpan w:val="3"/>
            <w:vMerge w:val="continue"/>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Hierarchy</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Amounts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Fair Values</w:t>
            </w: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Amounts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Fair Values</w:t>
            </w:r>
          </w:p>
        </w:tc>
        <w:tc>
          <w:tcPr>
            <w:tcW w:w="0" w:type="dxa"/>
            <w:vAlign w:val="bottom"/>
          </w:tcPr>
          <w:p>
            <w:pPr>
              <w:spacing w:after="0"/>
              <w:rPr>
                <w:sz w:val="1"/>
                <w:szCs w:val="1"/>
                <w:color w:val="auto"/>
              </w:rPr>
            </w:pPr>
          </w:p>
        </w:tc>
      </w:tr>
      <w:tr>
        <w:trPr>
          <w:trHeight w:val="179"/>
        </w:trPr>
        <w:tc>
          <w:tcPr>
            <w:tcW w:w="1080" w:type="dxa"/>
            <w:vAlign w:val="bottom"/>
            <w:tcBorders>
              <w:bottom w:val="single" w:sz="8" w:color="auto"/>
            </w:tcBorders>
            <w:shd w:val="clear" w:color="auto" w:fill="CFF0FC"/>
          </w:tcPr>
          <w:p>
            <w:pPr>
              <w:spacing w:after="0" w:line="158" w:lineRule="exact"/>
              <w:rPr>
                <w:sz w:val="20"/>
                <w:szCs w:val="20"/>
                <w:color w:val="auto"/>
              </w:rPr>
            </w:pPr>
            <w:r>
              <w:rPr>
                <w:rFonts w:ascii="Times New Roman" w:cs="Times New Roman" w:eastAsia="Times New Roman" w:hAnsi="Times New Roman"/>
                <w:sz w:val="16"/>
                <w:szCs w:val="16"/>
                <w:color w:val="auto"/>
              </w:rPr>
              <w:t>Financial assets:</w:t>
            </w:r>
          </w:p>
        </w:tc>
        <w:tc>
          <w:tcPr>
            <w:tcW w:w="3260" w:type="dxa"/>
            <w:vAlign w:val="bottom"/>
            <w:tcBorders>
              <w:bottom w:val="single" w:sz="8" w:color="CFF0FC"/>
            </w:tcBorders>
            <w:gridSpan w:val="2"/>
            <w:shd w:val="clear" w:color="auto" w:fill="CFF0FC"/>
          </w:tcPr>
          <w:p>
            <w:pPr>
              <w:spacing w:after="0"/>
              <w:rPr>
                <w:sz w:val="15"/>
                <w:szCs w:val="15"/>
                <w:color w:val="auto"/>
              </w:rPr>
            </w:pPr>
          </w:p>
        </w:tc>
        <w:tc>
          <w:tcPr>
            <w:tcW w:w="17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39,159</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39,159</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31,170</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31,170</w:t>
            </w:r>
          </w:p>
        </w:tc>
        <w:tc>
          <w:tcPr>
            <w:tcW w:w="0" w:type="dxa"/>
            <w:vAlign w:val="bottom"/>
          </w:tcPr>
          <w:p>
            <w:pPr>
              <w:spacing w:after="0"/>
              <w:rPr>
                <w:sz w:val="1"/>
                <w:szCs w:val="1"/>
                <w:color w:val="auto"/>
              </w:rPr>
            </w:pPr>
          </w:p>
        </w:tc>
      </w:tr>
      <w:tr>
        <w:trPr>
          <w:trHeight w:val="203"/>
        </w:trPr>
        <w:tc>
          <w:tcPr>
            <w:tcW w:w="43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securities - available-for-sale</w:t>
            </w: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268,765</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268,765</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272,626</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272,626</w:t>
            </w:r>
          </w:p>
        </w:tc>
        <w:tc>
          <w:tcPr>
            <w:tcW w:w="0" w:type="dxa"/>
            <w:vAlign w:val="bottom"/>
          </w:tcPr>
          <w:p>
            <w:pPr>
              <w:spacing w:after="0"/>
              <w:rPr>
                <w:sz w:val="1"/>
                <w:szCs w:val="1"/>
                <w:color w:val="auto"/>
              </w:rPr>
            </w:pPr>
          </w:p>
        </w:tc>
      </w:tr>
      <w:tr>
        <w:trPr>
          <w:trHeight w:val="203"/>
        </w:trPr>
        <w:tc>
          <w:tcPr>
            <w:tcW w:w="4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 securities - available-for-sale</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NAV</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28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4,206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28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4,189</w:t>
            </w:r>
          </w:p>
        </w:tc>
        <w:tc>
          <w:tcPr>
            <w:tcW w:w="0" w:type="dxa"/>
            <w:vAlign w:val="bottom"/>
          </w:tcPr>
          <w:p>
            <w:pPr>
              <w:spacing w:after="0"/>
              <w:rPr>
                <w:sz w:val="1"/>
                <w:szCs w:val="1"/>
                <w:color w:val="auto"/>
              </w:rPr>
            </w:pPr>
          </w:p>
        </w:tc>
      </w:tr>
      <w:tr>
        <w:trPr>
          <w:trHeight w:val="203"/>
        </w:trPr>
        <w:tc>
          <w:tcPr>
            <w:tcW w:w="43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securities - marketable equity</w:t>
            </w: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NAV</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6,207</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6,207</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6,034</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6,034</w:t>
            </w:r>
          </w:p>
        </w:tc>
        <w:tc>
          <w:tcPr>
            <w:tcW w:w="0" w:type="dxa"/>
            <w:vAlign w:val="bottom"/>
          </w:tcPr>
          <w:p>
            <w:pPr>
              <w:spacing w:after="0"/>
              <w:rPr>
                <w:sz w:val="1"/>
                <w:szCs w:val="1"/>
                <w:color w:val="auto"/>
              </w:rPr>
            </w:pPr>
          </w:p>
        </w:tc>
      </w:tr>
      <w:tr>
        <w:trPr>
          <w:trHeight w:val="203"/>
        </w:trPr>
        <w:tc>
          <w:tcPr>
            <w:tcW w:w="4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 securities - held-to-maturity</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122,432</w:t>
            </w:r>
          </w:p>
        </w:tc>
        <w:tc>
          <w:tcPr>
            <w:tcW w:w="28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117,076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130,324</w:t>
            </w:r>
          </w:p>
        </w:tc>
        <w:tc>
          <w:tcPr>
            <w:tcW w:w="28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125,198</w:t>
            </w:r>
          </w:p>
        </w:tc>
        <w:tc>
          <w:tcPr>
            <w:tcW w:w="0" w:type="dxa"/>
            <w:vAlign w:val="bottom"/>
          </w:tcPr>
          <w:p>
            <w:pPr>
              <w:spacing w:after="0"/>
              <w:rPr>
                <w:sz w:val="1"/>
                <w:szCs w:val="1"/>
                <w:color w:val="auto"/>
              </w:rPr>
            </w:pPr>
          </w:p>
        </w:tc>
      </w:tr>
      <w:tr>
        <w:trPr>
          <w:trHeight w:val="203"/>
        </w:trPr>
        <w:tc>
          <w:tcPr>
            <w:tcW w:w="43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Federal Home Loan Bank stock</w:t>
            </w: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2,169</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2,560</w:t>
            </w:r>
          </w:p>
        </w:tc>
        <w:tc>
          <w:tcPr>
            <w:tcW w:w="0" w:type="dxa"/>
            <w:vAlign w:val="bottom"/>
          </w:tcPr>
          <w:p>
            <w:pPr>
              <w:spacing w:after="0"/>
              <w:rPr>
                <w:sz w:val="1"/>
                <w:szCs w:val="1"/>
                <w:color w:val="auto"/>
              </w:rPr>
            </w:pPr>
          </w:p>
        </w:tc>
      </w:tr>
      <w:tr>
        <w:trPr>
          <w:trHeight w:val="203"/>
        </w:trPr>
        <w:tc>
          <w:tcPr>
            <w:tcW w:w="4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loans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866,236</w:t>
            </w:r>
          </w:p>
        </w:tc>
        <w:tc>
          <w:tcPr>
            <w:tcW w:w="28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843,341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867,234</w:t>
            </w:r>
          </w:p>
        </w:tc>
        <w:tc>
          <w:tcPr>
            <w:tcW w:w="28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842,116</w:t>
            </w:r>
          </w:p>
        </w:tc>
        <w:tc>
          <w:tcPr>
            <w:tcW w:w="0" w:type="dxa"/>
            <w:vAlign w:val="bottom"/>
          </w:tcPr>
          <w:p>
            <w:pPr>
              <w:spacing w:after="0"/>
              <w:rPr>
                <w:sz w:val="1"/>
                <w:szCs w:val="1"/>
                <w:color w:val="auto"/>
              </w:rPr>
            </w:pPr>
          </w:p>
        </w:tc>
      </w:tr>
      <w:tr>
        <w:trPr>
          <w:trHeight w:val="203"/>
        </w:trPr>
        <w:tc>
          <w:tcPr>
            <w:tcW w:w="43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5,832</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5,832</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6,328</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6,328</w:t>
            </w:r>
          </w:p>
        </w:tc>
        <w:tc>
          <w:tcPr>
            <w:tcW w:w="0" w:type="dxa"/>
            <w:vAlign w:val="bottom"/>
          </w:tcPr>
          <w:p>
            <w:pPr>
              <w:spacing w:after="0"/>
              <w:rPr>
                <w:sz w:val="1"/>
                <w:szCs w:val="1"/>
                <w:color w:val="auto"/>
              </w:rPr>
            </w:pPr>
          </w:p>
        </w:tc>
      </w:tr>
      <w:tr>
        <w:trPr>
          <w:trHeight w:val="189"/>
        </w:trPr>
        <w:tc>
          <w:tcPr>
            <w:tcW w:w="4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rate derivative fair value hedges receivable - AFS</w:t>
            </w: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2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2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1,214</w:t>
            </w:r>
          </w:p>
        </w:tc>
        <w:tc>
          <w:tcPr>
            <w:tcW w:w="0" w:type="dxa"/>
            <w:vAlign w:val="bottom"/>
          </w:tcPr>
          <w:p>
            <w:pPr>
              <w:spacing w:after="0"/>
              <w:rPr>
                <w:sz w:val="1"/>
                <w:szCs w:val="1"/>
                <w:color w:val="auto"/>
              </w:rPr>
            </w:pPr>
          </w:p>
        </w:tc>
      </w:tr>
      <w:tr>
        <w:trPr>
          <w:trHeight w:val="206"/>
        </w:trPr>
        <w:tc>
          <w:tcPr>
            <w:tcW w:w="4340" w:type="dxa"/>
            <w:vAlign w:val="bottom"/>
            <w:tcBorders>
              <w:bottom w:val="single" w:sz="8" w:color="auto"/>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derivative fair value hedges receivable - loans</w:t>
            </w:r>
          </w:p>
        </w:tc>
        <w:tc>
          <w:tcPr>
            <w:tcW w:w="17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3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897</w:t>
            </w:r>
          </w:p>
        </w:tc>
        <w:tc>
          <w:tcPr>
            <w:tcW w:w="18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gridSpan w:val="2"/>
            <w:shd w:val="clear" w:color="auto" w:fill="CFF0FC"/>
          </w:tcPr>
          <w:p>
            <w:pPr>
              <w:spacing w:after="0" w:line="162" w:lineRule="exact"/>
              <w:rPr>
                <w:sz w:val="20"/>
                <w:szCs w:val="20"/>
                <w:color w:val="auto"/>
              </w:rPr>
            </w:pPr>
            <w:r>
              <w:rPr>
                <w:rFonts w:ascii="Times New Roman" w:cs="Times New Roman" w:eastAsia="Times New Roman" w:hAnsi="Times New Roman"/>
                <w:sz w:val="16"/>
                <w:szCs w:val="16"/>
                <w:color w:val="auto"/>
              </w:rPr>
              <w:t>Financial liabilities:</w:t>
            </w:r>
          </w:p>
        </w:tc>
        <w:tc>
          <w:tcPr>
            <w:tcW w:w="3040" w:type="dxa"/>
            <w:vAlign w:val="bottom"/>
            <w:tcBorders>
              <w:bottom w:val="single" w:sz="8" w:color="CFF0FC"/>
            </w:tcBorders>
            <w:shd w:val="clear" w:color="auto" w:fill="CFF0FC"/>
          </w:tcPr>
          <w:p>
            <w:pPr>
              <w:spacing w:after="0"/>
              <w:rPr>
                <w:sz w:val="15"/>
                <w:szCs w:val="15"/>
                <w:color w:val="auto"/>
              </w:rPr>
            </w:pPr>
          </w:p>
        </w:tc>
        <w:tc>
          <w:tcPr>
            <w:tcW w:w="17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Demand Deposits, Savings, NOW and MMDA</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797,177</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797,177</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731,868</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731,868</w:t>
            </w:r>
          </w:p>
        </w:tc>
        <w:tc>
          <w:tcPr>
            <w:tcW w:w="0" w:type="dxa"/>
            <w:vAlign w:val="bottom"/>
          </w:tcPr>
          <w:p>
            <w:pPr>
              <w:spacing w:after="0"/>
              <w:rPr>
                <w:sz w:val="1"/>
                <w:szCs w:val="1"/>
                <w:color w:val="auto"/>
              </w:rPr>
            </w:pPr>
          </w:p>
        </w:tc>
      </w:tr>
      <w:tr>
        <w:trPr>
          <w:trHeight w:val="203"/>
        </w:trPr>
        <w:tc>
          <w:tcPr>
            <w:tcW w:w="43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Deposits</w:t>
            </w: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414,550</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413,803</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451,980</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451,357</w:t>
            </w:r>
          </w:p>
        </w:tc>
        <w:tc>
          <w:tcPr>
            <w:tcW w:w="0" w:type="dxa"/>
            <w:vAlign w:val="bottom"/>
          </w:tcPr>
          <w:p>
            <w:pPr>
              <w:spacing w:after="0"/>
              <w:rPr>
                <w:sz w:val="1"/>
                <w:szCs w:val="1"/>
                <w:color w:val="auto"/>
              </w:rPr>
            </w:pPr>
          </w:p>
        </w:tc>
      </w:tr>
      <w:tr>
        <w:trPr>
          <w:trHeight w:val="203"/>
        </w:trPr>
        <w:tc>
          <w:tcPr>
            <w:tcW w:w="4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Borrowings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27,374</w:t>
            </w:r>
          </w:p>
        </w:tc>
        <w:tc>
          <w:tcPr>
            <w:tcW w:w="28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27,356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58,074</w:t>
            </w:r>
          </w:p>
        </w:tc>
        <w:tc>
          <w:tcPr>
            <w:tcW w:w="28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58,107</w:t>
            </w:r>
          </w:p>
        </w:tc>
        <w:tc>
          <w:tcPr>
            <w:tcW w:w="0" w:type="dxa"/>
            <w:vAlign w:val="bottom"/>
          </w:tcPr>
          <w:p>
            <w:pPr>
              <w:spacing w:after="0"/>
              <w:rPr>
                <w:sz w:val="1"/>
                <w:szCs w:val="1"/>
                <w:color w:val="auto"/>
              </w:rPr>
            </w:pPr>
          </w:p>
        </w:tc>
      </w:tr>
      <w:tr>
        <w:trPr>
          <w:trHeight w:val="203"/>
        </w:trPr>
        <w:tc>
          <w:tcPr>
            <w:tcW w:w="43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Subordinated debt</w:t>
            </w: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30,155</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29,560</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30,155</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29,689</w:t>
            </w:r>
          </w:p>
        </w:tc>
        <w:tc>
          <w:tcPr>
            <w:tcW w:w="0" w:type="dxa"/>
            <w:vAlign w:val="bottom"/>
          </w:tcPr>
          <w:p>
            <w:pPr>
              <w:spacing w:after="0"/>
              <w:rPr>
                <w:sz w:val="1"/>
                <w:szCs w:val="1"/>
                <w:color w:val="auto"/>
              </w:rPr>
            </w:pPr>
          </w:p>
        </w:tc>
      </w:tr>
      <w:tr>
        <w:trPr>
          <w:trHeight w:val="203"/>
        </w:trPr>
        <w:tc>
          <w:tcPr>
            <w:tcW w:w="4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Accrued interest payable</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451</w:t>
            </w: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424</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32</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Note 11:  Interest Rate Derivatives</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is exposed to certain risks related to both its business operations and changes in economic conditions. As part of managing interest rate risk, the Company periodically enters into standardized interest rate derivative contracts (designated as hedging agreements) to modify the repricing characteristics of certain portions of the Company’s earning assets and interest-bearing liabilities portfolios. The Company designates interest rate hedging agreements utilized in the management of interest rate risk as either fair value hedges or cash flow hedges. Interest rate hedging agreements are recorded at fair value as other assets or liabilities. The Company had no material derivative contracts not designated as hedging agreements at March 31, 2026 or December 31, 2025.</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As a result of interest rate fluctuations, fixed-rate interest-earning assets and interest-bearing liabilities will appreciate or depreciate in fair value. When effectively hedged, this fair value appreciation or depreciation will generally be offset by substantially identical changes in the fair value of derivative instruments that are linked to the hedged assets and liabilities. This strategy is referred to as fair value hedging and the derivative instruments employed in this strategy are therefore designated as fair value hedges. In a fair value hedge, the fair value of the derivative (the interest rate hedging agreement) is recorded in the Company’s consolidated balance sheet with the corresponding gain or loss recognized as an adjustment to the carrying balance of the hedged asset or liability. Changes in the correlation between the hedging instrument and the hedged asset or liability that give rise to differences between the changes in the fair value of the interest rate hedging agreements and the hedged items represents hedge ineffectiveness and are recorded as adjustments to the interest income or interest expense of the respective hedged instrument. In the case of pay-fixed or receive-fixed interest rate swap agreements, designated as fair value hedges, the periodic difference in the net cash flows due to (due from) the Company from (to) a counterparty are recorded in current period earnings as adjustments to the interest income or interest expense of the respective hedged asset or liability.</w:t>
      </w:r>
    </w:p>
    <w:p>
      <w:pPr>
        <w:spacing w:after="0" w:line="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Cash flows related to floating rate assets and liabilities will fluctuate with changes in underlying rate indices. When effectively hedged, the increases or decreases in cash flows related to the floating-rate asset or liability will generally be offset by changes in cash flows of the derivative instruments designated as a hedge. This strategy is referred to as cash flow hedging and the derivative instruments employed in these strategies are therefore designated as cash flow hedges. In a cash flow hedge, the effective portion of the derivative’s gain or loss is initially reported as a component of accumulated other comprehensive income and subsequently reclassified into earnings when the forecasted transaction affects earnings. In the case of pay-fixed or receive-fixed interest rate swap agreements, designated as cash flow hedges, the periodic difference in the net cash flows due to (due from) the Company from (to) a counterparty are recorded in current period earnings as adjustments to the interest income or interest expense of the respective hedged asset or liability.</w:t>
      </w:r>
    </w:p>
    <w:p>
      <w:pPr>
        <w:spacing w:after="0" w:line="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Among the array of interest rate hedging contracts, potentially available to the Company, are interest rate swap and interest rate cap (or floor) contracts. The Company uses interest rate swaps, cap or floor contracts as part of its interest rate risk management strategy. Interest rate swaps involve the receipt of variable amounts from a counterparty in exchange for the Company making fixed payments over the life of the agreements without the exchange of the underlying notional amount. An interest rate cap is a type of interest rate derivative in which the buyer receives payments at the end of each contractual period in which the index interest rate exceeds the contractually agreed upon strike price rate. The purchaser of a cap contract will continue to benefit from any rise in interest rates above the strike price. Similarly, an interest rate floor is a derivative contract in which the buyer receives payments at the end of each period in which the interest rate is below the agreed strike price. The purchaser of a floor contract will continue to benefit from any decrease in interest rates below the strike price. The Company had no interest rate cap or floor contracts in place at March 31, 2026 or December 31, 2025.</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33" w:name="page34"/>
    <w:bookmarkEnd w:id="33"/>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records various hedges in the consolidated statements of condition at fair value. The Company’s accounting treatment for these derivative instruments is based on the instrument's hedge designation determined at the inception of each derivative instrument's contractual term. The following tables show the Company’s outstanding fair value hedges at March 31, 2026 and December 31, 2025: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Cumulative Amount of Fair</w:t>
            </w:r>
          </w:p>
        </w:tc>
        <w:tc>
          <w:tcPr>
            <w:tcW w:w="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Cumulative Amount of Fair</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Value Hedging Adjustment</w:t>
            </w:r>
          </w:p>
        </w:tc>
        <w:tc>
          <w:tcPr>
            <w:tcW w:w="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Value Hedging Adjustment</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2440" w:type="dxa"/>
            <w:vAlign w:val="bottom"/>
            <w:gridSpan w:val="2"/>
          </w:tcPr>
          <w:p>
            <w:pPr>
              <w:jc w:val="center"/>
              <w:ind w:left="159"/>
              <w:spacing w:after="0"/>
              <w:rPr>
                <w:sz w:val="20"/>
                <w:szCs w:val="20"/>
                <w:color w:val="auto"/>
              </w:rPr>
            </w:pPr>
            <w:r>
              <w:rPr>
                <w:rFonts w:ascii="Times New Roman" w:cs="Times New Roman" w:eastAsia="Times New Roman" w:hAnsi="Times New Roman"/>
                <w:sz w:val="16"/>
                <w:szCs w:val="16"/>
                <w:color w:val="auto"/>
              </w:rPr>
              <w:t>Hedge-Adjusted Carrying</w:t>
            </w:r>
          </w:p>
        </w:tc>
        <w:tc>
          <w:tcPr>
            <w:tcW w:w="240" w:type="dxa"/>
            <w:vAlign w:val="bottom"/>
          </w:tcPr>
          <w:p>
            <w:pPr>
              <w:spacing w:after="0"/>
              <w:rPr>
                <w:sz w:val="17"/>
                <w:szCs w:val="17"/>
                <w:color w:val="auto"/>
              </w:rPr>
            </w:pPr>
          </w:p>
        </w:tc>
        <w:tc>
          <w:tcPr>
            <w:tcW w:w="192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Subtracted/(Added) from</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Hedge-Adjusted Carrying</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Subtracted from Carrying</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Amount of the Hedged</w:t>
            </w:r>
          </w:p>
        </w:tc>
        <w:tc>
          <w:tcPr>
            <w:tcW w:w="240" w:type="dxa"/>
            <w:vAlign w:val="bottom"/>
          </w:tcPr>
          <w:p>
            <w:pPr>
              <w:spacing w:after="0"/>
              <w:rPr>
                <w:sz w:val="17"/>
                <w:szCs w:val="17"/>
                <w:color w:val="auto"/>
              </w:rPr>
            </w:pPr>
          </w:p>
        </w:tc>
        <w:tc>
          <w:tcPr>
            <w:tcW w:w="192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Carrying Amount of the</w:t>
            </w:r>
          </w:p>
        </w:tc>
        <w:tc>
          <w:tcPr>
            <w:tcW w:w="260" w:type="dxa"/>
            <w:vAlign w:val="bottom"/>
          </w:tcPr>
          <w:p>
            <w:pPr>
              <w:spacing w:after="0"/>
              <w:rPr>
                <w:sz w:val="17"/>
                <w:szCs w:val="17"/>
                <w:color w:val="auto"/>
              </w:rPr>
            </w:pPr>
          </w:p>
        </w:tc>
        <w:tc>
          <w:tcPr>
            <w:tcW w:w="186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Amount of the Hedged</w:t>
            </w:r>
          </w:p>
        </w:tc>
        <w:tc>
          <w:tcPr>
            <w:tcW w:w="240" w:type="dxa"/>
            <w:vAlign w:val="bottom"/>
          </w:tcPr>
          <w:p>
            <w:pPr>
              <w:spacing w:after="0"/>
              <w:rPr>
                <w:sz w:val="17"/>
                <w:szCs w:val="17"/>
                <w:color w:val="auto"/>
              </w:rPr>
            </w:pPr>
          </w:p>
        </w:tc>
        <w:tc>
          <w:tcPr>
            <w:tcW w:w="186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Amount of the Hedged</w:t>
            </w:r>
          </w:p>
        </w:tc>
        <w:tc>
          <w:tcPr>
            <w:tcW w:w="0" w:type="dxa"/>
            <w:vAlign w:val="bottom"/>
          </w:tcPr>
          <w:p>
            <w:pPr>
              <w:spacing w:after="0"/>
              <w:rPr>
                <w:sz w:val="1"/>
                <w:szCs w:val="1"/>
                <w:color w:val="auto"/>
              </w:rPr>
            </w:pPr>
          </w:p>
        </w:tc>
      </w:tr>
      <w:tr>
        <w:trPr>
          <w:trHeight w:val="203"/>
        </w:trPr>
        <w:tc>
          <w:tcPr>
            <w:tcW w:w="24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60" w:type="dxa"/>
            <w:vAlign w:val="bottom"/>
          </w:tcPr>
          <w:p>
            <w:pPr>
              <w:spacing w:after="0"/>
              <w:rPr>
                <w:sz w:val="17"/>
                <w:szCs w:val="17"/>
                <w:color w:val="auto"/>
              </w:rPr>
            </w:pPr>
          </w:p>
        </w:tc>
        <w:tc>
          <w:tcPr>
            <w:tcW w:w="18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Assets at</w:t>
            </w: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Hedged Assets at March 31,</w:t>
            </w:r>
          </w:p>
        </w:tc>
        <w:tc>
          <w:tcPr>
            <w:tcW w:w="260" w:type="dxa"/>
            <w:vAlign w:val="bottom"/>
          </w:tcPr>
          <w:p>
            <w:pPr>
              <w:spacing w:after="0"/>
              <w:rPr>
                <w:sz w:val="17"/>
                <w:szCs w:val="17"/>
                <w:color w:val="auto"/>
              </w:rPr>
            </w:pPr>
          </w:p>
        </w:tc>
        <w:tc>
          <w:tcPr>
            <w:tcW w:w="18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Assets at</w:t>
            </w:r>
          </w:p>
        </w:tc>
        <w:tc>
          <w:tcPr>
            <w:tcW w:w="240" w:type="dxa"/>
            <w:vAlign w:val="bottom"/>
          </w:tcPr>
          <w:p>
            <w:pPr>
              <w:spacing w:after="0"/>
              <w:rPr>
                <w:sz w:val="17"/>
                <w:szCs w:val="17"/>
                <w:color w:val="auto"/>
              </w:rPr>
            </w:pPr>
          </w:p>
        </w:tc>
        <w:tc>
          <w:tcPr>
            <w:tcW w:w="186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Assets at December 31,</w:t>
            </w:r>
          </w:p>
        </w:tc>
        <w:tc>
          <w:tcPr>
            <w:tcW w:w="0" w:type="dxa"/>
            <w:vAlign w:val="bottom"/>
          </w:tcPr>
          <w:p>
            <w:pPr>
              <w:spacing w:after="0"/>
              <w:rPr>
                <w:sz w:val="1"/>
                <w:szCs w:val="1"/>
                <w:color w:val="auto"/>
              </w:rPr>
            </w:pPr>
          </w:p>
        </w:tc>
      </w:tr>
      <w:tr>
        <w:trPr>
          <w:trHeight w:val="213"/>
        </w:trPr>
        <w:tc>
          <w:tcPr>
            <w:tcW w:w="242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rPr>
              <w:t>March 31, 2026</w:t>
            </w: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December 31, 2025</w:t>
            </w: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2025</w:t>
            </w:r>
          </w:p>
        </w:tc>
        <w:tc>
          <w:tcPr>
            <w:tcW w:w="0" w:type="dxa"/>
            <w:vAlign w:val="bottom"/>
          </w:tcPr>
          <w:p>
            <w:pPr>
              <w:spacing w:after="0"/>
              <w:rPr>
                <w:sz w:val="1"/>
                <w:szCs w:val="1"/>
                <w:color w:val="auto"/>
              </w:rPr>
            </w:pPr>
          </w:p>
        </w:tc>
      </w:tr>
      <w:tr>
        <w:trPr>
          <w:trHeight w:val="158"/>
        </w:trPr>
        <w:tc>
          <w:tcPr>
            <w:tcW w:w="486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i w:val="1"/>
                <w:iCs w:val="1"/>
                <w:color w:val="auto"/>
              </w:rPr>
              <w:t>Line item on the balance sheet in which the hedged item is included:</w:t>
            </w:r>
          </w:p>
        </w:tc>
        <w:tc>
          <w:tcPr>
            <w:tcW w:w="2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Available-for-sale securities </w:t>
            </w:r>
            <w:r>
              <w:rPr>
                <w:rFonts w:ascii="Times New Roman" w:cs="Times New Roman" w:eastAsia="Times New Roman" w:hAnsi="Times New Roman"/>
                <w:sz w:val="21"/>
                <w:szCs w:val="21"/>
                <w:color w:val="auto"/>
                <w:vertAlign w:val="superscript"/>
              </w:rPr>
              <w:t>(1)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66,886</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68,917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1,214</w:t>
            </w:r>
          </w:p>
        </w:tc>
        <w:tc>
          <w:tcPr>
            <w:tcW w:w="0" w:type="dxa"/>
            <w:vAlign w:val="bottom"/>
          </w:tcPr>
          <w:p>
            <w:pPr>
              <w:spacing w:after="0"/>
              <w:rPr>
                <w:sz w:val="1"/>
                <w:szCs w:val="1"/>
                <w:color w:val="auto"/>
              </w:rPr>
            </w:pPr>
          </w:p>
        </w:tc>
      </w:tr>
      <w:tr>
        <w:trPr>
          <w:trHeight w:val="203"/>
        </w:trPr>
        <w:tc>
          <w:tcPr>
            <w:tcW w:w="24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Loans receivable </w:t>
            </w:r>
            <w:r>
              <w:rPr>
                <w:rFonts w:ascii="Times New Roman" w:cs="Times New Roman" w:eastAsia="Times New Roman" w:hAnsi="Times New Roman"/>
                <w:sz w:val="21"/>
                <w:szCs w:val="21"/>
                <w:color w:val="auto"/>
                <w:vertAlign w:val="superscript"/>
              </w:rPr>
              <w:t>(2)</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115,667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897</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120,574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760" w:right="80" w:hanging="374"/>
        <w:spacing w:after="0" w:line="252" w:lineRule="auto"/>
        <w:tabs>
          <w:tab w:leader="none" w:pos="76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$66.9 million net carrying amount of hedged assets represents the hedge-adjusted amortized cost basis of specifically-identified municipal, private label and GSE-backed securities designated as the underlying assets for the hedging relationships. The notional amount of the designated hedges were $68.8 million and $69.8 million at March 31, 2026 and December 31, 2025, respectively. The fair value of the derivatives (an unrealized gain, receivable from derivative counterparties) recorded in other assets resulted in a net asset position of $1.5 million and $1.3 million at March 31, 2026 and December 31, 2025, respectively. The Company's participation in fair value hedging transactions increased investment security interest income by $100,000 and $301,000 for the three months ended March 31, 2026 and March 31, 2025, respectively.</w:t>
      </w:r>
    </w:p>
    <w:p>
      <w:pPr>
        <w:spacing w:after="0" w:line="185" w:lineRule="exact"/>
        <w:rPr>
          <w:rFonts w:ascii="Times New Roman" w:cs="Times New Roman" w:eastAsia="Times New Roman" w:hAnsi="Times New Roman"/>
          <w:sz w:val="22"/>
          <w:szCs w:val="22"/>
          <w:color w:val="auto"/>
          <w:vertAlign w:val="superscript"/>
        </w:rPr>
      </w:pPr>
    </w:p>
    <w:p>
      <w:pPr>
        <w:jc w:val="both"/>
        <w:ind w:left="760" w:hanging="374"/>
        <w:spacing w:after="0" w:line="255" w:lineRule="auto"/>
        <w:tabs>
          <w:tab w:leader="none" w:pos="76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$115.7 million net carrying amount of hedged assets represents the hedge-adjusted amortized cost of a designated pool of residential mortgages and the aggregate hedge-adjusted amortized cost of four specified purchased consumer loan pools. These pools of loans were designated as the underlying assets for the hedging relationships in which the hedged underlying asset's notional amounts were the amortized cost projected to be remaining at the end of the contractual term of the hedging instruments. The amount of the designated hedged items were $110.6 million and $113.1 million at March 31, 2026 and December 31, 2025, respectively. At March 31, 2026, the fair value of the derivatives recorded in other assets (an unrealized gain, receivable from derivative counterparties) resulted in a net asset position of $930,000, recorded by the Company as a component of other assets. The Company’s participation in fair value hedging transactions increased interest income by $37,000 and $267,000, for the three months ended March 31, 2026 and March 31, 2025, respectively. Details of the two loan hedging strategies, in place at March 31, 2026 are presented below:</w:t>
      </w:r>
    </w:p>
    <w:p>
      <w:pPr>
        <w:spacing w:after="0" w:line="198" w:lineRule="exact"/>
        <w:rPr>
          <w:rFonts w:ascii="Times New Roman" w:cs="Times New Roman" w:eastAsia="Times New Roman" w:hAnsi="Times New Roman"/>
          <w:sz w:val="22"/>
          <w:szCs w:val="22"/>
          <w:color w:val="auto"/>
          <w:vertAlign w:val="superscript"/>
        </w:rPr>
      </w:pPr>
    </w:p>
    <w:p>
      <w:pPr>
        <w:jc w:val="both"/>
        <w:ind w:left="1500" w:hanging="372"/>
        <w:spacing w:after="0" w:line="242" w:lineRule="auto"/>
        <w:tabs>
          <w:tab w:leader="none" w:pos="1500" w:val="left"/>
        </w:tabs>
        <w:numPr>
          <w:ilvl w:val="1"/>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On April 7, 2023 the Bank entered into an amortizing swap transaction with an initial notional amount of $100.0 million whereby the Bank will receive the 3-month SOFR rate monthly, based on the notional amount of the swap contract at the beginning of each month until the swap transaction expires in 2035. The notional amount of the swap declines monthly according to a predetermined amortization schedule and was $65.6 million at March 31, 2026. The Bank will pay a fixed rate of 3.208% to the contract's counterparty throughout the life of the contract based on each month's beginning notional balance. The fair value of this swap contract was $1.2 million at March 31, 2026.</w:t>
      </w:r>
    </w:p>
    <w:p>
      <w:pPr>
        <w:spacing w:after="0" w:line="208" w:lineRule="exact"/>
        <w:rPr>
          <w:rFonts w:ascii="Times New Roman" w:cs="Times New Roman" w:eastAsia="Times New Roman" w:hAnsi="Times New Roman"/>
          <w:sz w:val="24"/>
          <w:szCs w:val="24"/>
          <w:color w:val="auto"/>
          <w:vertAlign w:val="superscript"/>
        </w:rPr>
      </w:pPr>
    </w:p>
    <w:p>
      <w:pPr>
        <w:jc w:val="both"/>
        <w:ind w:left="1500" w:hanging="372"/>
        <w:spacing w:after="0" w:line="242" w:lineRule="auto"/>
        <w:tabs>
          <w:tab w:leader="none" w:pos="1500" w:val="left"/>
        </w:tabs>
        <w:numPr>
          <w:ilvl w:val="1"/>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On December 7, 2023, the Bank entered into five fixed-pay interest rate swap contracts with a total notional amount of $50.0 million, whereby the Bank will receive the 3-month rate SOFR monthly until the respective maturity dates of the contracts. The contracts expire in annual increments on December 1 of 2025 ($5.0 million, fixed rate of 4.463%), 2026 ($5.0 million, fixed rate of 4.136%), 2027 ($10.0 million, fixed rate of 3.973%), 2028 ($15.0 million, fixed rate of 3.887%), and 2029 ($15.0 million, fixed rate of 3.845%). The fair value of these swap contracts in aggregate was negative $312,000 (a payable to the swap counterparty) at March 31, 2026.</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hedging contracts accounted for as fair value hedges, increased the yield on investment securities and loans by 0.10% and 0.02%, respectively, in the three months ended March 31, 2026. The Company's hedging contracts accounted for as fair value hedges, increased the yield on investment securities and loans by 0.20% and 0.12%, respectively, in the three months ended March 31, 2025.</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4" w:name="page35"/>
    <w:bookmarkEnd w:id="34"/>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tables summarize the net effects of the Company's fair value and cash flow hedges for the three months ended March 31, 2026 and March 31, 2025, respectively:</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Fair Value Hedges</w:t>
            </w: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15"/>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3"/>
          </w:tcPr>
          <w:p>
            <w:pPr>
              <w:jc w:val="right"/>
              <w:ind w:right="779"/>
              <w:spacing w:after="0"/>
              <w:rPr>
                <w:sz w:val="20"/>
                <w:szCs w:val="20"/>
                <w:color w:val="auto"/>
              </w:rPr>
            </w:pPr>
            <w:r>
              <w:rPr>
                <w:rFonts w:ascii="Times New Roman" w:cs="Times New Roman" w:eastAsia="Times New Roman" w:hAnsi="Times New Roman"/>
                <w:sz w:val="16"/>
                <w:szCs w:val="16"/>
                <w:color w:val="auto"/>
              </w:rPr>
              <w:t>Three Months Ended March 31, 2026</w:t>
            </w: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r>
      <w:tr>
        <w:trPr>
          <w:trHeight w:val="185"/>
        </w:trPr>
        <w:tc>
          <w:tcPr>
            <w:tcW w:w="2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Period Ending Notional</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Net Cash Received Recorded</w:t>
            </w:r>
          </w:p>
        </w:tc>
        <w:tc>
          <w:tcPr>
            <w:tcW w:w="240" w:type="dxa"/>
            <w:vAlign w:val="bottom"/>
          </w:tcPr>
          <w:p>
            <w:pPr>
              <w:spacing w:after="0"/>
              <w:rPr>
                <w:sz w:val="16"/>
                <w:szCs w:val="16"/>
                <w:color w:val="auto"/>
              </w:rPr>
            </w:pPr>
          </w:p>
        </w:tc>
        <w:tc>
          <w:tcPr>
            <w:tcW w:w="1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Fair Value Receivable at</w:t>
            </w:r>
          </w:p>
        </w:tc>
      </w:tr>
      <w:tr>
        <w:trPr>
          <w:trHeight w:val="213"/>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Hedge Category</w:t>
            </w:r>
          </w:p>
        </w:tc>
        <w:tc>
          <w:tcPr>
            <w:tcW w:w="1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Average Notional Balance</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Balance</w:t>
            </w:r>
          </w:p>
        </w:tc>
        <w:tc>
          <w:tcPr>
            <w:tcW w:w="6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In Net Income</w:t>
            </w: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Period End</w:t>
            </w:r>
          </w:p>
        </w:tc>
      </w:tr>
      <w:tr>
        <w:trPr>
          <w:trHeight w:val="199"/>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2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69,124</w:t>
            </w:r>
          </w:p>
        </w:tc>
        <w:tc>
          <w:tcPr>
            <w:tcW w:w="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68,773</w:t>
            </w:r>
          </w:p>
        </w:tc>
        <w:tc>
          <w:tcPr>
            <w:tcW w:w="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1,495</w:t>
            </w:r>
          </w:p>
        </w:tc>
      </w:tr>
      <w:tr>
        <w:trPr>
          <w:trHeight w:val="203"/>
        </w:trPr>
        <w:tc>
          <w:tcPr>
            <w:tcW w:w="2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Loans</w:t>
            </w:r>
          </w:p>
        </w:tc>
        <w:tc>
          <w:tcPr>
            <w:tcW w:w="12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111,426</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110,601</w:t>
            </w:r>
          </w:p>
        </w:tc>
        <w:tc>
          <w:tcPr>
            <w:tcW w:w="6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897</w:t>
            </w:r>
          </w:p>
        </w:tc>
      </w:tr>
      <w:tr>
        <w:trPr>
          <w:trHeight w:val="236"/>
        </w:trPr>
        <w:tc>
          <w:tcPr>
            <w:tcW w:w="212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180,550</w:t>
            </w:r>
          </w:p>
        </w:tc>
        <w:tc>
          <w:tcPr>
            <w:tcW w:w="3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179,374</w:t>
            </w:r>
          </w:p>
        </w:tc>
        <w:tc>
          <w:tcPr>
            <w:tcW w:w="6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2,392</w:t>
            </w:r>
          </w:p>
        </w:tc>
      </w:tr>
      <w:tr>
        <w:trPr>
          <w:trHeight w:val="383"/>
        </w:trPr>
        <w:tc>
          <w:tcPr>
            <w:tcW w:w="2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3"/>
          </w:tcPr>
          <w:p>
            <w:pPr>
              <w:jc w:val="right"/>
              <w:ind w:right="779"/>
              <w:spacing w:after="0"/>
              <w:rPr>
                <w:sz w:val="20"/>
                <w:szCs w:val="20"/>
                <w:color w:val="auto"/>
              </w:rPr>
            </w:pPr>
            <w:r>
              <w:rPr>
                <w:rFonts w:ascii="Times New Roman" w:cs="Times New Roman" w:eastAsia="Times New Roman" w:hAnsi="Times New Roman"/>
                <w:sz w:val="16"/>
                <w:szCs w:val="16"/>
                <w:color w:val="auto"/>
              </w:rPr>
              <w:t>Three Months Ended March 31, 2025</w:t>
            </w: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r>
        <w:trPr>
          <w:trHeight w:val="185"/>
        </w:trPr>
        <w:tc>
          <w:tcPr>
            <w:tcW w:w="2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Period Ending Notional</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Net Cash Received Recorded</w:t>
            </w:r>
          </w:p>
        </w:tc>
        <w:tc>
          <w:tcPr>
            <w:tcW w:w="240" w:type="dxa"/>
            <w:vAlign w:val="bottom"/>
          </w:tcPr>
          <w:p>
            <w:pPr>
              <w:spacing w:after="0"/>
              <w:rPr>
                <w:sz w:val="16"/>
                <w:szCs w:val="16"/>
                <w:color w:val="auto"/>
              </w:rPr>
            </w:pPr>
          </w:p>
        </w:tc>
        <w:tc>
          <w:tcPr>
            <w:tcW w:w="1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Fair Value Receivable at</w:t>
            </w:r>
          </w:p>
        </w:tc>
      </w:tr>
      <w:tr>
        <w:trPr>
          <w:trHeight w:val="213"/>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Hedge Category</w:t>
            </w:r>
          </w:p>
        </w:tc>
        <w:tc>
          <w:tcPr>
            <w:tcW w:w="1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Average Notional Balance</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Balance</w:t>
            </w:r>
          </w:p>
        </w:tc>
        <w:tc>
          <w:tcPr>
            <w:tcW w:w="6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In Net Income</w:t>
            </w: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Period End</w:t>
            </w:r>
          </w:p>
        </w:tc>
      </w:tr>
      <w:tr>
        <w:trPr>
          <w:trHeight w:val="199"/>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2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73,283</w:t>
            </w:r>
          </w:p>
        </w:tc>
        <w:tc>
          <w:tcPr>
            <w:tcW w:w="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73,061</w:t>
            </w:r>
          </w:p>
        </w:tc>
        <w:tc>
          <w:tcPr>
            <w:tcW w:w="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1,994</w:t>
            </w:r>
          </w:p>
        </w:tc>
      </w:tr>
      <w:tr>
        <w:trPr>
          <w:trHeight w:val="203"/>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Loans</w:t>
            </w:r>
          </w:p>
        </w:tc>
        <w:tc>
          <w:tcPr>
            <w:tcW w:w="12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126,980</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126,047</w:t>
            </w:r>
          </w:p>
        </w:tc>
        <w:tc>
          <w:tcPr>
            <w:tcW w:w="6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1,116</w:t>
            </w:r>
          </w:p>
        </w:tc>
      </w:tr>
      <w:tr>
        <w:trPr>
          <w:trHeight w:val="236"/>
        </w:trPr>
        <w:tc>
          <w:tcPr>
            <w:tcW w:w="212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200,263</w:t>
            </w:r>
          </w:p>
        </w:tc>
        <w:tc>
          <w:tcPr>
            <w:tcW w:w="3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199,108</w:t>
            </w:r>
          </w:p>
        </w:tc>
        <w:tc>
          <w:tcPr>
            <w:tcW w:w="6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2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3,110</w:t>
            </w:r>
          </w:p>
        </w:tc>
      </w:tr>
      <w:tr>
        <w:trPr>
          <w:trHeight w:val="397"/>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Cash Flow Hedges</w:t>
            </w:r>
          </w:p>
        </w:tc>
        <w:tc>
          <w:tcPr>
            <w:tcW w:w="1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5"/>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3"/>
          </w:tcPr>
          <w:p>
            <w:pPr>
              <w:jc w:val="right"/>
              <w:ind w:right="779"/>
              <w:spacing w:after="0"/>
              <w:rPr>
                <w:sz w:val="20"/>
                <w:szCs w:val="20"/>
                <w:color w:val="auto"/>
              </w:rPr>
            </w:pPr>
            <w:r>
              <w:rPr>
                <w:rFonts w:ascii="Times New Roman" w:cs="Times New Roman" w:eastAsia="Times New Roman" w:hAnsi="Times New Roman"/>
                <w:sz w:val="16"/>
                <w:szCs w:val="16"/>
                <w:color w:val="auto"/>
              </w:rPr>
              <w:t>Three Months Ended March 31, 2026</w:t>
            </w: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r>
      <w:tr>
        <w:trPr>
          <w:trHeight w:val="185"/>
        </w:trPr>
        <w:tc>
          <w:tcPr>
            <w:tcW w:w="2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Period Ending Notional</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Net Cash Received Recorded</w:t>
            </w:r>
          </w:p>
        </w:tc>
        <w:tc>
          <w:tcPr>
            <w:tcW w:w="240" w:type="dxa"/>
            <w:vAlign w:val="bottom"/>
          </w:tcPr>
          <w:p>
            <w:pPr>
              <w:spacing w:after="0"/>
              <w:rPr>
                <w:sz w:val="16"/>
                <w:szCs w:val="16"/>
                <w:color w:val="auto"/>
              </w:rPr>
            </w:pPr>
          </w:p>
        </w:tc>
        <w:tc>
          <w:tcPr>
            <w:tcW w:w="1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Fair Value Receivable at</w:t>
            </w:r>
          </w:p>
        </w:tc>
      </w:tr>
      <w:tr>
        <w:trPr>
          <w:trHeight w:val="213"/>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Hedge Category</w:t>
            </w:r>
          </w:p>
        </w:tc>
        <w:tc>
          <w:tcPr>
            <w:tcW w:w="1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Average Notional Balance</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Balance</w:t>
            </w:r>
          </w:p>
        </w:tc>
        <w:tc>
          <w:tcPr>
            <w:tcW w:w="6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In Net Income</w:t>
            </w: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Period End</w:t>
            </w:r>
          </w:p>
        </w:tc>
      </w:tr>
      <w:tr>
        <w:trPr>
          <w:trHeight w:val="239"/>
        </w:trPr>
        <w:tc>
          <w:tcPr>
            <w:tcW w:w="2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Borrowed Funds</w:t>
            </w:r>
          </w:p>
        </w:tc>
        <w:tc>
          <w:tcPr>
            <w:tcW w:w="12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382"/>
        </w:trPr>
        <w:tc>
          <w:tcPr>
            <w:tcW w:w="2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3"/>
          </w:tcPr>
          <w:p>
            <w:pPr>
              <w:jc w:val="right"/>
              <w:ind w:right="779"/>
              <w:spacing w:after="0"/>
              <w:rPr>
                <w:sz w:val="20"/>
                <w:szCs w:val="20"/>
                <w:color w:val="auto"/>
              </w:rPr>
            </w:pPr>
            <w:r>
              <w:rPr>
                <w:rFonts w:ascii="Times New Roman" w:cs="Times New Roman" w:eastAsia="Times New Roman" w:hAnsi="Times New Roman"/>
                <w:sz w:val="16"/>
                <w:szCs w:val="16"/>
                <w:color w:val="auto"/>
              </w:rPr>
              <w:t>Three Months Ended March 31, 2025</w:t>
            </w: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r>
        <w:trPr>
          <w:trHeight w:val="185"/>
        </w:trPr>
        <w:tc>
          <w:tcPr>
            <w:tcW w:w="2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Period Ending Notional</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Net Cash Received Recorded</w:t>
            </w:r>
          </w:p>
        </w:tc>
        <w:tc>
          <w:tcPr>
            <w:tcW w:w="240" w:type="dxa"/>
            <w:vAlign w:val="bottom"/>
          </w:tcPr>
          <w:p>
            <w:pPr>
              <w:spacing w:after="0"/>
              <w:rPr>
                <w:sz w:val="16"/>
                <w:szCs w:val="16"/>
                <w:color w:val="auto"/>
              </w:rPr>
            </w:pPr>
          </w:p>
        </w:tc>
        <w:tc>
          <w:tcPr>
            <w:tcW w:w="1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Fair Value Receivable at</w:t>
            </w:r>
          </w:p>
        </w:tc>
      </w:tr>
      <w:tr>
        <w:trPr>
          <w:trHeight w:val="213"/>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Hedge Category</w:t>
            </w:r>
          </w:p>
        </w:tc>
        <w:tc>
          <w:tcPr>
            <w:tcW w:w="1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Average Notional Balance</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Balance</w:t>
            </w:r>
          </w:p>
        </w:tc>
        <w:tc>
          <w:tcPr>
            <w:tcW w:w="6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In Net Income</w:t>
            </w: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Period End</w:t>
            </w:r>
          </w:p>
        </w:tc>
      </w:tr>
      <w:tr>
        <w:trPr>
          <w:trHeight w:val="239"/>
        </w:trPr>
        <w:tc>
          <w:tcPr>
            <w:tcW w:w="2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Borrowed Funds</w:t>
            </w:r>
          </w:p>
        </w:tc>
        <w:tc>
          <w:tcPr>
            <w:tcW w:w="12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bl>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April 17, 2024 the Bank elected to settle its previously established cash flow hedges designated against $40.0 million of floating-rate liabilities. This election was made in response to planned reductions in the Bank’s future levels of floating rate brokered certificates of deposit. Due to increases in interest rates since the inception dates of the cash flow hedges, the Bank realized a cash basis gain of $766,000 on that date, recorded for financial statement purposes, as a deferred gain in other assets. $458,000 of this gain will be recognized, as a reduction of interest expense, in substantially equal monthly installments through April 30, 2026 and $308,000 of this gain will be recognized, as a reduction in interest expense, in substantially equal monthly installments through April 30, 2027, which were the respective original maturity dates of the settled hedging contracts.</w:t>
      </w:r>
    </w:p>
    <w:p>
      <w:pPr>
        <w:spacing w:after="0" w:line="1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amounts of hedge ineffectiveness, recognized at March 31, 2026 and December 31, 2025 for cash flow hedges were not material to the Company’s consolidated results of operations. A portion of, or the entire amount included in accumulated other comprehensive loss would be reclassified into current earnings should a portion of, or the entire hedge, no longer be considered effective. Management believes that the hedges will remain fully effective during the remaining term of the respective hedging contracts. The changes in the fair values of the interest rate hedging agreements primarily result from the effects of changing index interest rates and the reduction of the time each quarter between the measurement date and the contractual maturity date of the hedging instrument.</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manages its potential credit exposure on interest rate swap transactions by entering into bilateral credit support agreements with each contractual counterparty. These agreements require collateralization of credit exposures beyond specified minimum threshold amounts. Interest rate hedging agreements are entered into with counterparties that meet the Company's established credit standards and the agreements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at March 31, 2026.</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Note 12:  Accumulated Other Comprehensive (Loss) Income</w:t>
      </w:r>
    </w:p>
    <w:p>
      <w:pPr>
        <w:spacing w:after="0" w:line="233"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Changes in the components of accumulated other comprehensive (loss) income (“AOCI”), net of tax, for the periods indicated are summarized in the tables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color w:val="auto"/>
              </w:rPr>
              <w:t>For the three months ended March 31, 2026</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Net</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color w:val="auto"/>
              </w:rPr>
              <w:t>Unrealized</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Unrealized Gain</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Loss on</w:t>
            </w: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Unrealized Loss on</w:t>
            </w:r>
          </w:p>
        </w:tc>
        <w:tc>
          <w:tcPr>
            <w:tcW w:w="180" w:type="dxa"/>
            <w:vAlign w:val="bottom"/>
          </w:tcPr>
          <w:p>
            <w:pPr>
              <w:spacing w:after="0"/>
              <w:rPr>
                <w:sz w:val="17"/>
                <w:szCs w:val="17"/>
                <w:color w:val="auto"/>
              </w:rPr>
            </w:pPr>
          </w:p>
        </w:tc>
        <w:tc>
          <w:tcPr>
            <w:tcW w:w="124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on Derivatives</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20" w:type="dxa"/>
            <w:vAlign w:val="bottom"/>
          </w:tcPr>
          <w:p>
            <w:pPr>
              <w:spacing w:after="0"/>
              <w:rPr>
                <w:sz w:val="17"/>
                <w:szCs w:val="17"/>
                <w:color w:val="auto"/>
              </w:rPr>
            </w:pPr>
          </w:p>
        </w:tc>
        <w:tc>
          <w:tcPr>
            <w:tcW w:w="102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color w:val="auto"/>
              </w:rPr>
              <w:t>Retirement</w:t>
            </w:r>
          </w:p>
        </w:tc>
        <w:tc>
          <w:tcPr>
            <w:tcW w:w="16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Available-for-Sale</w:t>
            </w:r>
          </w:p>
        </w:tc>
        <w:tc>
          <w:tcPr>
            <w:tcW w:w="180" w:type="dxa"/>
            <w:vAlign w:val="bottom"/>
          </w:tcPr>
          <w:p>
            <w:pPr>
              <w:spacing w:after="0"/>
              <w:rPr>
                <w:sz w:val="17"/>
                <w:szCs w:val="17"/>
                <w:color w:val="auto"/>
              </w:rPr>
            </w:pPr>
          </w:p>
        </w:tc>
        <w:tc>
          <w:tcPr>
            <w:tcW w:w="124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and Hedging</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8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Plans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Securities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Activities</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9"/>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(1,218)</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(4,303)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154</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(5,367)</w:t>
            </w: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(1,287)</w:t>
            </w: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0" w:type="dxa"/>
            <w:vAlign w:val="bottom"/>
          </w:tcPr>
          <w:p>
            <w:pPr>
              <w:spacing w:after="0"/>
              <w:rPr>
                <w:sz w:val="1"/>
                <w:szCs w:val="1"/>
                <w:color w:val="auto"/>
              </w:rPr>
            </w:pPr>
          </w:p>
        </w:tc>
      </w:tr>
      <w:tr>
        <w:trPr>
          <w:trHeight w:val="203"/>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6"/>
        </w:trPr>
        <w:tc>
          <w:tcPr>
            <w:tcW w:w="4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(1,219)</w:t>
            </w:r>
          </w:p>
        </w:tc>
        <w:tc>
          <w:tcPr>
            <w:tcW w:w="3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(5,590)</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94</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(6,715)</w:t>
            </w:r>
          </w:p>
        </w:tc>
        <w:tc>
          <w:tcPr>
            <w:tcW w:w="0" w:type="dxa"/>
            <w:vAlign w:val="bottom"/>
          </w:tcPr>
          <w:p>
            <w:pPr>
              <w:spacing w:after="0"/>
              <w:rPr>
                <w:sz w:val="1"/>
                <w:szCs w:val="1"/>
                <w:color w:val="auto"/>
              </w:rPr>
            </w:pPr>
          </w:p>
        </w:tc>
      </w:tr>
      <w:tr>
        <w:trPr>
          <w:trHeight w:val="383"/>
        </w:trPr>
        <w:tc>
          <w:tcPr>
            <w:tcW w:w="4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color w:val="auto"/>
              </w:rPr>
              <w:t>For the three months ended March 31, 2025</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Net</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color w:val="auto"/>
              </w:rPr>
              <w:t>Unrealized</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Unrealized Gain</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Loss on</w:t>
            </w: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Unrealized Loss on</w:t>
            </w:r>
          </w:p>
        </w:tc>
        <w:tc>
          <w:tcPr>
            <w:tcW w:w="180" w:type="dxa"/>
            <w:vAlign w:val="bottom"/>
          </w:tcPr>
          <w:p>
            <w:pPr>
              <w:spacing w:after="0"/>
              <w:rPr>
                <w:sz w:val="17"/>
                <w:szCs w:val="17"/>
                <w:color w:val="auto"/>
              </w:rPr>
            </w:pPr>
          </w:p>
        </w:tc>
        <w:tc>
          <w:tcPr>
            <w:tcW w:w="124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on Derivatives</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20" w:type="dxa"/>
            <w:vAlign w:val="bottom"/>
          </w:tcPr>
          <w:p>
            <w:pPr>
              <w:spacing w:after="0"/>
              <w:rPr>
                <w:sz w:val="17"/>
                <w:szCs w:val="17"/>
                <w:color w:val="auto"/>
              </w:rPr>
            </w:pPr>
          </w:p>
        </w:tc>
        <w:tc>
          <w:tcPr>
            <w:tcW w:w="102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color w:val="auto"/>
              </w:rPr>
              <w:t>Retirement</w:t>
            </w:r>
          </w:p>
        </w:tc>
        <w:tc>
          <w:tcPr>
            <w:tcW w:w="16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Available-for-Sale</w:t>
            </w:r>
          </w:p>
        </w:tc>
        <w:tc>
          <w:tcPr>
            <w:tcW w:w="180" w:type="dxa"/>
            <w:vAlign w:val="bottom"/>
          </w:tcPr>
          <w:p>
            <w:pPr>
              <w:spacing w:after="0"/>
              <w:rPr>
                <w:sz w:val="17"/>
                <w:szCs w:val="17"/>
                <w:color w:val="auto"/>
              </w:rPr>
            </w:pPr>
          </w:p>
        </w:tc>
        <w:tc>
          <w:tcPr>
            <w:tcW w:w="124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and Hedging</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8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Plans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Securities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Activities</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9"/>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(1,992)</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(7,548)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396</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(9,144)</w:t>
            </w: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743</w:t>
            </w: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683</w:t>
            </w:r>
          </w:p>
        </w:tc>
        <w:tc>
          <w:tcPr>
            <w:tcW w:w="0" w:type="dxa"/>
            <w:vAlign w:val="bottom"/>
          </w:tcPr>
          <w:p>
            <w:pPr>
              <w:spacing w:after="0"/>
              <w:rPr>
                <w:sz w:val="1"/>
                <w:szCs w:val="1"/>
                <w:color w:val="auto"/>
              </w:rPr>
            </w:pPr>
          </w:p>
        </w:tc>
      </w:tr>
      <w:tr>
        <w:trPr>
          <w:trHeight w:val="203"/>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36"/>
        </w:trPr>
        <w:tc>
          <w:tcPr>
            <w:tcW w:w="4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(1,967)</w:t>
            </w:r>
          </w:p>
        </w:tc>
        <w:tc>
          <w:tcPr>
            <w:tcW w:w="3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(6,801)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336</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amounts reclassified out of each component of AOCI for the indicated periods: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00" w:type="dxa"/>
            <w:vAlign w:val="bottom"/>
            <w:gridSpan w:val="3"/>
          </w:tcPr>
          <w:p>
            <w:pPr>
              <w:jc w:val="center"/>
              <w:ind w:right="259"/>
              <w:spacing w:after="0"/>
              <w:rPr>
                <w:sz w:val="20"/>
                <w:szCs w:val="20"/>
                <w:color w:val="auto"/>
              </w:rPr>
            </w:pPr>
            <w:r>
              <w:rPr>
                <w:rFonts w:ascii="Times New Roman" w:cs="Times New Roman" w:eastAsia="Times New Roman" w:hAnsi="Times New Roman"/>
                <w:sz w:val="16"/>
                <w:szCs w:val="16"/>
                <w:color w:val="auto"/>
              </w:rPr>
              <w:t>Amount Reclassified</w:t>
            </w:r>
          </w:p>
        </w:tc>
        <w:tc>
          <w:tcPr>
            <w:tcW w:w="0" w:type="dxa"/>
            <w:vAlign w:val="bottom"/>
          </w:tcPr>
          <w:p>
            <w:pPr>
              <w:spacing w:after="0"/>
              <w:rPr>
                <w:sz w:val="1"/>
                <w:szCs w:val="1"/>
                <w:color w:val="auto"/>
              </w:rPr>
            </w:pPr>
          </w:p>
        </w:tc>
      </w:tr>
      <w:tr>
        <w:trPr>
          <w:trHeight w:val="230"/>
        </w:trPr>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20" w:type="dxa"/>
            <w:vAlign w:val="bottom"/>
            <w:gridSpan w:val="2"/>
          </w:tcPr>
          <w:p>
            <w:pPr>
              <w:jc w:val="center"/>
              <w:ind w:left="779"/>
              <w:spacing w:after="0" w:line="230" w:lineRule="exact"/>
              <w:rPr>
                <w:sz w:val="20"/>
                <w:szCs w:val="20"/>
                <w:color w:val="auto"/>
              </w:rPr>
            </w:pPr>
            <w:r>
              <w:rPr>
                <w:rFonts w:ascii="Times New Roman" w:cs="Times New Roman" w:eastAsia="Times New Roman" w:hAnsi="Times New Roman"/>
                <w:sz w:val="16"/>
                <w:szCs w:val="16"/>
                <w:color w:val="auto"/>
              </w:rPr>
              <w:t xml:space="preserve">from AOCI </w:t>
            </w:r>
            <w:r>
              <w:rPr>
                <w:rFonts w:ascii="Times New Roman" w:cs="Times New Roman" w:eastAsia="Times New Roman" w:hAnsi="Times New Roman"/>
                <w:sz w:val="21"/>
                <w:szCs w:val="21"/>
                <w:color w:val="auto"/>
                <w:vertAlign w:val="superscript"/>
              </w:rPr>
              <w:t>1</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auto"/>
            </w:tcBorders>
            <w:gridSpan w:val="3"/>
            <w:vMerge w:val="continue"/>
          </w:tcPr>
          <w:p>
            <w:pPr>
              <w:spacing w:after="0"/>
              <w:rPr>
                <w:sz w:val="18"/>
                <w:szCs w:val="18"/>
                <w:color w:val="auto"/>
              </w:rPr>
            </w:pPr>
          </w:p>
        </w:tc>
        <w:tc>
          <w:tcPr>
            <w:tcW w:w="4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center"/>
              <w:ind w:right="23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0" w:type="dxa"/>
            <w:vAlign w:val="bottom"/>
          </w:tcPr>
          <w:p>
            <w:pPr>
              <w:spacing w:after="0"/>
              <w:rPr>
                <w:sz w:val="1"/>
                <w:szCs w:val="1"/>
                <w:color w:val="auto"/>
              </w:rPr>
            </w:pPr>
          </w:p>
        </w:tc>
      </w:tr>
      <w:tr>
        <w:trPr>
          <w:trHeight w:val="199"/>
        </w:trPr>
        <w:tc>
          <w:tcPr>
            <w:tcW w:w="3200" w:type="dxa"/>
            <w:vAlign w:val="bottom"/>
            <w:tcBorders>
              <w:bottom w:val="single" w:sz="8" w:color="auto"/>
            </w:tcBorders>
            <w:gridSpan w:val="3"/>
          </w:tcPr>
          <w:p>
            <w:pPr>
              <w:spacing w:after="0" w:line="199" w:lineRule="exact"/>
              <w:rPr>
                <w:sz w:val="20"/>
                <w:szCs w:val="20"/>
                <w:color w:val="auto"/>
              </w:rPr>
            </w:pPr>
            <w:r>
              <w:rPr>
                <w:rFonts w:ascii="Times New Roman" w:cs="Times New Roman" w:eastAsia="Times New Roman" w:hAnsi="Times New Roman"/>
                <w:sz w:val="16"/>
                <w:szCs w:val="16"/>
                <w:color w:val="auto"/>
              </w:rPr>
              <w:t xml:space="preserve">Details about AOCI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components</w:t>
            </w:r>
          </w:p>
        </w:tc>
        <w:tc>
          <w:tcPr>
            <w:tcW w:w="44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Affected Line Item in the Statement of Income</w:t>
            </w:r>
          </w:p>
        </w:tc>
        <w:tc>
          <w:tcPr>
            <w:tcW w:w="7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March 31, 2026</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March 31, 2025</w:t>
            </w:r>
          </w:p>
        </w:tc>
        <w:tc>
          <w:tcPr>
            <w:tcW w:w="0" w:type="dxa"/>
            <w:vAlign w:val="bottom"/>
          </w:tcPr>
          <w:p>
            <w:pPr>
              <w:spacing w:after="0"/>
              <w:rPr>
                <w:sz w:val="1"/>
                <w:szCs w:val="1"/>
                <w:color w:val="auto"/>
              </w:rPr>
            </w:pPr>
          </w:p>
        </w:tc>
      </w:tr>
      <w:tr>
        <w:trPr>
          <w:trHeight w:val="176"/>
        </w:trPr>
        <w:tc>
          <w:tcPr>
            <w:tcW w:w="1440" w:type="dxa"/>
            <w:vAlign w:val="bottom"/>
            <w:tcBorders>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6"/>
                <w:szCs w:val="16"/>
                <w:color w:val="auto"/>
              </w:rPr>
              <w:t>Retirement plan items</w:t>
            </w:r>
          </w:p>
        </w:tc>
        <w:tc>
          <w:tcPr>
            <w:tcW w:w="1760" w:type="dxa"/>
            <w:vAlign w:val="bottom"/>
            <w:tcBorders>
              <w:bottom w:val="single" w:sz="8" w:color="CFF0FC"/>
            </w:tcBorders>
            <w:gridSpan w:val="2"/>
            <w:shd w:val="clear" w:color="auto" w:fill="CFF0FC"/>
          </w:tcPr>
          <w:p>
            <w:pPr>
              <w:spacing w:after="0"/>
              <w:rPr>
                <w:sz w:val="15"/>
                <w:szCs w:val="15"/>
                <w:color w:val="auto"/>
              </w:rPr>
            </w:pPr>
          </w:p>
        </w:tc>
        <w:tc>
          <w:tcPr>
            <w:tcW w:w="444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200" w:type="dxa"/>
            <w:vAlign w:val="bottom"/>
            <w:gridSpan w:val="3"/>
          </w:tcPr>
          <w:p>
            <w:pPr>
              <w:ind w:left="40"/>
              <w:spacing w:after="0" w:line="161" w:lineRule="exact"/>
              <w:rPr>
                <w:sz w:val="20"/>
                <w:szCs w:val="20"/>
                <w:color w:val="auto"/>
              </w:rPr>
            </w:pPr>
            <w:r>
              <w:rPr>
                <w:rFonts w:ascii="Times New Roman" w:cs="Times New Roman" w:eastAsia="Times New Roman" w:hAnsi="Times New Roman"/>
                <w:sz w:val="16"/>
                <w:szCs w:val="16"/>
                <w:color w:val="auto"/>
              </w:rPr>
              <w:t>Retirement plan net gains (losses)</w:t>
            </w:r>
          </w:p>
        </w:tc>
        <w:tc>
          <w:tcPr>
            <w:tcW w:w="4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 xml:space="preserve">recognized in plan expenses </w:t>
            </w:r>
            <w:r>
              <w:rPr>
                <w:rFonts w:ascii="Times New Roman" w:cs="Times New Roman" w:eastAsia="Times New Roman" w:hAnsi="Times New Roman"/>
                <w:sz w:val="21"/>
                <w:szCs w:val="21"/>
                <w:color w:val="auto"/>
                <w:vertAlign w:val="superscript"/>
              </w:rPr>
              <w:t>2</w:t>
            </w:r>
          </w:p>
        </w:tc>
        <w:tc>
          <w:tcPr>
            <w:tcW w:w="44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effect</w:t>
            </w:r>
          </w:p>
        </w:tc>
        <w:tc>
          <w:tcPr>
            <w:tcW w:w="4440" w:type="dxa"/>
            <w:vAlign w:val="bottom"/>
            <w:tcBorders>
              <w:bottom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7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4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00" w:type="dxa"/>
            <w:vAlign w:val="bottom"/>
            <w:gridSpan w:val="3"/>
            <w:shd w:val="clear" w:color="auto" w:fill="CFF0FC"/>
          </w:tcPr>
          <w:p>
            <w:pPr>
              <w:spacing w:after="0" w:line="142" w:lineRule="exact"/>
              <w:rPr>
                <w:sz w:val="20"/>
                <w:szCs w:val="20"/>
                <w:color w:val="auto"/>
              </w:rPr>
            </w:pPr>
            <w:r>
              <w:rPr>
                <w:rFonts w:ascii="Times New Roman" w:cs="Times New Roman" w:eastAsia="Times New Roman" w:hAnsi="Times New Roman"/>
                <w:sz w:val="16"/>
                <w:szCs w:val="16"/>
                <w:color w:val="auto"/>
              </w:rPr>
              <w:t>Available-for-sale securities</w:t>
            </w:r>
          </w:p>
        </w:tc>
        <w:tc>
          <w:tcPr>
            <w:tcW w:w="44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4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60" w:type="dxa"/>
            <w:vAlign w:val="bottom"/>
            <w:tcBorders>
              <w:top w:val="single" w:sz="8" w:color="CFF0FC"/>
            </w:tcBorders>
          </w:tcPr>
          <w:p>
            <w:pPr>
              <w:spacing w:after="0"/>
              <w:rPr>
                <w:sz w:val="16"/>
                <w:szCs w:val="16"/>
                <w:color w:val="auto"/>
              </w:rPr>
            </w:pPr>
          </w:p>
        </w:tc>
        <w:tc>
          <w:tcPr>
            <w:tcW w:w="4440" w:type="dxa"/>
            <w:vAlign w:val="bottom"/>
            <w:tcBorders>
              <w:top w:val="single" w:sz="8" w:color="CFF0FC"/>
            </w:tcBorders>
          </w:tcPr>
          <w:p>
            <w:pPr>
              <w:ind w:left="920"/>
              <w:spacing w:after="0"/>
              <w:rPr>
                <w:sz w:val="20"/>
                <w:szCs w:val="20"/>
                <w:color w:val="auto"/>
              </w:rPr>
            </w:pPr>
            <w:r>
              <w:rPr>
                <w:rFonts w:ascii="Times New Roman" w:cs="Times New Roman" w:eastAsia="Times New Roman" w:hAnsi="Times New Roman"/>
                <w:sz w:val="16"/>
                <w:szCs w:val="16"/>
                <w:color w:val="auto"/>
              </w:rPr>
              <w:t>Net realized losses on sales and</w:t>
            </w:r>
          </w:p>
        </w:tc>
        <w:tc>
          <w:tcPr>
            <w:tcW w:w="700" w:type="dxa"/>
            <w:vAlign w:val="bottom"/>
            <w:tcBorders>
              <w:top w:val="single" w:sz="8" w:color="CFF0FC"/>
            </w:tcBorders>
          </w:tcPr>
          <w:p>
            <w:pPr>
              <w:spacing w:after="0"/>
              <w:rPr>
                <w:sz w:val="16"/>
                <w:szCs w:val="16"/>
                <w:color w:val="auto"/>
              </w:rPr>
            </w:pPr>
          </w:p>
        </w:tc>
        <w:tc>
          <w:tcPr>
            <w:tcW w:w="1280" w:type="dxa"/>
            <w:vAlign w:val="bottom"/>
            <w:tcBorders>
              <w:top w:val="single" w:sz="8" w:color="CFF0FC"/>
            </w:tcBorders>
          </w:tcPr>
          <w:p>
            <w:pPr>
              <w:spacing w:after="0"/>
              <w:rPr>
                <w:sz w:val="16"/>
                <w:szCs w:val="16"/>
                <w:color w:val="auto"/>
              </w:rPr>
            </w:pPr>
          </w:p>
        </w:tc>
        <w:tc>
          <w:tcPr>
            <w:tcW w:w="440" w:type="dxa"/>
            <w:vAlign w:val="bottom"/>
            <w:tcBorders>
              <w:top w:val="single" w:sz="8" w:color="CFF0FC"/>
            </w:tcBorders>
          </w:tcPr>
          <w:p>
            <w:pPr>
              <w:spacing w:after="0"/>
              <w:rPr>
                <w:sz w:val="16"/>
                <w:szCs w:val="16"/>
                <w:color w:val="auto"/>
              </w:rPr>
            </w:pPr>
          </w:p>
        </w:tc>
        <w:tc>
          <w:tcPr>
            <w:tcW w:w="118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Realized losses on sale of securities</w:t>
            </w:r>
          </w:p>
        </w:tc>
        <w:tc>
          <w:tcPr>
            <w:tcW w:w="444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redemptions of investment securities</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5"/>
        </w:trPr>
        <w:tc>
          <w:tcPr>
            <w:tcW w:w="3200" w:type="dxa"/>
            <w:vAlign w:val="bottom"/>
            <w:tcBorders>
              <w:bottom w:val="single" w:sz="8" w:color="auto"/>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effect</w:t>
            </w:r>
          </w:p>
        </w:tc>
        <w:tc>
          <w:tcPr>
            <w:tcW w:w="4440" w:type="dxa"/>
            <w:vAlign w:val="bottom"/>
            <w:tcBorders>
              <w:bottom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7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100" w:hanging="92"/>
        <w:spacing w:after="0"/>
        <w:tabs>
          <w:tab w:leader="none" w:pos="10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Amounts in parentheses indicates debits in net income.</w:t>
      </w:r>
    </w:p>
    <w:p>
      <w:pPr>
        <w:ind w:left="100" w:hanging="92"/>
        <w:spacing w:after="0" w:line="204" w:lineRule="auto"/>
        <w:tabs>
          <w:tab w:leader="none" w:pos="1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These items are included in net periodic pension cost. See Note 5 for additional information.</w:t>
      </w:r>
    </w:p>
    <w:p>
      <w:pPr>
        <w:spacing w:after="0" w:line="200" w:lineRule="exact"/>
        <w:rPr>
          <w:rFonts w:ascii="Times New Roman" w:cs="Times New Roman" w:eastAsia="Times New Roman" w:hAnsi="Times New Roman"/>
          <w:sz w:val="22"/>
          <w:szCs w:val="22"/>
          <w:color w:val="auto"/>
          <w:vertAlign w:val="superscript"/>
        </w:rPr>
      </w:pPr>
    </w:p>
    <w:p>
      <w:pPr>
        <w:ind w:left="5540" w:hanging="111"/>
        <w:spacing w:after="0"/>
        <w:tabs>
          <w:tab w:leader="none" w:pos="5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36 </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36" w:name="page37"/>
    <w:bookmarkEnd w:id="36"/>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Noninterest Income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included the following table regarding the Company’s noninterest income for the periods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160" w:type="dxa"/>
            <w:vAlign w:val="bottom"/>
            <w:tcBorders>
              <w:bottom w:val="single" w:sz="8" w:color="auto"/>
            </w:tcBorders>
          </w:tcPr>
          <w:p>
            <w:pPr>
              <w:spacing w:after="0"/>
              <w:rPr>
                <w:sz w:val="18"/>
                <w:szCs w:val="18"/>
                <w:color w:val="auto"/>
              </w:rPr>
            </w:pPr>
          </w:p>
        </w:tc>
      </w:tr>
      <w:tr>
        <w:trPr>
          <w:trHeight w:val="202"/>
        </w:trPr>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March 31, 2026</w:t>
            </w: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March 31, 2025</w:t>
            </w:r>
          </w:p>
        </w:tc>
      </w:tr>
      <w:tr>
        <w:trPr>
          <w:trHeight w:val="196"/>
        </w:trPr>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6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Insufficient funds fees</w:t>
            </w:r>
          </w:p>
        </w:tc>
        <w:tc>
          <w:tcPr>
            <w:tcW w:w="6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215</w:t>
            </w:r>
          </w:p>
        </w:tc>
        <w:tc>
          <w:tcPr>
            <w:tcW w:w="86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208</w:t>
            </w:r>
          </w:p>
        </w:tc>
      </w:tr>
      <w:tr>
        <w:trPr>
          <w:trHeight w:val="20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 related fees</w:t>
            </w:r>
          </w:p>
        </w:tc>
        <w:tc>
          <w:tcPr>
            <w:tcW w:w="620" w:type="dxa"/>
            <w:vAlign w:val="bottom"/>
          </w:tcPr>
          <w:p>
            <w:pPr>
              <w:spacing w:after="0"/>
              <w:rPr>
                <w:sz w:val="17"/>
                <w:szCs w:val="17"/>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139</w:t>
            </w:r>
          </w:p>
        </w:tc>
        <w:tc>
          <w:tcPr>
            <w:tcW w:w="8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w:t>
            </w:r>
          </w:p>
        </w:tc>
      </w:tr>
      <w:tr>
        <w:trPr>
          <w:trHeight w:val="203"/>
        </w:trPr>
        <w:tc>
          <w:tcPr>
            <w:tcW w:w="70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ATM fees</w:t>
            </w:r>
          </w:p>
        </w:tc>
        <w:tc>
          <w:tcPr>
            <w:tcW w:w="6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22</w:t>
            </w:r>
          </w:p>
        </w:tc>
        <w:tc>
          <w:tcPr>
            <w:tcW w:w="8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r>
      <w:tr>
        <w:trPr>
          <w:trHeight w:val="196"/>
        </w:trPr>
        <w:tc>
          <w:tcPr>
            <w:tcW w:w="7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service charges on deposit accounts</w:t>
            </w:r>
          </w:p>
        </w:tc>
        <w:tc>
          <w:tcPr>
            <w:tcW w:w="620" w:type="dxa"/>
            <w:vAlign w:val="bottom"/>
          </w:tcPr>
          <w:p>
            <w:pPr>
              <w:spacing w:after="0"/>
              <w:rPr>
                <w:sz w:val="17"/>
                <w:szCs w:val="17"/>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376</w:t>
            </w:r>
          </w:p>
        </w:tc>
        <w:tc>
          <w:tcPr>
            <w:tcW w:w="8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374</w:t>
            </w:r>
          </w:p>
        </w:tc>
      </w:tr>
      <w:tr>
        <w:trPr>
          <w:trHeight w:val="203"/>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Fee Income</w:t>
            </w:r>
          </w:p>
        </w:tc>
        <w:tc>
          <w:tcPr>
            <w:tcW w:w="6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0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services revenue</w:t>
            </w:r>
          </w:p>
        </w:tc>
        <w:tc>
          <w:tcPr>
            <w:tcW w:w="620" w:type="dxa"/>
            <w:vAlign w:val="bottom"/>
          </w:tcPr>
          <w:p>
            <w:pPr>
              <w:spacing w:after="0"/>
              <w:rPr>
                <w:sz w:val="17"/>
                <w:szCs w:val="17"/>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r>
      <w:tr>
        <w:trPr>
          <w:trHeight w:val="203"/>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ATM fees surcharge</w:t>
            </w:r>
          </w:p>
        </w:tc>
        <w:tc>
          <w:tcPr>
            <w:tcW w:w="6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60</w:t>
            </w:r>
          </w:p>
        </w:tc>
        <w:tc>
          <w:tcPr>
            <w:tcW w:w="8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r>
      <w:tr>
        <w:trPr>
          <w:trHeight w:val="203"/>
        </w:trPr>
        <w:tc>
          <w:tcPr>
            <w:tcW w:w="7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Banking house rents collected</w:t>
            </w:r>
          </w:p>
        </w:tc>
        <w:tc>
          <w:tcPr>
            <w:tcW w:w="6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112</w:t>
            </w: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r>
      <w:tr>
        <w:trPr>
          <w:trHeight w:val="196"/>
        </w:trPr>
        <w:tc>
          <w:tcPr>
            <w:tcW w:w="7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fee income</w:t>
            </w:r>
          </w:p>
        </w:tc>
        <w:tc>
          <w:tcPr>
            <w:tcW w:w="6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172</w:t>
            </w:r>
          </w:p>
        </w:tc>
        <w:tc>
          <w:tcPr>
            <w:tcW w:w="8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235</w:t>
            </w:r>
          </w:p>
        </w:tc>
      </w:tr>
      <w:tr>
        <w:trPr>
          <w:trHeight w:val="203"/>
        </w:trPr>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Card income</w:t>
            </w:r>
          </w:p>
        </w:tc>
        <w:tc>
          <w:tcPr>
            <w:tcW w:w="6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Debit card interchange fees</w:t>
            </w:r>
          </w:p>
        </w:tc>
        <w:tc>
          <w:tcPr>
            <w:tcW w:w="6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139</w:t>
            </w:r>
          </w:p>
        </w:tc>
        <w:tc>
          <w:tcPr>
            <w:tcW w:w="8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7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Merchant card fees</w:t>
            </w:r>
          </w:p>
        </w:tc>
        <w:tc>
          <w:tcPr>
            <w:tcW w:w="6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14</w:t>
            </w: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r>
      <w:tr>
        <w:trPr>
          <w:trHeight w:val="196"/>
        </w:trPr>
        <w:tc>
          <w:tcPr>
            <w:tcW w:w="7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card income</w:t>
            </w:r>
          </w:p>
        </w:tc>
        <w:tc>
          <w:tcPr>
            <w:tcW w:w="6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153</w:t>
            </w:r>
          </w:p>
        </w:tc>
        <w:tc>
          <w:tcPr>
            <w:tcW w:w="8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r>
      <w:tr>
        <w:trPr>
          <w:trHeight w:val="189"/>
        </w:trPr>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Mortgage fee income and realized gains on sales of loans</w:t>
            </w:r>
          </w:p>
        </w:tc>
        <w:tc>
          <w:tcPr>
            <w:tcW w:w="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3"/>
        </w:trPr>
        <w:tc>
          <w:tcPr>
            <w:tcW w:w="7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and foreclosed real estate</w:t>
            </w:r>
          </w:p>
        </w:tc>
        <w:tc>
          <w:tcPr>
            <w:tcW w:w="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5"/>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Loan servicing fees</w:t>
            </w:r>
          </w:p>
        </w:tc>
        <w:tc>
          <w:tcPr>
            <w:tcW w:w="6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89</w:t>
            </w:r>
          </w:p>
        </w:tc>
        <w:tc>
          <w:tcPr>
            <w:tcW w:w="8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r>
      <w:tr>
        <w:trPr>
          <w:trHeight w:val="202"/>
        </w:trPr>
        <w:tc>
          <w:tcPr>
            <w:tcW w:w="7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gains on sales of loans and foreclosed real estate</w:t>
            </w:r>
          </w:p>
        </w:tc>
        <w:tc>
          <w:tcPr>
            <w:tcW w:w="6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186</w:t>
            </w: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w:t>
            </w:r>
          </w:p>
        </w:tc>
      </w:tr>
      <w:tr>
        <w:trPr>
          <w:trHeight w:val="182"/>
        </w:trPr>
        <w:tc>
          <w:tcPr>
            <w:tcW w:w="7040" w:type="dxa"/>
            <w:vAlign w:val="bottom"/>
            <w:shd w:val="clear" w:color="auto" w:fill="CFF0FC"/>
          </w:tcPr>
          <w:p>
            <w:pPr>
              <w:ind w:left="260"/>
              <w:spacing w:after="0" w:line="182" w:lineRule="exact"/>
              <w:rPr>
                <w:sz w:val="20"/>
                <w:szCs w:val="20"/>
                <w:color w:val="auto"/>
              </w:rPr>
            </w:pPr>
            <w:r>
              <w:rPr>
                <w:rFonts w:ascii="Times New Roman" w:cs="Times New Roman" w:eastAsia="Times New Roman" w:hAnsi="Times New Roman"/>
                <w:sz w:val="16"/>
                <w:szCs w:val="16"/>
                <w:color w:val="auto"/>
              </w:rPr>
              <w:t>Total mortgage fee income and realized gains on</w:t>
            </w:r>
          </w:p>
        </w:tc>
        <w:tc>
          <w:tcPr>
            <w:tcW w:w="62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213"/>
        </w:trPr>
        <w:tc>
          <w:tcPr>
            <w:tcW w:w="704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sale of loans and foreclosed real estate</w:t>
            </w:r>
          </w:p>
        </w:tc>
        <w:tc>
          <w:tcPr>
            <w:tcW w:w="6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275</w:t>
            </w:r>
          </w:p>
        </w:tc>
        <w:tc>
          <w:tcPr>
            <w:tcW w:w="8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166</w:t>
            </w:r>
          </w:p>
        </w:tc>
      </w:tr>
      <w:tr>
        <w:trPr>
          <w:trHeight w:val="199"/>
        </w:trPr>
        <w:tc>
          <w:tcPr>
            <w:tcW w:w="7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Subtotal</w:t>
            </w:r>
          </w:p>
        </w:tc>
        <w:tc>
          <w:tcPr>
            <w:tcW w:w="620" w:type="dxa"/>
            <w:vAlign w:val="bottom"/>
          </w:tcPr>
          <w:p>
            <w:pPr>
              <w:spacing w:after="0"/>
              <w:rPr>
                <w:sz w:val="17"/>
                <w:szCs w:val="17"/>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976</w:t>
            </w:r>
          </w:p>
        </w:tc>
        <w:tc>
          <w:tcPr>
            <w:tcW w:w="8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787</w:t>
            </w:r>
          </w:p>
        </w:tc>
      </w:tr>
      <w:tr>
        <w:trPr>
          <w:trHeight w:val="203"/>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Earnings and gains on bank owned life insurance</w:t>
            </w:r>
          </w:p>
        </w:tc>
        <w:tc>
          <w:tcPr>
            <w:tcW w:w="6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256</w:t>
            </w:r>
          </w:p>
        </w:tc>
        <w:tc>
          <w:tcPr>
            <w:tcW w:w="8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162</w:t>
            </w:r>
          </w:p>
        </w:tc>
      </w:tr>
      <w:tr>
        <w:trPr>
          <w:trHeight w:val="20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losses on sales and redemptions of investment securities</w:t>
            </w:r>
          </w:p>
        </w:tc>
        <w:tc>
          <w:tcPr>
            <w:tcW w:w="62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8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unrealized gains on marketable equity securities</w:t>
            </w:r>
          </w:p>
        </w:tc>
        <w:tc>
          <w:tcPr>
            <w:tcW w:w="6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76</w:t>
            </w:r>
          </w:p>
        </w:tc>
        <w:tc>
          <w:tcPr>
            <w:tcW w:w="8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218</w:t>
            </w:r>
          </w:p>
        </w:tc>
      </w:tr>
      <w:tr>
        <w:trPr>
          <w:trHeight w:val="20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Fair value adjustment to loans held-for-sale</w:t>
            </w:r>
          </w:p>
        </w:tc>
        <w:tc>
          <w:tcPr>
            <w:tcW w:w="62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w:t>
            </w:r>
          </w:p>
        </w:tc>
        <w:tc>
          <w:tcPr>
            <w:tcW w:w="8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miscellaneous income</w:t>
            </w:r>
          </w:p>
        </w:tc>
        <w:tc>
          <w:tcPr>
            <w:tcW w:w="6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27</w:t>
            </w:r>
          </w:p>
        </w:tc>
        <w:tc>
          <w:tcPr>
            <w:tcW w:w="8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r>
      <w:tr>
        <w:trPr>
          <w:trHeight w:val="196"/>
        </w:trPr>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noninterest income</w:t>
            </w:r>
          </w:p>
        </w:tc>
        <w:tc>
          <w:tcPr>
            <w:tcW w:w="6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1,127</w:t>
            </w:r>
          </w:p>
        </w:tc>
        <w:tc>
          <w:tcPr>
            <w:tcW w:w="8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1,197</w:t>
            </w:r>
          </w:p>
        </w:tc>
      </w:tr>
      <w:tr>
        <w:trPr>
          <w:trHeight w:val="20"/>
        </w:trPr>
        <w:tc>
          <w:tcPr>
            <w:tcW w:w="7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discussion of key revenues within the scope of ASC 606 guidance:</w:t>
      </w:r>
    </w:p>
    <w:p>
      <w:pPr>
        <w:spacing w:after="0" w:line="22" w:lineRule="exact"/>
        <w:rPr>
          <w:sz w:val="20"/>
          <w:szCs w:val="20"/>
          <w:color w:val="auto"/>
        </w:rPr>
      </w:pPr>
    </w:p>
    <w:p>
      <w:pPr>
        <w:jc w:val="both"/>
        <w:ind w:left="760" w:hanging="378"/>
        <w:spacing w:after="0" w:line="239" w:lineRule="auto"/>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Service charges on deposit accounts – </w:t>
      </w:r>
      <w:r>
        <w:rPr>
          <w:rFonts w:ascii="Times New Roman" w:cs="Times New Roman" w:eastAsia="Times New Roman" w:hAnsi="Times New Roman"/>
          <w:sz w:val="20"/>
          <w:szCs w:val="20"/>
          <w:color w:val="auto"/>
        </w:rPr>
        <w:t>Revenue is earned through insufficient funds fees, customer initiated activities or passage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time for deposit related fees, and ATM service fees. Transaction-based fees are recognized at the time the transaction is executed, which is the same time the Company’s performance obligation is satisfied. Account maintenance fees are earned over the course of the month as the monthly maintenance performance obligation to the customer is satisfied.</w:t>
      </w:r>
    </w:p>
    <w:p>
      <w:pPr>
        <w:spacing w:after="0" w:line="1" w:lineRule="exact"/>
        <w:rPr>
          <w:rFonts w:ascii="Times New Roman" w:cs="Times New Roman" w:eastAsia="Times New Roman" w:hAnsi="Times New Roman"/>
          <w:sz w:val="20"/>
          <w:szCs w:val="20"/>
          <w:color w:val="auto"/>
        </w:rPr>
      </w:pPr>
    </w:p>
    <w:p>
      <w:pPr>
        <w:jc w:val="both"/>
        <w:ind w:left="760" w:hanging="378"/>
        <w:spacing w:after="0" w:line="252" w:lineRule="auto"/>
        <w:tabs>
          <w:tab w:leader="none" w:pos="76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Fee income – </w:t>
      </w:r>
      <w:r>
        <w:rPr>
          <w:rFonts w:ascii="Times New Roman" w:cs="Times New Roman" w:eastAsia="Times New Roman" w:hAnsi="Times New Roman"/>
          <w:sz w:val="19"/>
          <w:szCs w:val="19"/>
          <w:color w:val="auto"/>
        </w:rPr>
        <w:t>Revenue is earned through commissions on insurance and securities sales, ATM surcharge fees, and banking house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rents collected. The Company earns investment advisory fee income by providing investment management services to customers under investment management contracts. As the direction of investment management accounts is provided over time, the performance obligation to investment management customers is satisfied over time, and therefore, revenue is recognized over time.</w:t>
      </w:r>
    </w:p>
    <w:p>
      <w:pPr>
        <w:jc w:val="both"/>
        <w:ind w:left="760" w:hanging="378"/>
        <w:spacing w:after="0" w:line="239" w:lineRule="auto"/>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Card income – </w:t>
      </w:r>
      <w:r>
        <w:rPr>
          <w:rFonts w:ascii="Times New Roman" w:cs="Times New Roman" w:eastAsia="Times New Roman" w:hAnsi="Times New Roman"/>
          <w:sz w:val="20"/>
          <w:szCs w:val="20"/>
          <w:color w:val="auto"/>
        </w:rPr>
        <w:t>Card income consists of interchange fees from consumer debit card networks and other related services. Interchange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rates are set by the card networks. Interchange fees are based on purchase volumes and other factors and are recognized as transactions occur.</w:t>
      </w:r>
    </w:p>
    <w:p>
      <w:pPr>
        <w:spacing w:after="0" w:line="1" w:lineRule="exact"/>
        <w:rPr>
          <w:rFonts w:ascii="Times New Roman" w:cs="Times New Roman" w:eastAsia="Times New Roman" w:hAnsi="Times New Roman"/>
          <w:sz w:val="20"/>
          <w:szCs w:val="20"/>
          <w:color w:val="auto"/>
        </w:rPr>
      </w:pPr>
    </w:p>
    <w:p>
      <w:pPr>
        <w:jc w:val="both"/>
        <w:ind w:left="760" w:hanging="378"/>
        <w:spacing w:after="0" w:line="241" w:lineRule="auto"/>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Mortgage fee income and realized gain on sale of loans and foreclosed real estate </w:t>
      </w:r>
      <w:r>
        <w:rPr>
          <w:rFonts w:ascii="Times New Roman" w:cs="Times New Roman" w:eastAsia="Times New Roman" w:hAnsi="Times New Roman"/>
          <w:sz w:val="20"/>
          <w:szCs w:val="20"/>
          <w:color w:val="auto"/>
        </w:rPr>
        <w:t>– Revenue from mortgage fee income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realized gain on sale of loans and foreclosed real estate is earned through the origination of residential and commercial mortgage loans, sales of one-to-four family residential mortgage loans, sales of government guarantees portions of Small Business Administration loans (“SBA loans”), and sales of foreclosed real estate, and is earned as the transaction occurs.</w:t>
      </w:r>
    </w:p>
    <w:p>
      <w:pPr>
        <w:spacing w:after="0" w:line="188" w:lineRule="exact"/>
        <w:rPr>
          <w:rFonts w:ascii="Times New Roman" w:cs="Times New Roman" w:eastAsia="Times New Roman" w:hAnsi="Times New Roman"/>
          <w:sz w:val="20"/>
          <w:szCs w:val="20"/>
          <w:color w:val="auto"/>
        </w:rPr>
      </w:pPr>
    </w:p>
    <w:p>
      <w:pPr>
        <w:ind w:left="5540" w:hanging="111"/>
        <w:spacing w:after="0"/>
        <w:tabs>
          <w:tab w:leader="none" w:pos="5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37 </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color w:val="auto"/>
        </w:rPr>
        <w:t>Note 14: Leases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has operating and finance leases for certain banking offices and land under noncancelable agreements. Our leases have remaining lease terms that vary from less than 2 years up to 28 years, some of which include options to extend the leases for various renewal periods. All options to renew are included in the current lease term when we believe it is reasonably certain that the renewal options will be exercised.</w:t>
      </w:r>
    </w:p>
    <w:p>
      <w:pPr>
        <w:sectPr>
          <w:pgSz w:w="11900" w:h="16838" w:orient="portrait"/>
          <w:cols w:equalWidth="0" w:num="1">
            <w:col w:w="11240"/>
          </w:cols>
          <w:pgMar w:left="320" w:top="1220" w:right="339" w:bottom="1440" w:gutter="0" w:footer="0" w:header="0"/>
        </w:sectPr>
      </w:pP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components of lease expense are as follows: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For the three months ended</w:t>
      </w:r>
    </w:p>
    <w:p>
      <w:pPr>
        <w:spacing w:after="0" w:line="32" w:lineRule="exact"/>
        <w:rPr>
          <w:sz w:val="20"/>
          <w:szCs w:val="20"/>
          <w:color w:val="auto"/>
        </w:rPr>
      </w:pPr>
    </w:p>
    <w:p>
      <w:pPr>
        <w:spacing w:after="0"/>
        <w:tabs>
          <w:tab w:leader="none" w:pos="2460" w:val="left"/>
        </w:tabs>
        <w:rPr>
          <w:sz w:val="20"/>
          <w:szCs w:val="20"/>
          <w:color w:val="auto"/>
        </w:rPr>
      </w:pPr>
      <w:r>
        <w:rPr>
          <w:rFonts w:ascii="Times New Roman" w:cs="Times New Roman" w:eastAsia="Times New Roman" w:hAnsi="Times New Roman"/>
          <w:sz w:val="16"/>
          <w:szCs w:val="16"/>
          <w:color w:val="auto"/>
        </w:rPr>
        <w:t>March 31, 2026</w:t>
      </w:r>
      <w:r>
        <w:rPr>
          <w:sz w:val="20"/>
          <w:szCs w:val="20"/>
          <w:color w:val="auto"/>
        </w:rPr>
        <w:tab/>
      </w:r>
      <w:r>
        <w:rPr>
          <w:rFonts w:ascii="Times New Roman" w:cs="Times New Roman" w:eastAsia="Times New Roman" w:hAnsi="Times New Roman"/>
          <w:sz w:val="16"/>
          <w:szCs w:val="16"/>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-116205</wp:posOffset>
            </wp:positionV>
            <wp:extent cx="30175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6880" w:space="720"/>
            <w:col w:w="3640"/>
          </w:cols>
          <w:pgMar w:left="320" w:top="1220"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3580" w:type="dxa"/>
            <w:vAlign w:val="bottom"/>
            <w:tcBorders>
              <w:top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1180" w:type="dxa"/>
            <w:vAlign w:val="bottom"/>
            <w:tcBorders>
              <w:top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r>
      <w:tr>
        <w:trPr>
          <w:trHeight w:val="203"/>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Finance lease cost</w:t>
            </w:r>
          </w:p>
        </w:tc>
        <w:tc>
          <w:tcPr>
            <w:tcW w:w="35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425</w:t>
            </w:r>
          </w:p>
        </w:tc>
        <w:tc>
          <w:tcPr>
            <w:tcW w:w="1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429</w:t>
            </w:r>
          </w:p>
        </w:tc>
      </w:tr>
      <w:tr>
        <w:trPr>
          <w:trHeight w:val="236"/>
        </w:trPr>
        <w:tc>
          <w:tcPr>
            <w:tcW w:w="39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Total lease cost</w:t>
            </w:r>
          </w:p>
        </w:tc>
        <w:tc>
          <w:tcPr>
            <w:tcW w:w="358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464</w:t>
            </w:r>
          </w:p>
        </w:tc>
        <w:tc>
          <w:tcPr>
            <w:tcW w:w="118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478</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cash flow information related to leases was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4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360" w:type="dxa"/>
            <w:vAlign w:val="bottom"/>
            <w:tcBorders>
              <w:bottom w:val="single" w:sz="8" w:color="auto"/>
            </w:tcBorders>
          </w:tcPr>
          <w:p>
            <w:pPr>
              <w:spacing w:after="0"/>
              <w:rPr>
                <w:sz w:val="17"/>
                <w:szCs w:val="17"/>
                <w:color w:val="auto"/>
              </w:rPr>
            </w:pPr>
          </w:p>
        </w:tc>
      </w:tr>
      <w:tr>
        <w:trPr>
          <w:trHeight w:val="196"/>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March 31, 2026</w:t>
            </w:r>
          </w:p>
        </w:tc>
        <w:tc>
          <w:tcPr>
            <w:tcW w:w="10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March 31, 2025</w:t>
            </w:r>
          </w:p>
        </w:tc>
      </w:tr>
      <w:tr>
        <w:trPr>
          <w:trHeight w:val="19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6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6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c>
          <w:tcPr>
            <w:tcW w:w="10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r>
      <w:tr>
        <w:trPr>
          <w:trHeight w:val="203"/>
        </w:trPr>
        <w:tc>
          <w:tcPr>
            <w:tcW w:w="6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60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425</w:t>
            </w:r>
          </w:p>
        </w:tc>
        <w:tc>
          <w:tcPr>
            <w:tcW w:w="10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429</w:t>
            </w:r>
          </w:p>
        </w:tc>
      </w:tr>
      <w:tr>
        <w:trPr>
          <w:trHeight w:val="203"/>
        </w:trPr>
        <w:tc>
          <w:tcPr>
            <w:tcW w:w="6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6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116</w:t>
            </w:r>
          </w:p>
        </w:tc>
        <w:tc>
          <w:tcPr>
            <w:tcW w:w="10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balance sheet information related to leases was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As of</w:t>
            </w:r>
          </w:p>
        </w:tc>
        <w:tc>
          <w:tcPr>
            <w:tcW w:w="0" w:type="dxa"/>
            <w:vAlign w:val="bottom"/>
          </w:tcPr>
          <w:p>
            <w:pPr>
              <w:spacing w:after="0"/>
              <w:rPr>
                <w:sz w:val="1"/>
                <w:szCs w:val="1"/>
                <w:color w:val="auto"/>
              </w:rPr>
            </w:pPr>
          </w:p>
        </w:tc>
      </w:tr>
      <w:tr>
        <w:trPr>
          <w:trHeight w:val="203"/>
        </w:trPr>
        <w:tc>
          <w:tcPr>
            <w:tcW w:w="61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lease term and discount rate)</w:t>
            </w:r>
          </w:p>
        </w:tc>
        <w:tc>
          <w:tcPr>
            <w:tcW w:w="3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As of March</w:t>
            </w:r>
          </w:p>
        </w:tc>
        <w:tc>
          <w:tcPr>
            <w:tcW w:w="120" w:type="dxa"/>
            <w:vAlign w:val="bottom"/>
          </w:tcPr>
          <w:p>
            <w:pPr>
              <w:spacing w:after="0"/>
              <w:rPr>
                <w:sz w:val="17"/>
                <w:szCs w:val="17"/>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3"/>
        </w:trPr>
        <w:tc>
          <w:tcPr>
            <w:tcW w:w="6140" w:type="dxa"/>
            <w:vAlign w:val="bottom"/>
            <w:tcBorders>
              <w:bottom w:val="single" w:sz="8" w:color="auto"/>
            </w:tcBorders>
            <w:vMerge w:val="continue"/>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31, 2026</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9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Leases:</w:t>
            </w:r>
          </w:p>
        </w:tc>
        <w:tc>
          <w:tcPr>
            <w:tcW w:w="29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1,072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1,098</w:t>
            </w: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9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1,282</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1,304</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Leases:</w:t>
            </w:r>
          </w:p>
        </w:tc>
        <w:tc>
          <w:tcPr>
            <w:tcW w:w="29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2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15,687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15,885</w:t>
            </w: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9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16,295</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16,390</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Remaining Lease Term:</w:t>
            </w:r>
          </w:p>
        </w:tc>
        <w:tc>
          <w:tcPr>
            <w:tcW w:w="29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leases</w:t>
            </w:r>
          </w:p>
        </w:tc>
        <w:tc>
          <w:tcPr>
            <w:tcW w:w="2900" w:type="dxa"/>
            <w:vAlign w:val="bottom"/>
          </w:tcPr>
          <w:p>
            <w:pPr>
              <w:spacing w:after="0"/>
              <w:rPr>
                <w:sz w:val="17"/>
                <w:szCs w:val="17"/>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18.10 years</w:t>
            </w:r>
          </w:p>
        </w:tc>
        <w:tc>
          <w:tcPr>
            <w:tcW w:w="12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18.11 years</w:t>
            </w: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Finance leases</w:t>
            </w:r>
          </w:p>
        </w:tc>
        <w:tc>
          <w:tcPr>
            <w:tcW w:w="29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20.79 years</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21.02 years</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29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leases</w:t>
            </w:r>
          </w:p>
        </w:tc>
        <w:tc>
          <w:tcPr>
            <w:tcW w:w="29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03"/>
        </w:trPr>
        <w:tc>
          <w:tcPr>
            <w:tcW w:w="61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Finance leases</w:t>
            </w:r>
          </w:p>
        </w:tc>
        <w:tc>
          <w:tcPr>
            <w:tcW w:w="29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Future maturities of lease liabilities are as follows: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Twelve Months Ending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36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Operating Leases</w:t>
            </w:r>
          </w:p>
        </w:tc>
        <w:tc>
          <w:tcPr>
            <w:tcW w:w="48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Finance Leases</w:t>
            </w:r>
          </w:p>
        </w:tc>
      </w:tr>
      <w:tr>
        <w:trPr>
          <w:trHeight w:val="19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2027</w:t>
            </w:r>
          </w:p>
        </w:tc>
        <w:tc>
          <w:tcPr>
            <w:tcW w:w="23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92</w:t>
            </w:r>
          </w:p>
        </w:tc>
        <w:tc>
          <w:tcPr>
            <w:tcW w:w="4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381</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2360" w:type="dxa"/>
            <w:vAlign w:val="bottom"/>
          </w:tcPr>
          <w:p>
            <w:pPr>
              <w:spacing w:after="0"/>
              <w:rPr>
                <w:sz w:val="17"/>
                <w:szCs w:val="17"/>
                <w:color w:val="auto"/>
              </w:rPr>
            </w:pPr>
          </w:p>
        </w:tc>
        <w:tc>
          <w:tcPr>
            <w:tcW w:w="1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84</w:t>
            </w:r>
          </w:p>
        </w:tc>
        <w:tc>
          <w:tcPr>
            <w:tcW w:w="480" w:type="dxa"/>
            <w:vAlign w:val="bottom"/>
          </w:tcPr>
          <w:p>
            <w:pPr>
              <w:spacing w:after="0"/>
              <w:rPr>
                <w:sz w:val="17"/>
                <w:szCs w:val="17"/>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401</w:t>
            </w:r>
          </w:p>
        </w:tc>
      </w:tr>
      <w:tr>
        <w:trPr>
          <w:trHeight w:val="20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2029</w:t>
            </w:r>
          </w:p>
        </w:tc>
        <w:tc>
          <w:tcPr>
            <w:tcW w:w="2360" w:type="dxa"/>
            <w:vAlign w:val="bottom"/>
            <w:shd w:val="clear" w:color="auto" w:fill="CFF0FC"/>
          </w:tcPr>
          <w:p>
            <w:pPr>
              <w:spacing w:after="0"/>
              <w:rPr>
                <w:sz w:val="17"/>
                <w:szCs w:val="17"/>
                <w:color w:val="auto"/>
              </w:rPr>
            </w:pPr>
          </w:p>
        </w:tc>
        <w:tc>
          <w:tcPr>
            <w:tcW w:w="18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86</w:t>
            </w:r>
          </w:p>
        </w:tc>
        <w:tc>
          <w:tcPr>
            <w:tcW w:w="48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426</w:t>
            </w:r>
          </w:p>
        </w:tc>
      </w:tr>
      <w:tr>
        <w:trPr>
          <w:trHeight w:val="202"/>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2030</w:t>
            </w:r>
          </w:p>
        </w:tc>
        <w:tc>
          <w:tcPr>
            <w:tcW w:w="2360" w:type="dxa"/>
            <w:vAlign w:val="bottom"/>
          </w:tcPr>
          <w:p>
            <w:pPr>
              <w:spacing w:after="0"/>
              <w:rPr>
                <w:sz w:val="17"/>
                <w:szCs w:val="17"/>
                <w:color w:val="auto"/>
              </w:rPr>
            </w:pPr>
          </w:p>
        </w:tc>
        <w:tc>
          <w:tcPr>
            <w:tcW w:w="1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92</w:t>
            </w:r>
          </w:p>
        </w:tc>
        <w:tc>
          <w:tcPr>
            <w:tcW w:w="480" w:type="dxa"/>
            <w:vAlign w:val="bottom"/>
          </w:tcPr>
          <w:p>
            <w:pPr>
              <w:spacing w:after="0"/>
              <w:rPr>
                <w:sz w:val="17"/>
                <w:szCs w:val="17"/>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450</w:t>
            </w:r>
          </w:p>
        </w:tc>
      </w:tr>
      <w:tr>
        <w:trPr>
          <w:trHeight w:val="20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2031</w:t>
            </w:r>
          </w:p>
        </w:tc>
        <w:tc>
          <w:tcPr>
            <w:tcW w:w="2360" w:type="dxa"/>
            <w:vAlign w:val="bottom"/>
            <w:shd w:val="clear" w:color="auto" w:fill="CFF0FC"/>
          </w:tcPr>
          <w:p>
            <w:pPr>
              <w:spacing w:after="0"/>
              <w:rPr>
                <w:sz w:val="17"/>
                <w:szCs w:val="17"/>
                <w:color w:val="auto"/>
              </w:rPr>
            </w:pPr>
          </w:p>
        </w:tc>
        <w:tc>
          <w:tcPr>
            <w:tcW w:w="18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37</w:t>
            </w:r>
          </w:p>
        </w:tc>
        <w:tc>
          <w:tcPr>
            <w:tcW w:w="48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476</w:t>
            </w:r>
          </w:p>
        </w:tc>
      </w:tr>
      <w:tr>
        <w:trPr>
          <w:trHeight w:val="203"/>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23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891</w:t>
            </w:r>
          </w:p>
        </w:tc>
        <w:tc>
          <w:tcPr>
            <w:tcW w:w="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14,161</w:t>
            </w:r>
          </w:p>
        </w:tc>
      </w:tr>
      <w:tr>
        <w:trPr>
          <w:trHeight w:val="236"/>
        </w:trPr>
        <w:tc>
          <w:tcPr>
            <w:tcW w:w="48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Total future maturities of lease liabilities</w:t>
            </w:r>
          </w:p>
        </w:tc>
        <w:tc>
          <w:tcPr>
            <w:tcW w:w="23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1,282</w:t>
            </w:r>
          </w:p>
        </w:tc>
        <w:tc>
          <w:tcPr>
            <w:tcW w:w="4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16,295</w:t>
            </w:r>
          </w:p>
        </w:tc>
      </w:tr>
    </w:tbl>
    <w:p>
      <w:pPr>
        <w:spacing w:after="0" w:line="19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owns certain properties that it leases to unaffiliated third parties at market rates. Lease rental income was $112,000 and $61,000 for the three months ended March 31, 2026 and 2025, respectively. All rental agreements with lessees are accounted for as operating leases.</w:t>
      </w: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type w:val="continuous"/>
        </w:sectPr>
      </w:pPr>
    </w:p>
    <w:bookmarkStart w:id="38" w:name="page39"/>
    <w:bookmarkEnd w:id="38"/>
    <w:p>
      <w:pPr>
        <w:ind w:right="1940"/>
        <w:spacing w:after="0" w:line="445" w:lineRule="auto"/>
        <w:rPr>
          <w:sz w:val="20"/>
          <w:szCs w:val="20"/>
          <w:color w:val="auto"/>
        </w:rPr>
      </w:pPr>
      <w:r>
        <w:rPr>
          <w:rFonts w:ascii="Times New Roman" w:cs="Times New Roman" w:eastAsia="Times New Roman" w:hAnsi="Times New Roman"/>
          <w:sz w:val="20"/>
          <w:szCs w:val="20"/>
          <w:b w:val="1"/>
          <w:bCs w:val="1"/>
          <w:color w:val="auto"/>
        </w:rPr>
        <w:t>Item 2 - Management's Discussion and Analysis of Financial Condition and Results of Operations (Unaudited) General</w:t>
      </w:r>
    </w:p>
    <w:p>
      <w:pPr>
        <w:spacing w:after="0" w:line="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is a Maryland corporation headquartered in Oswego, New York. The Company is 100% owned by public shareholders. The primary business of the Company is its investment in Pathfinder Bank (the "Bank"), a New York State chartered commercial bank, which is 100% owned by the Company. The Bank has two wholly owned operating subsidiaries, Pathfinder Risk Management Company, Inc. (“PRMC”) and Whispering Oaks Development Corp. All significant inter-company accounts and activity have been eliminated in consolidation.</w:t>
      </w:r>
    </w:p>
    <w:p>
      <w:pPr>
        <w:spacing w:after="0" w:line="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At March 31, 2026, the Company and subsidiaries had total consolidated assets of $1.42 billion, total consolidated liabilities of $1.30 billion and shareholders' equity of $123.6 million.</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discussion reviews the Company's financial condition at March 31, 2026 and the results of operations for the three month period ended March 31, 2026 and 2025. Operating results for the three months ended March 31, 2026 are not necessarily indicative of the results that may be expected for the year ending December 31, 2026 or any other period.</w:t>
      </w:r>
    </w:p>
    <w:p>
      <w:pPr>
        <w:spacing w:after="0" w:line="1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following material under the heading "Management's Discussion and Analysis of Financial Condition and Results of Operations" is written with the presumption that the users of the interim financial statements have read, or have access to, the Company's latest audited financial statements and notes thereto, together with Management's Discussion and Analysis of Financial Condition and Results of Operations included in the 2025 Annual Report on Form 10-K filed with the Securities and Exchange Commission on March 30, 2026 (“the consolidated annual financial statements”) as of December 31, 2025 and 2024 and for the two years then ended. Therefore, only material changes in financial condition and results of operations are discussed in the remainder of Item 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Certain statements contained herein are “forward looking statements” within the meaning of Section 27A of the Securities Act of 1933 and Section 21E of the Securities Exchange Act of 1934. These forward-looking statements concern the financial condition, results of operations, plans, objectives, future performance and business the Company and its subsidiaries, including, but not limited to, the Bank.</w:t>
      </w:r>
    </w:p>
    <w:p>
      <w:pPr>
        <w:spacing w:after="0" w:line="1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Forward-looking statements are generally identified by use of the words “believes,” “expect,” “intend,” “anticipate,” “estimate,” “project” or similar expressions, or future or conditional verbs, such as “will,” “would,” “should,” “could,” or “may.” These forward-looking statements are based on current beliefs and expectations of the Company’s and the Bank’s management and are inherently subject to significant business, economic, competitive and regulatory uncertainties and contingencies, many of which are beyond the Company’s and the Bank’s control. In addition, these forward-looking statements are subject to assumptions with respect to future business strategies and decisions that are subject to change.</w:t>
      </w:r>
    </w:p>
    <w:p>
      <w:pPr>
        <w:spacing w:after="0" w:line="17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Actual results may differ materially from those expressed or implied by the forward-looking statements as a result of numerous factors. Although it is not possible to identify all factors that may cause actual results to differ materially from those described in forward-looking statements, factors that may cause actual results to differ materially include, but are not limited to: (i) risks related to the real estate and economic environment, particularly in the market areas in which the Company and the Bank operate; (ii) fiscal and monetary policies of the U.S. Government; (iii) inflation; (iv) changes in prevailing interest rates; (v) changes in government regulations affecting financial institutions, including regulatory compliance costs and capital requirements; (vi) the risk that actual credit losses, borrower performance, collateral values, or loan migration patterns differ from management’s forward-looking estimates or assumptions; (vii) fluctuations in the adequacy of the allowance for credit losses; (viii) decreases in deposit levels or changes in deposit mix that may necessitate increased borrowing to fund loans and investments; (ix) access to wholesale or other funding sources; (x) operational risks including, cybersecurity threats, fraud, model risk and natural disasters; (xi) credit risk management; (xii) political developments, wars or other hostilities that may disrupt financial markets or economic conditions; (xiii) volatility or adverse trends in the securities markets that could affect the value of the Company’s investment portfolio or broader financial conditions; (xiv) delays or incomplete resolution of regulatory matters or supervisory issues that could impact the Company’s planning or operations; (xv) the outcome of regulatory or legal investigations, proceedings or other matters that may arise from time to time; and (xvi) the risk that the Company may not be successful in the implementation of its business strategy.</w:t>
      </w:r>
    </w:p>
    <w:p>
      <w:pPr>
        <w:spacing w:after="0" w:line="1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Additional factors that could cause actual results to differ materially are described in other periodic filings with the Securities and Exchange Commission (“SEC”), which are available at the SEC’s website, www.sec.gov. While the Company believes it has identified and discussed the material risks affecting its business, there may be additional risks and uncertainties not currently known or considered immaterial that could affect the forward-looking statements made herein.</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Given these risks and uncertainties, investors should not place undue reliance on forward-looking statements as predictions of future results. Any forward-looking statement speaks only as of the date on which it is made, and the Company undertakes no obligation to update or revise any forward-looking statement, whether as a result of new information, future events, or otherwise, except as required by applicable law.</w:t>
      </w: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t>Application of Critical Accounting Estimates</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Company's consolidated quarterly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quarterly financial statements and accompanying notes. These estimates, assumptions, and judgments are based on information available as of the date of the financial statements; accordingly, as this information changes, the financial statements could reflect different estimates, assumptions, and judgments. Certain accounting policies inherently have a greater reliance on the use of estimates, assumptions, and judgments and, as such, have a greater possibility of producing results that could be materially different than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unaffiliated third-party sources, when available. When third party information is not available, valuation adjustments are estimated in good faith by management.</w:t>
      </w:r>
    </w:p>
    <w:p>
      <w:pPr>
        <w:spacing w:after="0" w:line="1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most significant accounting policies followed by the Company are presented in Note 1 to the annual audited consolidated financial statements. These policies, along with the disclosures presented in the other financial statement notes and in this discussion, provide information on how significant assets and liabilities are valued in the consolidated quarterly financial statements and how those values are determined. Based on the valuation techniques used and the sensitivity of financial statement amounts to the methods, assumptions, and estimates underlying those amounts, management has identified the allowance for credit losses, deferred income taxes, pension obligations, the evaluation of investment securities for credit losses, the estimation of fair values for accounting and disclosure purposes, and the evaluation of goodwill for impairment to be the accounting areas that require the most subjective and complex judgments. These areas could be the most subject to revision as new information becomes available.</w:t>
      </w:r>
    </w:p>
    <w:p>
      <w:pPr>
        <w:spacing w:after="0" w:line="1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The Company applies ASC 326, </w:t>
      </w:r>
      <w:r>
        <w:rPr>
          <w:rFonts w:ascii="Times New Roman" w:cs="Times New Roman" w:eastAsia="Times New Roman" w:hAnsi="Times New Roman"/>
          <w:sz w:val="20"/>
          <w:szCs w:val="20"/>
          <w:i w:val="1"/>
          <w:iCs w:val="1"/>
          <w:color w:val="auto"/>
        </w:rPr>
        <w:t>Financial Instruments—Credit Losses,</w:t>
      </w:r>
      <w:r>
        <w:rPr>
          <w:rFonts w:ascii="Times New Roman" w:cs="Times New Roman" w:eastAsia="Times New Roman" w:hAnsi="Times New Roman"/>
          <w:sz w:val="20"/>
          <w:szCs w:val="20"/>
          <w:color w:val="auto"/>
        </w:rPr>
        <w:t xml:space="preserve"> to account for its allowance for credit losses ("ACL") on loans in accordance with the Current Expected Credit Loss ("CECL") methodology. The allowance for credit losses on loans and unfunded commitments is a valuation allowance for management’s estimate of expected credit losses in the loan portfolio and commitments to extend credit. Determining the amount of the ACL requires significant judgment on the part of management and the use of estimates related to the amount and timing of expected future cash flows on individually evaluated loans, estimated losses on pools of homogeneous loans based on historical loss experience, as correlated to historical economic metrics and in consideration of current economic trends and conditions, and other qualitative factors, all of which may be susceptible to significant change.</w:t>
      </w:r>
    </w:p>
    <w:p>
      <w:pPr>
        <w:spacing w:after="0" w:line="1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Company establishes a specific allowance for all troubled credits identified through both normal and targeted credit review processes. Loans recognized within the internal review are identified as being individually evaluated and excluded from collective pools. Individually evaluated loans are considered to have unique risk characteristics when their risk profile, repayment characteristics, or loss exposure are sufficiently distinct such that inclusion in a pooled evaluation would not appropriately reflect its expected credit loss. Factors that may result in such classification include, but are not limited to, borrower-specific financial stress or credit deterioration, nonaccrual status or sustained delinquency, bankruptcy, insolvency, or restructuring proceedings, reliance on a single or materially weakened source of repayment, material adverse changes in collateral value, condition, or marketability, collateral dependency, unique or non-standard loan structures or modifications, adverse changes in guarantor support, or other circumstances indicating the loan no longer shares similar risk characteristics with the pool. For individually evaluated loans, management measures credit losses using a discounted cash flow approach, collateral-dependent valuation techniques, observable market pricing (when available), or other methods permitted under ASC 326 that reasonably estimate expected credit losses based on the specific facts and circumstances of the loan. The selected methodology is applied consistently and is based on the specific facts and circumstances of each loan. At March 31, 2026, the Bank’s position in individually evaluated loans consisted of 135 loans totaling $84.7 million. All were valued based on a collateral analysis. No loans were valued using the present value of future cash flows method or other methods permitted under ASC 326. For all other loans, the Company uses the general allocation methodology that establishes an allowance to estimate the lifetime incurred loss for each risk-rating category.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41" w:name="page42"/>
    <w:bookmarkEnd w:id="41"/>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utilizes the DCF method for its pooled segment calculation. The DCF method implements a probability of default and loss given default and loss exposure at default estimation. The probability of default and loss given default are applied to future cash flows that are adjusted to present value and these discounted expected losses become the Allowance for Credit Losses.</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Management also considers Qualitative Factors (“QF”) that are likely to cause estimated credit losses with the Company’s existing portfolio to differ from historical loss experience, including but not limited to: national and local economic trends and conditions, levels and trends in delinquencies, non-accrual loans and classified assets, trends in volume, terms and concentrations of loans, changes in lending policies and procedures, quality of credit review function and administration, and changes in regulatory environment, management, markets and product offerings. On a quarterly basis, the Company assesses the magnitude of QF adjustments necessary to be applied to the quantitatively-derived ACL in order to incorporate forward-looking projections in its final evaluation of current expected credit losses.</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estimating the ACL on loans, management considers the sensitivity of the model and significant judgments and assumptions that could result in an amount that is materially different from management’s estimate. At March 31, 2026, the Bank held $549.5 million in commercial real estate and commercial &amp; industrial loans (collectively, commercial loans) representing 61.4% of the Bank’s entire loan portfolio. The Bank allocated $23.3 million of the ACL to these commercial loans, which included a net qualitative adjustment that reduced the ACL by approximately $889,000 in the first quarter of 2026. Given the concentration of ACL allocation to the total commercial loan portfolio and the significant judgments made by management in deriving the qualitative loss factors, management considers the impact that changes in judgments could have on the ACL. The ACL could increase (or decrease) by approximately $222,000, assuming a 25% negative (or positive) change within the group of qualitative factors used to determine the ACL for commercial loans. The sensitivity and related range of impacts for various judgments on the ACL is a hypothetical analysis and is used to determine management’s judgments or assumptions of qualitative loss factors that were utilized at March 31, 2026 in the final recorded estimation of the ACL on loans recognized on the Statements of Financial Condition.</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Deferred income tax assets and liabilities are determined using the liability method. Under this method, the net deferred tax asset or liability is recognized for the future tax consequences. This is attributable to the differences between the financial statement carrying amounts of existing assets and liabilities and their respective tax bases as well as net operating and capital loss carry-forwards. Deferred tax assets and liabilities are measured using enacted tax rates applied to taxable income in the years in which those temporary differences are expected to be recovered or settled. The effect on deferred tax assets and liabilities of a change in tax rates is recognized in income tax expense in the period that includes the enactment date. If current available evidence about the future raises doubt about the likelihood of a deferred tax asset being realized, a valuation allowance is established. The judgment about the level of future taxable income, including that which is considered capital, is inherently subjective and is reviewed on a continual basis as regulatory and business factors change.</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effective tax rate typically differs from the 21% federal statutory tax rate due primarily to New York State income taxes, partially offset by tax-exempt income from specific types of investment securities and loans, bank owned life insurance, and to a much lesser degree, the utilization of low income housing tax credits. In addition, the tax effects of certain incentive stock option activity may reduce the Company’s effective tax rate on a sporadic basis.</w:t>
      </w:r>
    </w:p>
    <w:p>
      <w:pPr>
        <w:spacing w:after="0" w:line="16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maintain a noncontributory defined benefit pension plan covering a portion of employees. The plan provides defined benefits based on years of service and final average salary. On May 14, 2012, we informed our employees of our decision to freeze participation and benefit accruals under the plan, primarily to reduce some of the volatility in earnings that can accompany the maintenance of a defined benefit plan. Pension and post-retirement benefit plan liabilities and expenses are based upon actuarial assumptions of future events; including fair value of plan assets, interest rates, and the length of time the Company will have to provide those benefits. The assumptions used by management are discussed in Note 14 to the consolidated annual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42</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2" w:name="page43"/>
    <w:bookmarkEnd w:id="42"/>
    <w:p>
      <w:pPr>
        <w:jc w:val="both"/>
        <w:spacing w:after="0" w:line="244" w:lineRule="auto"/>
        <w:rPr>
          <w:sz w:val="20"/>
          <w:szCs w:val="20"/>
          <w:color w:val="auto"/>
        </w:rPr>
      </w:pPr>
      <w:r>
        <w:rPr>
          <w:rFonts w:ascii="Times New Roman" w:cs="Times New Roman" w:eastAsia="Times New Roman" w:hAnsi="Times New Roman"/>
          <w:sz w:val="20"/>
          <w:szCs w:val="20"/>
          <w:color w:val="auto"/>
        </w:rPr>
        <w:t>When the fair value of a security categorized as AFS or HTM is less than its amortized cost basis, an assessment is made as to whether or not credit loss is present. Management makes a quantitative determination of potential credit loss for all HTM securities even if the risk of credit loss is considered remote and uses a best estimate threshold for securities categorized as AFS. The Company considers numerous factors when determining whether a potential credit loss exists. The principal factors considered are (1) the financial condition of the issue and (guarantor, if any) and adverse conditions specifically related to the security, industry or geographic area, (2) failure of the issuer of the security to make scheduled interest or principal payments, (3) any changes to the rating of the security by a NRSRO, and (4) the presence of contractual credit enhancements, if any, including the guarantee of the federal government or any of its agencies.</w:t>
      </w:r>
    </w:p>
    <w:p>
      <w:pPr>
        <w:spacing w:after="0" w:line="15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carries all of its AFS investments at fair value with any unrealized gains or losses reported, net of tax, as an adjustment to shareholders' equity and included in accumulated other comprehensive income (loss), except for the credit-related portion of debt securities’ credit losses securities which are charged to earnings. The Company's ability to fully realize the value of its investments in various securities, including corporate debt securities, is dependent on the underlying creditworthiness of the issuing organization. In evaluating the debt securities portfolio, for both AFS and HTM securities for credit losses, management considers (1) if we intend to sell the security; (2) if it is “more likely than not” we will be required to sell the security before recovery of its amortized cost basis; or (3) if the present value of expected cash flows is insufficient to recover the entire amortized cost basis.</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estimation of fair value is significant to several of our assets; including AFS and marketable equity investment securities, intangible assets, foreclosed real estate, and the value of loan collateral when valuing loans. These are all recorded at either fair value, or the lower of cost or fair value. Fair values are determined based on third party sources, when available. Furthermore, accounting principles generally accepted in the United States require disclosure of the fair value of financial instruments as a part of the notes to the annual audited consolidated financial statements. Fair values on our AFS securities may be influenced by a number of factors including market interest rates, prepayment speeds, discount rates, and the shape of yield curves.</w:t>
      </w:r>
    </w:p>
    <w:p>
      <w:pPr>
        <w:spacing w:after="0" w:line="17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Fair values for AFS securities are obtained from unaffiliated third party pricing services. Where available, fair values are based on quoted prices on a nationally recognized securities exchange. If quoted prices are not available, fair values are measured using quoted market prices for similar benchmark securities. Management made no adjustments to the fair value quotes that were provided by the pricing sources. Fair values for marketable equity securities are based on quoted prices on a nationally recognized securities exchange for similar benchmark securities. The fair values of foreclosed real estate and the underlying collateral value of individually evaluated loans are typically determined based on evaluations by third parties, less estimated costs to sell. When necessary, appraisals are updated to reflect changes in market conditions.</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Management performs an annual evaluation of our goodwill for possible impairment at each of our reporting units. Based on the December 31, 2025 evaluation, management has determined that the carrying value of goodwill was not impaired as of that date. Management will continuously evaluate all relevant economic and operational factors potentially affecting the Bank or the fair value of its assets, including goodwill. Should future economic consequences require a significant and sustained change in the operations of the Bank, re-evaluations of the Bank’s goodwill valuation will be conducted on a more frequent basis.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auto"/>
        </w:rPr>
        <w:t>Recent Events</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March 30, 2026, the Company announced that its Board of Directors declared a cash dividend of $0.10 per share on the Company's voting common and non-voting common stock, and a cash dividend of $0.10 per notional share for the issued warrant relating to the fiscal quarter ended March 31, 2026. The dividends were payable to all shareholders of record on April 17, 2026 and were paid on May 8,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2026 First Quarter Results</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recorded net income of $2.4 million for the three months ended March 31, 2026, compared to $3.0 million for the three months ended March 31, 2025. The $561,000 decrease in net income was primarily attributable to a $1.1 million decrease in total net interest income, a $259,000 increase in total noninterest expense, and a $70,000 decrease in noninterest income, partially offset by a $625,000 decrease in the provision for credit losses and a $214,000 decrease in the provision for income taxes.</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Net interest income before the provision for credit losses decreased $1.1 million, or 9.4%, to $10.3 million for the three months ended March 31, 2026, as compared to the same three month period in 2025. This decrease was predominately the result of a decrease in interest and dividend income of $1.9 million, partially offset by a decrease in interest expense of $868,000.</w:t>
      </w:r>
    </w:p>
    <w:p>
      <w:pPr>
        <w:spacing w:after="0" w:line="14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Interest and dividend income declined $1.9 million to $17.5 million for the first quarter of 2026, as compared to the first quarter of 2025. This decrease was primarily driven by a $1.3 million reduction in interest income on loans, resulting from a decrease of 49 basis points in the average yield on loans, reflecting in part a 15 basis point benefit recognized in the first quarter of 2025 attributable to 2024 interest recovered on loans removed from nonaccrual status and income from prepayment fees. The remaining decrease was driven by maturities and payoffs of higher-yielding loans, new originations at lower rates, and elevated nonperforming loans for which specific reserves were established as appropriate prior to the first quarter of 2026. Interest income on total investment securities decreased $697,000 as a result of the lower average yield and decreased average balances in portfolio assets. Interest income on Fed funds sold and interest-earning deposits increased $73,000, reflecting higher average balances and increased yields.</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decrease in interest expense of $868,000 to $7.2 million for the first quarter of 2026, compared to the prior year quarter, was primarily attributed to a 22 basis point decline in the average cost of total interest-bearing liabilities, including a reduction of 31 basis points in the average cost of interest-bearing deposits that was partially offset by an increase of 34 basis points in the average cost of borrowings, as well as an increase of 230 basis points in the average cost of subordinated loans that reset from fixed-rate to floating-rate interest after October 15, 2025.</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Net interest margin ("NIM") was 3.10% for the first three months ended March 31, 2026, compared to 3.31% in the year-ago period. The decrease of 21 basis points primarily reflected lower earning asset yields that more than offset the reduction in the cost of interest bearing deposits and other liabilities. In addition, approximately 10 basis points of net interest margin in the year-ago period reflected 2024 interest recovered from loans removed from nonaccrual status and income from prepayment fees in the first quarter of 2025.</w:t>
      </w:r>
    </w:p>
    <w:p>
      <w:pPr>
        <w:spacing w:after="0" w:line="1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Provision for credit losses was a benefit of $168,000 in the first quarter of 2026, reflecting lower net charge offs and overall credit performance that resulted in a small reserve release in the first three months of this year. Provision expense was $457,000 in the year-ago period. See the “Provision for Credit Losses” and “Loan and Asset Quality and Allowance for Credit Losses” sections of this Management’s Discussion and Analysis for further discussion.</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Noninterest income was $1.1 million for the first quarter of 2026, down slightly from $1.2 million in the same period of 2025. Results for the first quarter of 2026 included a $203,000 loss resulting from fair value adjustments recorded during the period on $6.3 million of substandard loans that were moved to held-for-sale status in the fourth quarter of 2025, as the Bank continues active sale negotiations.</w:t>
      </w: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44" w:name="page45"/>
    <w:bookmarkEnd w:id="44"/>
    <w:p>
      <w:pPr>
        <w:jc w:val="both"/>
        <w:spacing w:after="0" w:line="249" w:lineRule="auto"/>
        <w:rPr>
          <w:sz w:val="20"/>
          <w:szCs w:val="20"/>
          <w:color w:val="auto"/>
        </w:rPr>
      </w:pPr>
      <w:r>
        <w:rPr>
          <w:rFonts w:ascii="Times New Roman" w:cs="Times New Roman" w:eastAsia="Times New Roman" w:hAnsi="Times New Roman"/>
          <w:sz w:val="20"/>
          <w:szCs w:val="20"/>
          <w:color w:val="auto"/>
        </w:rPr>
        <w:t>Compared to the prior-year quarter, first quarter 2026 noninterest income benefited from higher earnings on bank-owned life insurance, increased debit card interchange fees, and higher gains on sales of loans and foreclosed real estate, partially offset by lower net unrealized gains on marketable equity securities, reduced loan servicing fees, and modest net realized losses on sales and redemptions of investment securities.</w:t>
      </w:r>
    </w:p>
    <w:p>
      <w:pPr>
        <w:spacing w:after="0" w:line="121" w:lineRule="exact"/>
        <w:rPr>
          <w:sz w:val="20"/>
          <w:szCs w:val="20"/>
          <w:color w:val="auto"/>
        </w:rPr>
      </w:pPr>
    </w:p>
    <w:p>
      <w:pPr>
        <w:jc w:val="both"/>
        <w:spacing w:after="0" w:line="247" w:lineRule="exact"/>
        <w:rPr>
          <w:sz w:val="20"/>
          <w:szCs w:val="20"/>
          <w:color w:val="auto"/>
        </w:rPr>
      </w:pPr>
      <w:r>
        <w:rPr>
          <w:rFonts w:ascii="Times New Roman" w:cs="Times New Roman" w:eastAsia="Times New Roman" w:hAnsi="Times New Roman"/>
          <w:sz w:val="20"/>
          <w:szCs w:val="20"/>
          <w:color w:val="auto"/>
        </w:rPr>
        <w:t>Noninterest expense increased to $8.7 million in the first quarter of 2026 from $8.4 million in the prior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year quarter, driven primarily by higher salaries and benefits. The increase in salaries and benefits reflected general salary increases, strategic additions of senior, key personnel across the organization, as well as higher payroll taxes and stock-based compensation. Data processing expense also increased due to higher technology, data, and ATM</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related maintenance costs. These increases were partially offset by a modest reduction in building and occupancy costs and lower other expenses.</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For the first quarter of 2026, annualized noninterest expense represented 2.48% of average assets in the first quarter of 2026, compared to 2.33% in the year-ago period. The efficiency ratio was 75.65%, for the first quarter of 2026, compared to 67.19% in the year-ago period. The efficiency ratio, which is not a financial metric under GAAP, is a measure that the Company believes is helpful to understanding its level of non-interest expense as a percentage of total revenue.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Interest Income</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Net interest income is the Company's primary source of operating income for payment of operating expenses and providing for credit losses. It is the amount by which interest earned on loans, interest-earning deposits, and investment securities, exceeds the interest paid on deposits and other interest-bearing liabilities. Changes in net interest income and NIM result from the interaction between the volume and composition of interest-earning assets, interest-bearing liabilities, related yields, and associated funding costs.</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following table sets forth information concerning average interest-earning assets and interest-bearing liabilities and the average yields and rates thereon for the periods indicated. Interest income and resultant yield information in the table has not been adjusted for tax equivalency. Averages are computed on the daily average balance for each month in the period divided by the number of days in the period. Nonaccrual loans have been included in interest-earning assets for purposes of these calculations.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jc w:val="center"/>
              <w:ind w:left="479"/>
              <w:spacing w:after="0"/>
              <w:rPr>
                <w:sz w:val="20"/>
                <w:szCs w:val="20"/>
                <w:color w:val="auto"/>
              </w:rPr>
            </w:pPr>
            <w:r>
              <w:rPr>
                <w:rFonts w:ascii="Times New Roman" w:cs="Times New Roman" w:eastAsia="Times New Roman" w:hAnsi="Times New Roman"/>
                <w:sz w:val="16"/>
                <w:szCs w:val="16"/>
                <w:color w:val="auto"/>
              </w:rPr>
              <w:t>For the three months ended March 31,</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2026</w:t>
            </w:r>
          </w:p>
        </w:tc>
        <w:tc>
          <w:tcPr>
            <w:tcW w:w="1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2025</w:t>
            </w: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7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5"/>
                <w:szCs w:val="15"/>
                <w:color w:val="auto"/>
              </w:rPr>
            </w:pPr>
          </w:p>
        </w:tc>
        <w:tc>
          <w:tcPr>
            <w:tcW w:w="100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Average</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tcPr>
          <w:p>
            <w:pPr>
              <w:jc w:val="right"/>
              <w:ind w:right="199"/>
              <w:spacing w:after="0" w:line="182" w:lineRule="exact"/>
              <w:rPr>
                <w:sz w:val="20"/>
                <w:szCs w:val="20"/>
                <w:color w:val="auto"/>
              </w:rPr>
            </w:pPr>
            <w:r>
              <w:rPr>
                <w:rFonts w:ascii="Times New Roman" w:cs="Times New Roman" w:eastAsia="Times New Roman" w:hAnsi="Times New Roman"/>
                <w:sz w:val="16"/>
                <w:szCs w:val="16"/>
                <w:color w:val="auto"/>
              </w:rPr>
              <w:t>Average Yield /</w:t>
            </w:r>
          </w:p>
        </w:tc>
        <w:tc>
          <w:tcPr>
            <w:tcW w:w="200" w:type="dxa"/>
            <w:vAlign w:val="bottom"/>
          </w:tcPr>
          <w:p>
            <w:pPr>
              <w:spacing w:after="0"/>
              <w:rPr>
                <w:sz w:val="15"/>
                <w:szCs w:val="15"/>
                <w:color w:val="auto"/>
              </w:rPr>
            </w:pPr>
          </w:p>
        </w:tc>
        <w:tc>
          <w:tcPr>
            <w:tcW w:w="90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Average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2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Average Yield /</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Balance</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Interest</w:t>
            </w:r>
          </w:p>
        </w:tc>
        <w:tc>
          <w:tcPr>
            <w:tcW w:w="1480" w:type="dxa"/>
            <w:vAlign w:val="bottom"/>
            <w:tcBorders>
              <w:bottom w:val="single" w:sz="8" w:color="auto"/>
            </w:tcBorders>
          </w:tcPr>
          <w:p>
            <w:pPr>
              <w:jc w:val="center"/>
              <w:ind w:left="539"/>
              <w:spacing w:after="0"/>
              <w:rPr>
                <w:sz w:val="20"/>
                <w:szCs w:val="20"/>
                <w:color w:val="auto"/>
              </w:rPr>
            </w:pPr>
            <w:r>
              <w:rPr>
                <w:rFonts w:ascii="Times New Roman" w:cs="Times New Roman" w:eastAsia="Times New Roman" w:hAnsi="Times New Roman"/>
                <w:sz w:val="16"/>
                <w:szCs w:val="16"/>
                <w:color w:val="auto"/>
              </w:rPr>
              <w:t>Cost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Balance</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Interest</w:t>
            </w:r>
          </w:p>
        </w:tc>
        <w:tc>
          <w:tcPr>
            <w:tcW w:w="1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Cost</w:t>
            </w:r>
          </w:p>
        </w:tc>
        <w:tc>
          <w:tcPr>
            <w:tcW w:w="0" w:type="dxa"/>
            <w:vAlign w:val="bottom"/>
          </w:tcPr>
          <w:p>
            <w:pPr>
              <w:spacing w:after="0"/>
              <w:rPr>
                <w:sz w:val="1"/>
                <w:szCs w:val="1"/>
                <w:color w:val="auto"/>
              </w:rPr>
            </w:pPr>
          </w:p>
        </w:tc>
      </w:tr>
      <w:tr>
        <w:trPr>
          <w:trHeight w:val="19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Loans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902,143</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12,357</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5.48%</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916,207</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13,672</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377,210</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4,648</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4.93%</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416,558</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5,278</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03"/>
        </w:trPr>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Tax-exempt investment securities</w:t>
            </w:r>
          </w:p>
        </w:tc>
        <w:tc>
          <w:tcPr>
            <w:tcW w:w="26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33,472</w:t>
            </w:r>
          </w:p>
        </w:tc>
        <w:tc>
          <w:tcPr>
            <w:tcW w:w="32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335</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4.00%</w:t>
            </w:r>
          </w:p>
        </w:tc>
        <w:tc>
          <w:tcPr>
            <w:tcW w:w="20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34,475</w:t>
            </w:r>
          </w:p>
        </w:tc>
        <w:tc>
          <w:tcPr>
            <w:tcW w:w="28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402</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03"/>
        </w:trPr>
        <w:tc>
          <w:tcPr>
            <w:tcW w:w="37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Fed funds sold and interest-earning deposits</w:t>
            </w: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21,143</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162</w:t>
            </w: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3.06%</w:t>
            </w: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12,939</w:t>
            </w:r>
          </w:p>
        </w:tc>
        <w:tc>
          <w:tcPr>
            <w:tcW w:w="2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89</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1,333,968</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17,502</w:t>
            </w: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5.25%</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1,380,179</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19,441</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0" w:type="dxa"/>
            <w:vAlign w:val="bottom"/>
          </w:tcPr>
          <w:p>
            <w:pPr>
              <w:spacing w:after="0"/>
              <w:rPr>
                <w:sz w:val="1"/>
                <w:szCs w:val="1"/>
                <w:color w:val="auto"/>
              </w:rPr>
            </w:pPr>
          </w:p>
        </w:tc>
      </w:tr>
      <w:tr>
        <w:trPr>
          <w:trHeight w:val="19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Noninterest-earning assets: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120,516</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114,882</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(29,436)</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(17,413)</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unrealized losses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on available-for-sale securities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(5,559)</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(9,947)</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7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1,419,489</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1,467,701</w:t>
            </w:r>
          </w:p>
        </w:tc>
        <w:tc>
          <w:tcPr>
            <w:tcW w:w="2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NOW accounts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125,250</w:t>
            </w:r>
          </w:p>
        </w:tc>
        <w:tc>
          <w:tcPr>
            <w:tcW w:w="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296</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0.95%</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111,643</w:t>
            </w: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298</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3"/>
        </w:trPr>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Money management accounts</w:t>
            </w:r>
          </w:p>
        </w:tc>
        <w:tc>
          <w:tcPr>
            <w:tcW w:w="26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9,110</w:t>
            </w:r>
          </w:p>
        </w:tc>
        <w:tc>
          <w:tcPr>
            <w:tcW w:w="32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0.09%</w:t>
            </w:r>
          </w:p>
        </w:tc>
        <w:tc>
          <w:tcPr>
            <w:tcW w:w="20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10,906</w:t>
            </w:r>
          </w:p>
        </w:tc>
        <w:tc>
          <w:tcPr>
            <w:tcW w:w="28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MMDA accounts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298,555</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1,976</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2.65%</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256,186</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1,960</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03"/>
        </w:trPr>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Savings and club accounts</w:t>
            </w:r>
          </w:p>
        </w:tc>
        <w:tc>
          <w:tcPr>
            <w:tcW w:w="26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125,276</w:t>
            </w:r>
          </w:p>
        </w:tc>
        <w:tc>
          <w:tcPr>
            <w:tcW w:w="32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70</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0.22%</w:t>
            </w:r>
          </w:p>
        </w:tc>
        <w:tc>
          <w:tcPr>
            <w:tcW w:w="20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129,769</w:t>
            </w:r>
          </w:p>
        </w:tc>
        <w:tc>
          <w:tcPr>
            <w:tcW w:w="28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81</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Time deposits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441,341</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3,789</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3.43%</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498,963</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4,603</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03"/>
        </w:trPr>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Subordinated debt</w:t>
            </w:r>
          </w:p>
        </w:tc>
        <w:tc>
          <w:tcPr>
            <w:tcW w:w="26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30,155</w:t>
            </w:r>
          </w:p>
        </w:tc>
        <w:tc>
          <w:tcPr>
            <w:tcW w:w="32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649</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8.61%</w:t>
            </w:r>
          </w:p>
        </w:tc>
        <w:tc>
          <w:tcPr>
            <w:tcW w:w="20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30,123</w:t>
            </w:r>
          </w:p>
        </w:tc>
        <w:tc>
          <w:tcPr>
            <w:tcW w:w="28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475</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03"/>
        </w:trPr>
        <w:tc>
          <w:tcPr>
            <w:tcW w:w="37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Borrowings</w:t>
            </w: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39,982</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380</w:t>
            </w: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3.80%</w:t>
            </w: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70,575</w:t>
            </w:r>
          </w:p>
        </w:tc>
        <w:tc>
          <w:tcPr>
            <w:tcW w:w="2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610</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1,069,669</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7,162</w:t>
            </w: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2.68%</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1,108,165</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8,030</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19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Noninterest-bearing liabilities: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Demand deposits</w:t>
            </w:r>
          </w:p>
        </w:tc>
        <w:tc>
          <w:tcPr>
            <w:tcW w:w="26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193,992</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206,137</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31,817</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29,961</w:t>
            </w:r>
          </w:p>
        </w:tc>
        <w:tc>
          <w:tcPr>
            <w:tcW w:w="2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1,295,478</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1,344,263</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124,011</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123,438</w:t>
            </w:r>
          </w:p>
        </w:tc>
        <w:tc>
          <w:tcPr>
            <w:tcW w:w="2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Total liabilities &amp; shareholders' equity</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1,419,489</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1,467,701</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interest income</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10,340</w:t>
            </w:r>
          </w:p>
        </w:tc>
        <w:tc>
          <w:tcPr>
            <w:tcW w:w="14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11,411</w:t>
            </w:r>
          </w:p>
        </w:tc>
        <w:tc>
          <w:tcPr>
            <w:tcW w:w="13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Net interest rate spread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03"/>
        </w:trPr>
        <w:tc>
          <w:tcPr>
            <w:tcW w:w="37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interest margin</w:t>
            </w: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3.10%</w:t>
            </w: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182"/>
        </w:trPr>
        <w:tc>
          <w:tcPr>
            <w:tcW w:w="37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Ratio of average interest-earning assets</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to average interest-bearing liabilities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124.71%</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46" w:name="page47"/>
    <w:bookmarkEnd w:id="46"/>
    <w:p>
      <w:pPr>
        <w:jc w:val="both"/>
        <w:spacing w:after="0" w:line="249" w:lineRule="auto"/>
        <w:rPr>
          <w:sz w:val="20"/>
          <w:szCs w:val="20"/>
          <w:color w:val="auto"/>
        </w:rPr>
      </w:pPr>
      <w:r>
        <w:rPr>
          <w:rFonts w:ascii="Times New Roman" w:cs="Times New Roman" w:eastAsia="Times New Roman" w:hAnsi="Times New Roman"/>
          <w:sz w:val="20"/>
          <w:szCs w:val="20"/>
          <w:color w:val="auto"/>
        </w:rPr>
        <w:t>Net interest income was $10.3 million for the first quarter of 2026, down $1.1 million, or 9.4% from $11.4 million from year-ago period. NIM decreased 21 basis points to 3.10% from 3.31% for the three months ending March 31, 2026 and 2025, respectively. Approximately 10 basis points of NIM in the year-ago period reflected 2024 interest recovered from loans removed from nonaccrual status and income from prepayment fees in the first quarter of 2025.</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Interest and dividend income decreased $1.9 million in the first quarter of 2026, which reflects approximately $347,000 of first quarter 2025 net interest income reflected 2024 interest recovered from loans removed from nonaccrual status and income from prepayment fees. The remaining decrease was driven by maturities and payoffs of higher-yielding loans, new originations at lower rates, and elevated nonperforming loans for which specific reserves were established as appropriate prior to the first quarter of 2026. Total average interest-earnings assets declined $46.2 million, to $1.33 billion at March 31, 2026 compared to $1.38 billion one year-ago, driven primarily by lower investment securities balances of $40.4 million which the Company views as temporary.</w:t>
      </w:r>
    </w:p>
    <w:p>
      <w:pPr>
        <w:spacing w:after="0" w:line="1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Total interest expense decreased $868,000 to $7.2 million from $8.0 million for the three months ended March 31, 2026 and 2025 respectively. The decrease was primarily attributed to a 22 basis point decline in the average cost of total interest-bearing liabilities, which includes a reduction of 31 basis points in the average cost of interest-bearing deposits that was partially offset by an increase of 34 basis points in the average cost of borrowings, as well as an increase of 230 basis points in the average cost of subordinated loans that reset from fixed-rate to floating-rate interest after October 15, 2025. Total average interest-bearing liabilities decreased by $38.5 million from the same period one year-ago. This decrease reflects lower average balances of $57.6 million of time deposits and $30.6 million of borrowings, offset by higher average balances of $42.4 million of MMDA deposits.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color w:val="auto"/>
        </w:rPr>
        <w:t>Rate/Volume Analysis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Net interest income can also be analyzed in terms of the impact of changing interest rates on interest-earning assets and interest-bearing liabilities and changes in the volume or amount of these assets and liabilities. The following table represents the extent to which changes in interest rates and changes in the volume of interest-earning assets and interest-bearing liabilities have affected the Company’s interest income and interest expense during the periods indicated. Information is provided in each category with respect to: (i) changes attributable to changes in volume (change in volume multiplied by prior rate); (ii) changes attributable to changes in rate (changes in rate multiplied by prior volume); and (iii) total increase or decrease. Changes attributable to both rate and volume have been allocated ratably. Tax-exempt securities have not been adjusted for tax equivalency.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0" w:type="dxa"/>
            <w:vAlign w:val="bottom"/>
            <w:gridSpan w:val="4"/>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160" w:type="dxa"/>
            <w:vAlign w:val="bottom"/>
          </w:tcPr>
          <w:p>
            <w:pPr>
              <w:spacing w:after="0"/>
              <w:rPr>
                <w:sz w:val="17"/>
                <w:szCs w:val="17"/>
                <w:color w:val="auto"/>
              </w:rPr>
            </w:pPr>
          </w:p>
        </w:tc>
      </w:tr>
      <w:tr>
        <w:trPr>
          <w:trHeight w:val="203"/>
        </w:trPr>
        <w:tc>
          <w:tcPr>
            <w:tcW w:w="6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2026 vs. 2025</w:t>
            </w: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5"/>
        </w:trPr>
        <w:tc>
          <w:tcPr>
            <w:tcW w:w="6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Increase/(Decrease) Due to</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83"/>
        </w:trPr>
        <w:tc>
          <w:tcPr>
            <w:tcW w:w="6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3"/>
        </w:trPr>
        <w:tc>
          <w:tcPr>
            <w:tcW w:w="6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215"/>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Rate</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(Decrease)</w:t>
            </w:r>
          </w:p>
        </w:tc>
      </w:tr>
      <w:tr>
        <w:trPr>
          <w:trHeight w:val="19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4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03"/>
        </w:trPr>
        <w:tc>
          <w:tcPr>
            <w:tcW w:w="6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Loans</w:t>
            </w:r>
          </w:p>
        </w:tc>
        <w:tc>
          <w:tcPr>
            <w:tcW w:w="4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(1,108)</w:t>
            </w:r>
          </w:p>
        </w:tc>
        <w:tc>
          <w:tcPr>
            <w:tcW w:w="4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w:t>
            </w:r>
          </w:p>
        </w:tc>
      </w:tr>
      <w:tr>
        <w:trPr>
          <w:trHeight w:val="203"/>
        </w:trPr>
        <w:tc>
          <w:tcPr>
            <w:tcW w:w="6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4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4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(142)</w:t>
            </w: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w:t>
            </w:r>
          </w:p>
        </w:tc>
      </w:tr>
      <w:tr>
        <w:trPr>
          <w:trHeight w:val="203"/>
        </w:trPr>
        <w:tc>
          <w:tcPr>
            <w:tcW w:w="6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Tax-exempt investment securities</w:t>
            </w: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20" w:type="dxa"/>
            <w:vAlign w:val="bottom"/>
          </w:tcPr>
          <w:p>
            <w:pPr>
              <w:spacing w:after="0"/>
              <w:rPr>
                <w:sz w:val="17"/>
                <w:szCs w:val="17"/>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4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03"/>
        </w:trPr>
        <w:tc>
          <w:tcPr>
            <w:tcW w:w="62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Interest-earning deposits</w:t>
            </w:r>
          </w:p>
        </w:tc>
        <w:tc>
          <w:tcPr>
            <w:tcW w:w="4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c>
          <w:tcPr>
            <w:tcW w:w="4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11</w:t>
            </w:r>
          </w:p>
        </w:tc>
        <w:tc>
          <w:tcPr>
            <w:tcW w:w="4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r>
      <w:tr>
        <w:trPr>
          <w:trHeight w:val="196"/>
        </w:trPr>
        <w:tc>
          <w:tcPr>
            <w:tcW w:w="6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Total interest income</w:t>
            </w: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(1,295)</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(1,939)</w:t>
            </w:r>
          </w:p>
        </w:tc>
      </w:tr>
      <w:tr>
        <w:trPr>
          <w:trHeight w:val="19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4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03"/>
        </w:trPr>
        <w:tc>
          <w:tcPr>
            <w:tcW w:w="6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NOW accounts</w:t>
            </w:r>
          </w:p>
        </w:tc>
        <w:tc>
          <w:tcPr>
            <w:tcW w:w="48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c>
          <w:tcPr>
            <w:tcW w:w="420" w:type="dxa"/>
            <w:vAlign w:val="bottom"/>
          </w:tcPr>
          <w:p>
            <w:pPr>
              <w:spacing w:after="0"/>
              <w:rPr>
                <w:sz w:val="17"/>
                <w:szCs w:val="17"/>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4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6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Money management accounts</w:t>
            </w:r>
          </w:p>
        </w:tc>
        <w:tc>
          <w:tcPr>
            <w:tcW w:w="4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6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MMDA accounts</w:t>
            </w:r>
          </w:p>
        </w:tc>
        <w:tc>
          <w:tcPr>
            <w:tcW w:w="48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300</w:t>
            </w:r>
          </w:p>
        </w:tc>
        <w:tc>
          <w:tcPr>
            <w:tcW w:w="420" w:type="dxa"/>
            <w:vAlign w:val="bottom"/>
          </w:tcPr>
          <w:p>
            <w:pPr>
              <w:spacing w:after="0"/>
              <w:rPr>
                <w:sz w:val="17"/>
                <w:szCs w:val="17"/>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(284)</w:t>
            </w:r>
          </w:p>
        </w:tc>
        <w:tc>
          <w:tcPr>
            <w:tcW w:w="4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6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Savings and club accounts</w:t>
            </w:r>
          </w:p>
        </w:tc>
        <w:tc>
          <w:tcPr>
            <w:tcW w:w="4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6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Time deposits</w:t>
            </w: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420" w:type="dxa"/>
            <w:vAlign w:val="bottom"/>
          </w:tcPr>
          <w:p>
            <w:pPr>
              <w:spacing w:after="0"/>
              <w:rPr>
                <w:sz w:val="17"/>
                <w:szCs w:val="17"/>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(305)</w:t>
            </w:r>
          </w:p>
        </w:tc>
        <w:tc>
          <w:tcPr>
            <w:tcW w:w="4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r>
      <w:tr>
        <w:trPr>
          <w:trHeight w:val="203"/>
        </w:trPr>
        <w:tc>
          <w:tcPr>
            <w:tcW w:w="6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Subordinated debt</w:t>
            </w:r>
          </w:p>
        </w:tc>
        <w:tc>
          <w:tcPr>
            <w:tcW w:w="4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4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173</w:t>
            </w: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174</w:t>
            </w:r>
          </w:p>
        </w:tc>
      </w:tr>
      <w:tr>
        <w:trPr>
          <w:trHeight w:val="203"/>
        </w:trPr>
        <w:tc>
          <w:tcPr>
            <w:tcW w:w="6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Borrowings</w:t>
            </w: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56</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196"/>
        </w:trPr>
        <w:tc>
          <w:tcPr>
            <w:tcW w:w="62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interest expense</w:t>
            </w:r>
          </w:p>
        </w:tc>
        <w:tc>
          <w:tcPr>
            <w:tcW w:w="4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4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(405)</w:t>
            </w:r>
          </w:p>
        </w:tc>
        <w:tc>
          <w:tcPr>
            <w:tcW w:w="4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(868)</w:t>
            </w:r>
          </w:p>
        </w:tc>
      </w:tr>
      <w:tr>
        <w:trPr>
          <w:trHeight w:val="196"/>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change in net interest income</w:t>
            </w:r>
          </w:p>
        </w:tc>
        <w:tc>
          <w:tcPr>
            <w:tcW w:w="4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(890)</w:t>
            </w:r>
          </w:p>
        </w:tc>
        <w:tc>
          <w:tcPr>
            <w:tcW w:w="4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color w:val="auto"/>
        </w:rPr>
        <w:t>Deposits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deposit base is drawn from eleven full-service branches and one motor bank in its market area. The deposit base consists of demand deposits, money management and money market deposit accounts, savings, and time deposits. Total deposits increased by $27.9 million, or 2.4% from December 31, 2025. The increase in deposits during the three months ended March 31, 2026, reflects growth in MMDA deposits and both interest- and noninterest-bearing demand deposits, partially offset by runoff of higher-cost time deposits.</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At March 31, 2026, 82.0% of the Company's deposit base of $1.21 billion consisted of core deposits. Core deposits, which exclude brokered deposits and certificates of deposit of $250,000 or more, are considered to be more stable and generally provide the Company with a lower cost of funds than time deposits of $250,000 or more. The Company will continue to emphasize retail and business core deposits in the future by providing depositors with a full range of deposit product offerings and will maintain its recent focus on deposit gathering within the Syracuse market.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deposits by category at March 31, 2026 and December 31, 2025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March 31, 2026</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December 2025</w:t>
            </w:r>
          </w:p>
        </w:tc>
      </w:tr>
      <w:tr>
        <w:trPr>
          <w:trHeight w:val="19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Savings accounts</w:t>
            </w:r>
          </w:p>
        </w:tc>
        <w:tc>
          <w:tcPr>
            <w:tcW w:w="29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127,044</w:t>
            </w:r>
          </w:p>
        </w:tc>
        <w:tc>
          <w:tcPr>
            <w:tcW w:w="4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122,718</w:t>
            </w: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Time accounts</w:t>
            </w:r>
          </w:p>
        </w:tc>
        <w:tc>
          <w:tcPr>
            <w:tcW w:w="298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283,693</w:t>
            </w:r>
          </w:p>
        </w:tc>
        <w:tc>
          <w:tcPr>
            <w:tcW w:w="44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317,201</w:t>
            </w:r>
          </w:p>
        </w:tc>
      </w:tr>
      <w:tr>
        <w:trPr>
          <w:trHeight w:val="20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accounts in excess of $250,000</w:t>
            </w:r>
          </w:p>
        </w:tc>
        <w:tc>
          <w:tcPr>
            <w:tcW w:w="29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130,857</w:t>
            </w: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134,779</w:t>
            </w: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Money management accounts</w:t>
            </w:r>
          </w:p>
        </w:tc>
        <w:tc>
          <w:tcPr>
            <w:tcW w:w="298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8,483</w:t>
            </w:r>
          </w:p>
        </w:tc>
        <w:tc>
          <w:tcPr>
            <w:tcW w:w="44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9,539</w:t>
            </w:r>
          </w:p>
        </w:tc>
      </w:tr>
      <w:tr>
        <w:trPr>
          <w:trHeight w:val="20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MMDA accounts</w:t>
            </w:r>
          </w:p>
        </w:tc>
        <w:tc>
          <w:tcPr>
            <w:tcW w:w="29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315,982</w:t>
            </w: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285,564</w:t>
            </w: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Demand deposit interest-bearing</w:t>
            </w:r>
          </w:p>
        </w:tc>
        <w:tc>
          <w:tcPr>
            <w:tcW w:w="298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134,399</w:t>
            </w:r>
          </w:p>
        </w:tc>
        <w:tc>
          <w:tcPr>
            <w:tcW w:w="44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110,702</w:t>
            </w:r>
          </w:p>
        </w:tc>
      </w:tr>
      <w:tr>
        <w:trPr>
          <w:trHeight w:val="20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Demand deposit noninterest-bearing</w:t>
            </w:r>
          </w:p>
        </w:tc>
        <w:tc>
          <w:tcPr>
            <w:tcW w:w="29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206,635</w:t>
            </w: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196,377</w:t>
            </w:r>
          </w:p>
        </w:tc>
      </w:tr>
      <w:tr>
        <w:trPr>
          <w:trHeight w:val="203"/>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Mortgage escrow funds</w:t>
            </w:r>
          </w:p>
        </w:tc>
        <w:tc>
          <w:tcPr>
            <w:tcW w:w="29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4,634</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6,968</w:t>
            </w:r>
          </w:p>
        </w:tc>
      </w:tr>
      <w:tr>
        <w:trPr>
          <w:trHeight w:val="236"/>
        </w:trPr>
        <w:tc>
          <w:tcPr>
            <w:tcW w:w="50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Deposits</w:t>
            </w:r>
          </w:p>
        </w:tc>
        <w:tc>
          <w:tcPr>
            <w:tcW w:w="298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1,211,727</w:t>
            </w:r>
          </w:p>
        </w:tc>
        <w:tc>
          <w:tcPr>
            <w:tcW w:w="4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1,183,848</w:t>
            </w:r>
          </w:p>
        </w:tc>
      </w:tr>
    </w:tbl>
    <w:p>
      <w:pPr>
        <w:spacing w:after="0" w:line="19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 addition to deposits obtained from its business operations within its target market areas, the Bank also obtains brokered deposits through various programs administered by IntraFi Network and through other unaffiliated third-party financial institutions.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our nonbrokered and brokered deposit activities at the dates indicated: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March 31, 2026</w:t>
            </w:r>
          </w:p>
        </w:tc>
        <w:tc>
          <w:tcPr>
            <w:tcW w:w="4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December 31, 2025</w:t>
            </w:r>
          </w:p>
        </w:tc>
        <w:tc>
          <w:tcPr>
            <w:tcW w:w="4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r>
      <w:tr>
        <w:trPr>
          <w:trHeight w:val="196"/>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Nonbrokered</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Brokered</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Nonbrokered</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Brokered</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Total</w:t>
            </w:r>
          </w:p>
        </w:tc>
      </w:tr>
      <w:tr>
        <w:trPr>
          <w:trHeight w:val="196"/>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Savings accounts</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127,044</w:t>
            </w:r>
          </w:p>
        </w:tc>
        <w:tc>
          <w:tcPr>
            <w:tcW w:w="4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127,044</w:t>
            </w:r>
          </w:p>
        </w:tc>
        <w:tc>
          <w:tcPr>
            <w:tcW w:w="4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122,718</w:t>
            </w:r>
          </w:p>
        </w:tc>
        <w:tc>
          <w:tcPr>
            <w:tcW w:w="5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122,718</w:t>
            </w: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Time accounts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204,568</w:t>
            </w:r>
          </w:p>
        </w:tc>
        <w:tc>
          <w:tcPr>
            <w:tcW w:w="46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79,125</w:t>
            </w:r>
          </w:p>
        </w:tc>
        <w:tc>
          <w:tcPr>
            <w:tcW w:w="4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283,693</w:t>
            </w: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220,288</w:t>
            </w:r>
          </w:p>
        </w:tc>
        <w:tc>
          <w:tcPr>
            <w:tcW w:w="5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96,913</w:t>
            </w:r>
          </w:p>
        </w:tc>
        <w:tc>
          <w:tcPr>
            <w:tcW w:w="40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317,201</w:t>
            </w:r>
          </w:p>
        </w:tc>
      </w:tr>
      <w:tr>
        <w:trPr>
          <w:trHeight w:val="203"/>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accounts of $250,000 or more</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130,857</w:t>
            </w:r>
          </w:p>
        </w:tc>
        <w:tc>
          <w:tcPr>
            <w:tcW w:w="46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130,857</w:t>
            </w:r>
          </w:p>
        </w:tc>
        <w:tc>
          <w:tcPr>
            <w:tcW w:w="4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134,779</w:t>
            </w: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134,779</w:t>
            </w: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Money management accounts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8,483</w:t>
            </w:r>
          </w:p>
        </w:tc>
        <w:tc>
          <w:tcPr>
            <w:tcW w:w="46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8,483</w:t>
            </w: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9,539</w:t>
            </w:r>
          </w:p>
        </w:tc>
        <w:tc>
          <w:tcPr>
            <w:tcW w:w="5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9,539</w:t>
            </w:r>
          </w:p>
        </w:tc>
      </w:tr>
      <w:tr>
        <w:trPr>
          <w:trHeight w:val="203"/>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MMDA accounts</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315,982</w:t>
            </w:r>
          </w:p>
        </w:tc>
        <w:tc>
          <w:tcPr>
            <w:tcW w:w="46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315,982</w:t>
            </w:r>
          </w:p>
        </w:tc>
        <w:tc>
          <w:tcPr>
            <w:tcW w:w="4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285,564</w:t>
            </w: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285,564</w:t>
            </w: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Demand deposit interest-bearing</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126,399</w:t>
            </w:r>
          </w:p>
        </w:tc>
        <w:tc>
          <w:tcPr>
            <w:tcW w:w="46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8,000</w:t>
            </w:r>
          </w:p>
        </w:tc>
        <w:tc>
          <w:tcPr>
            <w:tcW w:w="4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134,399</w:t>
            </w: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105,702</w:t>
            </w:r>
          </w:p>
        </w:tc>
        <w:tc>
          <w:tcPr>
            <w:tcW w:w="5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c>
          <w:tcPr>
            <w:tcW w:w="40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110,702</w:t>
            </w:r>
          </w:p>
        </w:tc>
      </w:tr>
      <w:tr>
        <w:trPr>
          <w:trHeight w:val="203"/>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Demand deposit noninterest-bearing</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206,635</w:t>
            </w:r>
          </w:p>
        </w:tc>
        <w:tc>
          <w:tcPr>
            <w:tcW w:w="46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206,635</w:t>
            </w:r>
          </w:p>
        </w:tc>
        <w:tc>
          <w:tcPr>
            <w:tcW w:w="4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196,377</w:t>
            </w: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196,377</w:t>
            </w:r>
          </w:p>
        </w:tc>
      </w:tr>
      <w:tr>
        <w:trPr>
          <w:trHeight w:val="203"/>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Mortgage escrow funds</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4,634</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4,634</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6,968</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6,968</w:t>
            </w:r>
          </w:p>
        </w:tc>
      </w:tr>
      <w:tr>
        <w:trPr>
          <w:trHeight w:val="236"/>
        </w:trPr>
        <w:tc>
          <w:tcPr>
            <w:tcW w:w="270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Total Deposits</w:t>
            </w: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1,124,602</w:t>
            </w:r>
          </w:p>
        </w:tc>
        <w:tc>
          <w:tcPr>
            <w:tcW w:w="46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87,125</w:t>
            </w:r>
          </w:p>
        </w:tc>
        <w:tc>
          <w:tcPr>
            <w:tcW w:w="4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1,211,727</w:t>
            </w:r>
          </w:p>
        </w:tc>
        <w:tc>
          <w:tcPr>
            <w:tcW w:w="4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1,081,935</w:t>
            </w:r>
          </w:p>
        </w:tc>
        <w:tc>
          <w:tcPr>
            <w:tcW w:w="5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101,913</w:t>
            </w:r>
          </w:p>
        </w:tc>
        <w:tc>
          <w:tcPr>
            <w:tcW w:w="4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1,183,848</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auto"/>
        </w:rPr>
        <w:t>Provision for Credit Losses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establish a provision for credit losses, which is charged to operations, at a level management believes is appropriate to absorb lifetime credit losses in the loan portfolio. In evaluating the level of the allowance for credit losses, management considers historical loss experience, the types of loans and the amount of loans in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or as future events change. The provision for credit losses represents management’s estimate of the amount necessary to maintain the allowance for credit losses at an adequate level.</w:t>
      </w:r>
    </w:p>
    <w:p>
      <w:pPr>
        <w:spacing w:after="0" w:line="1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Provision for credit losses was a benefit of $168,000 for the three month period ended March 31, 2026, as compared to a $457,000 provision for credit losses expense for the three month period ended March 31, 2025. The provisioning in the first quarter of 2026 and 2025 reflects management’s determination of the appropriate level of additions to reserves, the composition of the loan portfolio, changes in quantifiable econometric data statistically correlated to historical charge-off rates, subjective qualitative assessments of changes in a broad array of factors including changes to underwriting criteria, loan staffing and local market conditions, and changes in the levels of delinquent and nonaccrual loans. The $625,000 decrease in provision for credit losses in the first quarter of 2026, as compared to the same period in 2025, was primarily attributed to lower net charge offs and overall credit performance that resulted in a small reserve release in the first three months of this year. The Bank's credit sensitive portfolios continue to be carefully monitored, and the Bank will consistently apply its loan classification and reserve building methodologies to the analysis of these portfolios. Please refer to the asset quality section below for a further discussion of asset quality as it relates to the allowance for credit losses.</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measures delinquency based on the amount of past due loans (defined as loans equal to or greater than 30 days past due) as a percentage of total loans. The ratio of delinquent loans to total loans was 5.4% and 5.9% at March 31, 2026, and December 31, 2025, respectively. Delinquent loans (numerator) decreased $4.9 million from December 31, 2025 to March 31, 2026. Total loan balances (denominator) decreased $1.5 million from December 31, 2025 to March 31, 2026. The decrease in delinquent loans from December 31, 2025 to March 31, 2026 was driven by loans delinquent 30-59 days and loans delinquent 60-89 days, which decreased by $7.4 million and $8.1 million, respectively, partially offset by an increase of $10.6 million in loans delinquent 90 days and over.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Noninterest Income</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Company's noninterest income is primarily comprised of fees on deposit account balances and transactions, loan servicing, commissions, and net gains on sales of securities, loans, and foreclosed real estate.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certain information on noninterest income for the periods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0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99"/>
              <w:spacing w:after="0" w:line="182" w:lineRule="exact"/>
              <w:rPr>
                <w:sz w:val="20"/>
                <w:szCs w:val="20"/>
                <w:color w:val="auto"/>
              </w:rPr>
            </w:pPr>
            <w:r>
              <w:rPr>
                <w:rFonts w:ascii="Times New Roman" w:cs="Times New Roman" w:eastAsia="Times New Roman" w:hAnsi="Times New Roman"/>
                <w:sz w:val="16"/>
                <w:szCs w:val="16"/>
                <w:color w:val="auto"/>
              </w:rPr>
              <w:t>March 31,</w:t>
            </w:r>
          </w:p>
        </w:tc>
        <w:tc>
          <w:tcPr>
            <w:tcW w:w="260" w:type="dxa"/>
            <w:vAlign w:val="bottom"/>
          </w:tcPr>
          <w:p>
            <w:pPr>
              <w:spacing w:after="0"/>
              <w:rPr>
                <w:sz w:val="15"/>
                <w:szCs w:val="15"/>
                <w:color w:val="auto"/>
              </w:rPr>
            </w:pPr>
          </w:p>
        </w:tc>
        <w:tc>
          <w:tcPr>
            <w:tcW w:w="960" w:type="dxa"/>
            <w:vAlign w:val="bottom"/>
          </w:tcPr>
          <w:p>
            <w:pPr>
              <w:ind w:left="100"/>
              <w:spacing w:after="0" w:line="182" w:lineRule="exact"/>
              <w:rPr>
                <w:sz w:val="20"/>
                <w:szCs w:val="20"/>
                <w:color w:val="auto"/>
              </w:rPr>
            </w:pPr>
            <w:r>
              <w:rPr>
                <w:rFonts w:ascii="Times New Roman" w:cs="Times New Roman" w:eastAsia="Times New Roman" w:hAnsi="Times New Roman"/>
                <w:sz w:val="16"/>
                <w:szCs w:val="16"/>
                <w:color w:val="auto"/>
              </w:rPr>
              <w:t>March 31,</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02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2025</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Change</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376</w:t>
            </w:r>
          </w:p>
        </w:tc>
        <w:tc>
          <w:tcPr>
            <w:tcW w:w="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374</w:t>
            </w:r>
          </w:p>
        </w:tc>
        <w:tc>
          <w:tcPr>
            <w:tcW w:w="4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rPr>
              <w:t>2</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Earnings and gain on bank owned life insurance</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256</w:t>
            </w:r>
          </w:p>
        </w:tc>
        <w:tc>
          <w:tcPr>
            <w:tcW w:w="26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162</w:t>
            </w:r>
          </w:p>
        </w:tc>
        <w:tc>
          <w:tcPr>
            <w:tcW w:w="420" w:type="dxa"/>
            <w:vAlign w:val="bottom"/>
          </w:tcPr>
          <w:p>
            <w:pPr>
              <w:spacing w:after="0"/>
              <w:rPr>
                <w:sz w:val="17"/>
                <w:szCs w:val="17"/>
                <w:color w:val="auto"/>
              </w:rPr>
            </w:pPr>
          </w:p>
        </w:tc>
        <w:tc>
          <w:tcPr>
            <w:tcW w:w="134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94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20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Loan servicing fees</w:t>
            </w: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89</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101</w:t>
            </w:r>
          </w:p>
        </w:tc>
        <w:tc>
          <w:tcPr>
            <w:tcW w:w="4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(12)</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Debit card interchange fees</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139</w:t>
            </w:r>
          </w:p>
        </w:tc>
        <w:tc>
          <w:tcPr>
            <w:tcW w:w="26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420" w:type="dxa"/>
            <w:vAlign w:val="bottom"/>
          </w:tcPr>
          <w:p>
            <w:pPr>
              <w:spacing w:after="0"/>
              <w:rPr>
                <w:sz w:val="17"/>
                <w:szCs w:val="17"/>
                <w:color w:val="auto"/>
              </w:rPr>
            </w:pPr>
          </w:p>
        </w:tc>
        <w:tc>
          <w:tcPr>
            <w:tcW w:w="134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138</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3"/>
        </w:trPr>
        <w:tc>
          <w:tcPr>
            <w:tcW w:w="50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charges, commissions and fees</w:t>
            </w:r>
          </w:p>
        </w:tc>
        <w:tc>
          <w:tcPr>
            <w:tcW w:w="13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213</w:t>
            </w: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284</w:t>
            </w:r>
          </w:p>
        </w:tc>
        <w:tc>
          <w:tcPr>
            <w:tcW w:w="4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(71)</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Noninterest income before gains and losses</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1,073</w:t>
            </w:r>
          </w:p>
        </w:tc>
        <w:tc>
          <w:tcPr>
            <w:tcW w:w="26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922</w:t>
            </w:r>
          </w:p>
        </w:tc>
        <w:tc>
          <w:tcPr>
            <w:tcW w:w="420" w:type="dxa"/>
            <w:vAlign w:val="bottom"/>
          </w:tcPr>
          <w:p>
            <w:pPr>
              <w:spacing w:after="0"/>
              <w:rPr>
                <w:sz w:val="17"/>
                <w:szCs w:val="17"/>
                <w:color w:val="auto"/>
              </w:rPr>
            </w:pPr>
          </w:p>
        </w:tc>
        <w:tc>
          <w:tcPr>
            <w:tcW w:w="134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151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0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Losses on sales and redemptions of investment securities</w:t>
            </w: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rPr>
              <w:t>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Gains on sales of loans and foreclosed real estate</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186</w:t>
            </w:r>
          </w:p>
        </w:tc>
        <w:tc>
          <w:tcPr>
            <w:tcW w:w="26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65</w:t>
            </w:r>
          </w:p>
        </w:tc>
        <w:tc>
          <w:tcPr>
            <w:tcW w:w="420" w:type="dxa"/>
            <w:vAlign w:val="bottom"/>
          </w:tcPr>
          <w:p>
            <w:pPr>
              <w:spacing w:after="0"/>
              <w:rPr>
                <w:sz w:val="17"/>
                <w:szCs w:val="17"/>
                <w:color w:val="auto"/>
              </w:rPr>
            </w:pPr>
          </w:p>
        </w:tc>
        <w:tc>
          <w:tcPr>
            <w:tcW w:w="134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121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w:t>
            </w:r>
          </w:p>
        </w:tc>
        <w:tc>
          <w:tcPr>
            <w:tcW w:w="0" w:type="dxa"/>
            <w:vAlign w:val="bottom"/>
          </w:tcPr>
          <w:p>
            <w:pPr>
              <w:spacing w:after="0"/>
              <w:rPr>
                <w:sz w:val="1"/>
                <w:szCs w:val="1"/>
                <w:color w:val="auto"/>
              </w:rPr>
            </w:pPr>
          </w:p>
        </w:tc>
      </w:tr>
      <w:tr>
        <w:trPr>
          <w:trHeight w:val="20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adjustment to loans held-for-sale</w:t>
            </w: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(203)</w:t>
            </w:r>
          </w:p>
        </w:tc>
        <w:tc>
          <w:tcPr>
            <w:tcW w:w="8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3"/>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unrealized gains on marketable equity securities</w:t>
            </w:r>
          </w:p>
        </w:tc>
        <w:tc>
          <w:tcPr>
            <w:tcW w:w="13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76</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218</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rPr>
              <w:t>(142)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0" w:type="dxa"/>
            <w:vAlign w:val="bottom"/>
          </w:tcPr>
          <w:p>
            <w:pPr>
              <w:spacing w:after="0"/>
              <w:rPr>
                <w:sz w:val="1"/>
                <w:szCs w:val="1"/>
                <w:color w:val="auto"/>
              </w:rPr>
            </w:pPr>
          </w:p>
        </w:tc>
      </w:tr>
      <w:tr>
        <w:trPr>
          <w:trHeight w:val="236"/>
        </w:trPr>
        <w:tc>
          <w:tcPr>
            <w:tcW w:w="50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noninterest income</w:t>
            </w:r>
          </w:p>
        </w:tc>
        <w:tc>
          <w:tcPr>
            <w:tcW w:w="150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1,127</w:t>
            </w:r>
          </w:p>
        </w:tc>
        <w:tc>
          <w:tcPr>
            <w:tcW w:w="2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1,197</w:t>
            </w:r>
          </w:p>
        </w:tc>
        <w:tc>
          <w:tcPr>
            <w:tcW w:w="42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(70)</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i w:val="1"/>
          <w:iCs w:val="1"/>
          <w:color w:val="auto"/>
        </w:rPr>
        <w:t>N/M - Not meaningful</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Noninterest income totaled $1.1 million in the first quarter of 2026, compared to $1.2 million during the same period in 2025. First quarter 2026 noninterest income included a loss of $203,000 for fair value adjustments made in the period to $6.3 million in substandard loans that were transferred to held-for-sale status in the fourth quarter of 2025, as active sale negotiations remain ongoing.</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Compared to the year-ago period, first quarter 2026 noninterest income reflected increases of $94,000 in earnings and gains on bank owned life insurance, $138,000 in debit card interchange fees, and $2,000 in service charges on deposit accounts. The increase in debit card interchange fees compared to the prior-year period was primarily attributable to non-recurring catch-up adjustments of $158,000 related to prior periods that were recorded in the first quarter of 2025.</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compared to the year-ago period, first quarter 2026 noninterest income included increases of $121,000 in gains on sales of loans and foreclosed real estate and $3,000 in net realized losses on sales and redemptions of investment securities, as well as decreases of $142,000 in net unrealized gains on marketable equity securities and $12,000 in loan servicing fees. Net unrealized gains on marketable equity securities, which include two limited partnership equity method investments, remains a variable contributor to noninterest income, decreasing $142,000 in the first quarter of 2026 from the year-ago quarter.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color w:val="auto"/>
        </w:rPr>
        <w:t>Noninterest Expense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certain information on noninterest expense for the periods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1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March 31,</w:t>
            </w:r>
          </w:p>
        </w:tc>
        <w:tc>
          <w:tcPr>
            <w:tcW w:w="300" w:type="dxa"/>
            <w:vAlign w:val="bottom"/>
          </w:tcPr>
          <w:p>
            <w:pPr>
              <w:spacing w:after="0"/>
              <w:rPr>
                <w:sz w:val="15"/>
                <w:szCs w:val="15"/>
                <w:color w:val="auto"/>
              </w:rPr>
            </w:pPr>
          </w:p>
        </w:tc>
        <w:tc>
          <w:tcPr>
            <w:tcW w:w="920" w:type="dxa"/>
            <w:vAlign w:val="bottom"/>
          </w:tcPr>
          <w:p>
            <w:pPr>
              <w:ind w:left="100"/>
              <w:spacing w:after="0" w:line="182" w:lineRule="exact"/>
              <w:rPr>
                <w:sz w:val="20"/>
                <w:szCs w:val="20"/>
                <w:color w:val="auto"/>
              </w:rPr>
            </w:pPr>
            <w:r>
              <w:rPr>
                <w:rFonts w:ascii="Times New Roman" w:cs="Times New Roman" w:eastAsia="Times New Roman" w:hAnsi="Times New Roman"/>
                <w:sz w:val="16"/>
                <w:szCs w:val="16"/>
                <w:color w:val="auto"/>
              </w:rPr>
              <w:t>March 31,</w:t>
            </w: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180" w:type="dxa"/>
            <w:vAlign w:val="bottom"/>
            <w:tcBorders>
              <w:bottom w:val="single" w:sz="8" w:color="auto"/>
            </w:tcBorders>
            <w:vMerge w:val="continue"/>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2026</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2025</w:t>
            </w: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Change</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4,857</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4,450</w:t>
            </w:r>
          </w:p>
        </w:tc>
        <w:tc>
          <w:tcPr>
            <w:tcW w:w="4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407</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Building and occupancy</w:t>
            </w:r>
          </w:p>
        </w:tc>
        <w:tc>
          <w:tcPr>
            <w:tcW w:w="2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1,327</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1,347</w:t>
            </w:r>
          </w:p>
        </w:tc>
        <w:tc>
          <w:tcPr>
            <w:tcW w:w="4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rPr>
              <w:t>(20)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Data processing</w:t>
            </w:r>
          </w:p>
        </w:tc>
        <w:tc>
          <w:tcPr>
            <w:tcW w:w="2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733</w:t>
            </w:r>
          </w:p>
        </w:tc>
        <w:tc>
          <w:tcPr>
            <w:tcW w:w="3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666</w:t>
            </w:r>
          </w:p>
        </w:tc>
        <w:tc>
          <w:tcPr>
            <w:tcW w:w="460" w:type="dxa"/>
            <w:vAlign w:val="bottom"/>
          </w:tcPr>
          <w:p>
            <w:pPr>
              <w:spacing w:after="0"/>
              <w:rPr>
                <w:sz w:val="17"/>
                <w:szCs w:val="17"/>
                <w:color w:val="auto"/>
              </w:rPr>
            </w:pPr>
          </w:p>
        </w:tc>
        <w:tc>
          <w:tcPr>
            <w:tcW w:w="13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67</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Professional and other services</w:t>
            </w:r>
          </w:p>
        </w:tc>
        <w:tc>
          <w:tcPr>
            <w:tcW w:w="2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680</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606</w:t>
            </w:r>
          </w:p>
        </w:tc>
        <w:tc>
          <w:tcPr>
            <w:tcW w:w="4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74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Advertising</w:t>
            </w:r>
          </w:p>
        </w:tc>
        <w:tc>
          <w:tcPr>
            <w:tcW w:w="2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w:t>
            </w:r>
          </w:p>
        </w:tc>
        <w:tc>
          <w:tcPr>
            <w:tcW w:w="3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w:t>
            </w:r>
          </w:p>
        </w:tc>
        <w:tc>
          <w:tcPr>
            <w:tcW w:w="460" w:type="dxa"/>
            <w:vAlign w:val="bottom"/>
          </w:tcPr>
          <w:p>
            <w:pPr>
              <w:spacing w:after="0"/>
              <w:rPr>
                <w:sz w:val="17"/>
                <w:szCs w:val="17"/>
                <w:color w:val="auto"/>
              </w:rPr>
            </w:pPr>
          </w:p>
        </w:tc>
        <w:tc>
          <w:tcPr>
            <w:tcW w:w="136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rPr>
              <w:t>(52)</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FDIC assessments</w:t>
            </w:r>
          </w:p>
        </w:tc>
        <w:tc>
          <w:tcPr>
            <w:tcW w:w="2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204</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229</w:t>
            </w:r>
          </w:p>
        </w:tc>
        <w:tc>
          <w:tcPr>
            <w:tcW w:w="4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rPr>
              <w:t>(25)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Audits and exams</w:t>
            </w:r>
          </w:p>
        </w:tc>
        <w:tc>
          <w:tcPr>
            <w:tcW w:w="2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w:t>
            </w:r>
          </w:p>
        </w:tc>
        <w:tc>
          <w:tcPr>
            <w:tcW w:w="3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w:t>
            </w:r>
          </w:p>
        </w:tc>
        <w:tc>
          <w:tcPr>
            <w:tcW w:w="460" w:type="dxa"/>
            <w:vAlign w:val="bottom"/>
          </w:tcPr>
          <w:p>
            <w:pPr>
              <w:spacing w:after="0"/>
              <w:rPr>
                <w:sz w:val="17"/>
                <w:szCs w:val="17"/>
                <w:color w:val="auto"/>
              </w:rPr>
            </w:pPr>
          </w:p>
        </w:tc>
        <w:tc>
          <w:tcPr>
            <w:tcW w:w="13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26</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expense</w:t>
            </w:r>
          </w:p>
        </w:tc>
        <w:tc>
          <w:tcPr>
            <w:tcW w:w="2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157</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157</w:t>
            </w:r>
          </w:p>
        </w:tc>
        <w:tc>
          <w:tcPr>
            <w:tcW w:w="4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Community service activities</w:t>
            </w:r>
          </w:p>
        </w:tc>
        <w:tc>
          <w:tcPr>
            <w:tcW w:w="2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460" w:type="dxa"/>
            <w:vAlign w:val="bottom"/>
          </w:tcPr>
          <w:p>
            <w:pPr>
              <w:spacing w:after="0"/>
              <w:rPr>
                <w:sz w:val="17"/>
                <w:szCs w:val="17"/>
                <w:color w:val="auto"/>
              </w:rPr>
            </w:pPr>
          </w:p>
        </w:tc>
        <w:tc>
          <w:tcPr>
            <w:tcW w:w="13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Foreclosed real estate expenses</w:t>
            </w:r>
          </w:p>
        </w:tc>
        <w:tc>
          <w:tcPr>
            <w:tcW w:w="2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4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rPr>
              <w:t>(12)</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203"/>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2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475</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691</w:t>
            </w: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(216)</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36"/>
        </w:trPr>
        <w:tc>
          <w:tcPr>
            <w:tcW w:w="4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234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8,692</w:t>
            </w:r>
          </w:p>
        </w:tc>
        <w:tc>
          <w:tcPr>
            <w:tcW w:w="3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8,433</w:t>
            </w:r>
          </w:p>
        </w:tc>
        <w:tc>
          <w:tcPr>
            <w:tcW w:w="4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259</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Noninterest expense totaled $8.7 million in the first quarter of 2026, compared to $8.4 million in the first quarter of 2025.</w:t>
      </w:r>
    </w:p>
    <w:p>
      <w:pPr>
        <w:spacing w:after="0" w:line="2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Salaries and benefits expense was $4.9 million in the first quarter of 2026, increasing $407,000 from the year-ago period. The increase from the year-ago period was primarily driven by general increases in salaries and strategic changes in workforce composition since early 2025, with the addition of more senior, key personnel across the organization, as well as higher payroll taxes and stock-based compensation in the first quarter of 2026.</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Building and occupancy expense was $1.3 million in the first quarter of 2026, decreasing $20,000 from the year-ago quarter. The decreases from the year-ago quarter reflected modest reductions across multiple building and occupancy expense categories, partially offset by higher utilities costs.</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Data processing expense was $733,000 in the first quarter of 2026, increasing $67,000 from the year-ago period. The increases from the year-ago quarter reflected higher costs primarily associated with data, ATM, and other technology maintenance costs.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Other expenses were $475,000 in the first quarter of 2026, decreasing $216,000 from the year-ago period. The year-over-year decrease reflected a heightened focus on practices and procedures as they relate to procurement, vendors, and accounts-payable, as well as a general emphasis on operating expense discipline.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52</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Income tax expense decreased $214,000 to $530,000 for the quarter ended March 31, 2026, as compared to $744,000 for the same three month period in 2025. The decrease in income tax expense for the quarter ended March 31, 2026, as compared to the same quarter in 2025, was primarily driven by a decrease of $775,000 in income before taxes. The effective income tax rate decreased 200 basis points to 18.0% for the three months ended March 31, 2026 as compared to 20.0% for the same three month period in 2025. The decrease in the tax rate in the first quarter of 2026, as compared to the same quarter in 2025, was primarily related to a decrease in income and fluctuations in permanent tax differences.</w:t>
      </w:r>
    </w:p>
    <w:p>
      <w:pPr>
        <w:spacing w:after="0" w:line="19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The Company’s tax liability is a function of the 21% statutory federal tax rate, the level of pretax income, the varying effects of New York State income taxes, and is partially reduced by tax-exempt income from specific types of investment securities and loans, bank owned life insurance, and, to a much lesser degree, the utilization of historic and low income housing tax credits. In addition, the tax effects of certain incentive stock option activity may reduce the Company’s effective tax rate on a sporadic basis.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Basic and diluted earnings per Voting and Series A Non-Voting share were $0.38 per share for the first quarter of 2026, as compared to $0.48 and $0.47, respectively, for the same prior year period. The decrease in earnings per share between the first quarter of 2026 and 2025 was due to the decrease of net income between the two periods. Further information on earnings per share can be found in Note 3 of the unaudited consolidated financial statements of this Form 10-Q.</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Financial Condition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Assets</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Total assets decreased $4.7 million, or 0.3%, to $1.42 billion at March 31, 2026 as compared to December 31, 2025. This decrease was primarily attributable to declines in residential and consumer loan balances and investment securities, partially offset by increases in commercial loan balances and total cash and cash equivalents.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Loans, net of deferred fees, totaled $895.2 million on March 31, 2026, resulting in a decrease of $1.5 million or 0.2% from December 31, 2025. Consumer and residential loans totaled $347.0 million on March 31, 2026, decreasing $7.3 million or 2.1% from December 31, 2025. Commercial loans totaled $549.5 million on March 31, 2026, increasing $5.8 million, or 1.1% from December 31, 2025.</w:t>
      </w:r>
    </w:p>
    <w:p>
      <w:pPr>
        <w:spacing w:after="0" w:line="1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Total investment securities, including investment in FHLB-NY stock, totaled $403.8 million at March 31, 2026, a decrease of $12.0 million, or 2.9%, compared to $415.7 million at December 31, 2025. This decrease reflected a decrease of $7.9 million in held-to-maturity securities and a $3.8 million decrease in available-for-sale securities due to calls and maturities. In addition, FHLB-NY stock decreased $391,000, offset partially by a $173,000 increase in marketable equity securities during the period.</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Total cash and cash equivalents increased $8.0 million, or 25.6%, to $39.2 million at March 31, 2026, as compared to December 31, 2025. The increase was attributed primarily to cash inflows from investment securities prepayments, calls, and maturities, as well as a seasonal first quarter increase in municipal deposits.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auto"/>
        </w:rPr>
        <w:t>Liabilities</w:t>
      </w:r>
    </w:p>
    <w:p>
      <w:pPr>
        <w:spacing w:after="0" w:line="23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Total liabilities decreased $5.8 million, or 0.4%, to $1.30 billion at March 31, 2026 as compared to December 31, 2025. This decrease was primarily attributable to lower total borrowings. In addition, the year-end tax provision resulted in the reclassification of $3.9 million of taxes payable from other liabilities to deferred tax assets. These decreases were partially offset by increases in total deposits.</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Total borrowings decreased $30.7 million, or 52.9%, from $58.1 million at December 31, 2025 to $27.4 million at March 31, 2026. This decrease was due to a $29.0 million decrease in short-term borrowed funds from FHLB-NY and FRB-NY, and a $1.7 million decrease in long-term borrowed funds from FHLB-NY, as excess liquidity provided in the first quarter of 2026 by cash flows from investment securities and a seasonal increase in municipal deposits enabled the Company to reduce borrowings.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Total deposits increased $27.9 million, or 2.4%, to $1.21 billion at March 31, 2026 as compared to December 31, 2025. The change in deposits from the prior period was driven by a $17.6 million increase in interest-bearing deposits, reflecting higher balances in money market deposit accounts and both interest- and noninterest-bearing demand deposit accounts, partially offset by lower time deposit balances. In addition, noninterest-bearing deposits increased $10.3 million during the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Shareholders’ Equity</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Shareholders' equity increased by $1.1 million, or 0.9%, from $122.5 million at December 31, 2025 to $123.6 million at March 31, 2026. This increase was primarily due to the Company’s recorded net income of $2.4 million, an increase in additional paid in capital of $705,000, partially reduced by an increase of $1.3 million in accumulated other comprehensive loss, and $639,000 of declared dividends to shareholders during the three months ended March 31,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Capital adequacy is evaluated primarily by the use of ratios which measure capital against total assets, as well as against total assets that are weighted based on defined risk characteristics. The Company’s goal is to maintain a strong capital position, consistent with the risk profile of its banking operations. This strong capital position serves to support growth and expansion activities while at the same time exceeding regulatory standards. At March 31, 2026, the Bank met the regulatory definition of a “well-capitalized” institution, i.e. a total risk-based capital ratio exceeding 10%, a Tier 1 risk-based capital ratio exceeding 8%, common equity Tier 1 capital ("CET1") risk-based capital ratio exceeding 6.5%, and a Tier 1 capital to average assets ratio (known as the "leverage ratio") exceeding 5%.</w:t>
      </w:r>
    </w:p>
    <w:p>
      <w:pPr>
        <w:spacing w:after="0" w:line="17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addition to establishing the minimum regulatory capital requirements, the regulations limit capital distributions and certain discretionary bonus payments to management if the institution does not hold a “capital conservation buffer” consisting of 2.5% of CET1 to risk-weighted assets above the amount necessary to meet its minimum risk-based capital requirements. The buffer is separate from the capital ratios required under the Prompt Corrective Actions (“PCA”) standards. In order to avoid these restrictions, the capital conservation buffer effectively increases the minimum levels of the following capital to risk-weighted assets ratios: (1) Total Capital, (2) Tier 1 Capital and (3) CET1. At March 31, 2026, the Bank exceeded all regulatory required minimum capital ratios, including the capital buffer requirements.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color w:val="auto"/>
        </w:rPr>
        <w:t>Pathfinder Bank’s capital amounts and ratios as of the indicated dates are presented in the following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Minimum For</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color w:val="auto"/>
              </w:rPr>
              <w:t>Minimum To Be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Minimum For</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"Well-Capitalized"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Actual</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Capital Adequacy</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Under Prompt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tcPr>
          <w:p>
            <w:pPr>
              <w:jc w:val="center"/>
              <w:ind w:right="208"/>
              <w:spacing w:after="0" w:line="149" w:lineRule="exact"/>
              <w:rPr>
                <w:sz w:val="20"/>
                <w:szCs w:val="20"/>
                <w:color w:val="auto"/>
              </w:rPr>
            </w:pPr>
            <w:r>
              <w:rPr>
                <w:rFonts w:ascii="Times New Roman" w:cs="Times New Roman" w:eastAsia="Times New Roman" w:hAnsi="Times New Roman"/>
                <w:sz w:val="14"/>
                <w:szCs w:val="14"/>
                <w:color w:val="auto"/>
              </w:rPr>
              <w:t>Capital Adequacy</w:t>
            </w:r>
          </w:p>
        </w:tc>
        <w:tc>
          <w:tcPr>
            <w:tcW w:w="0" w:type="dxa"/>
            <w:vAlign w:val="bottom"/>
          </w:tcPr>
          <w:p>
            <w:pPr>
              <w:spacing w:after="0"/>
              <w:rPr>
                <w:sz w:val="1"/>
                <w:szCs w:val="1"/>
                <w:color w:val="auto"/>
              </w:rPr>
            </w:pPr>
          </w:p>
        </w:tc>
      </w:tr>
      <w:tr>
        <w:trPr>
          <w:trHeight w:val="171"/>
        </w:trPr>
        <w:tc>
          <w:tcPr>
            <w:tcW w:w="3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w w:val="98"/>
              </w:rPr>
              <w:t>Purposes</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148"/>
              <w:spacing w:after="0"/>
              <w:rPr>
                <w:sz w:val="20"/>
                <w:szCs w:val="20"/>
                <w:color w:val="auto"/>
              </w:rPr>
            </w:pPr>
            <w:r>
              <w:rPr>
                <w:rFonts w:ascii="Times New Roman" w:cs="Times New Roman" w:eastAsia="Times New Roman" w:hAnsi="Times New Roman"/>
                <w:sz w:val="14"/>
                <w:szCs w:val="14"/>
                <w:color w:val="auto"/>
              </w:rPr>
              <w:t>Corrective Provisions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168"/>
              <w:spacing w:after="0"/>
              <w:rPr>
                <w:sz w:val="20"/>
                <w:szCs w:val="20"/>
                <w:color w:val="auto"/>
              </w:rPr>
            </w:pPr>
            <w:r>
              <w:rPr>
                <w:rFonts w:ascii="Times New Roman" w:cs="Times New Roman" w:eastAsia="Times New Roman" w:hAnsi="Times New Roman"/>
                <w:sz w:val="14"/>
                <w:szCs w:val="14"/>
                <w:color w:val="auto"/>
              </w:rPr>
              <w:t>with Buffer</w:t>
            </w:r>
          </w:p>
        </w:tc>
        <w:tc>
          <w:tcPr>
            <w:tcW w:w="0" w:type="dxa"/>
            <w:vAlign w:val="bottom"/>
          </w:tcPr>
          <w:p>
            <w:pPr>
              <w:spacing w:after="0"/>
              <w:rPr>
                <w:sz w:val="1"/>
                <w:szCs w:val="1"/>
                <w:color w:val="auto"/>
              </w:rPr>
            </w:pPr>
          </w:p>
        </w:tc>
      </w:tr>
      <w:tr>
        <w:trPr>
          <w:trHeight w:val="142"/>
        </w:trPr>
        <w:tc>
          <w:tcPr>
            <w:tcW w:w="3480" w:type="dxa"/>
            <w:vAlign w:val="bottom"/>
            <w:tcBorders>
              <w:bottom w:val="single" w:sz="8" w:color="auto"/>
            </w:tcBorders>
            <w:gridSpan w:val="3"/>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70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Ratio</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6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w w:val="98"/>
              </w:rPr>
              <w:t>Ratio</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8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Ratio</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7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Ratio</w:t>
            </w:r>
          </w:p>
        </w:tc>
        <w:tc>
          <w:tcPr>
            <w:tcW w:w="0" w:type="dxa"/>
            <w:vAlign w:val="bottom"/>
          </w:tcPr>
          <w:p>
            <w:pPr>
              <w:spacing w:after="0"/>
              <w:rPr>
                <w:sz w:val="1"/>
                <w:szCs w:val="1"/>
                <w:color w:val="auto"/>
              </w:rPr>
            </w:pPr>
          </w:p>
        </w:tc>
      </w:tr>
      <w:tr>
        <w:trPr>
          <w:trHeight w:val="128"/>
        </w:trPr>
        <w:tc>
          <w:tcPr>
            <w:tcW w:w="1320" w:type="dxa"/>
            <w:vAlign w:val="bottom"/>
            <w:tcBorders>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As of March 31, 2026</w:t>
            </w:r>
          </w:p>
        </w:tc>
        <w:tc>
          <w:tcPr>
            <w:tcW w:w="2160" w:type="dxa"/>
            <w:vAlign w:val="bottom"/>
            <w:tcBorders>
              <w:bottom w:val="single" w:sz="8" w:color="CFF0FC"/>
            </w:tcBorders>
            <w:gridSpan w:val="2"/>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Capital (to risk-weighted assets)</w:t>
            </w:r>
          </w:p>
        </w:tc>
        <w:tc>
          <w:tcPr>
            <w:tcW w:w="7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148,904</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14.87%</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80,132</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8.00%</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100,165</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105,173</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r>
        <w:trPr>
          <w:trHeight w:val="148"/>
        </w:trPr>
        <w:tc>
          <w:tcPr>
            <w:tcW w:w="348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Tier 1 Capital (to risk-weighted assets)</w:t>
            </w:r>
          </w:p>
        </w:tc>
        <w:tc>
          <w:tcPr>
            <w:tcW w:w="7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136,171</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13.59%</w:t>
            </w:r>
          </w:p>
        </w:tc>
        <w:tc>
          <w:tcPr>
            <w:tcW w:w="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60,099</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80,132</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85,140</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149"/>
        </w:trPr>
        <w:tc>
          <w:tcPr>
            <w:tcW w:w="34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136,171</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13.59%</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45,074</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65,107</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70,116</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48"/>
        </w:trPr>
        <w:tc>
          <w:tcPr>
            <w:tcW w:w="3480" w:type="dxa"/>
            <w:vAlign w:val="bottom"/>
            <w:tcBorders>
              <w:bottom w:val="single" w:sz="8" w:color="auto"/>
            </w:tcBorders>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Tier 1 Capital (to average assets)</w:t>
            </w:r>
          </w:p>
        </w:tc>
        <w:tc>
          <w:tcPr>
            <w:tcW w:w="780" w:type="dxa"/>
            <w:vAlign w:val="bottom"/>
            <w:tcBorders>
              <w:bottom w:val="single" w:sz="8" w:color="auto"/>
            </w:tcBorders>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FF0FC"/>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136,171</w:t>
            </w: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9.79%</w:t>
            </w:r>
          </w:p>
        </w:tc>
        <w:tc>
          <w:tcPr>
            <w:tcW w:w="200" w:type="dxa"/>
            <w:vAlign w:val="bottom"/>
            <w:tcBorders>
              <w:bottom w:val="single" w:sz="8" w:color="auto"/>
            </w:tcBorders>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55,618</w:t>
            </w: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20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69,523</w:t>
            </w: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0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69,523</w:t>
            </w: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28"/>
        </w:trPr>
        <w:tc>
          <w:tcPr>
            <w:tcW w:w="34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rPr>
              <w:t>As of December 31, 2025</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80" w:type="dxa"/>
            <w:vAlign w:val="bottom"/>
            <w:gridSpan w:val="3"/>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Capital (to risk-weighted assets)</w:t>
            </w:r>
          </w:p>
        </w:tc>
        <w:tc>
          <w:tcPr>
            <w:tcW w:w="78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146,559</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14.72%</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ind w:left="160"/>
              <w:spacing w:after="0" w:line="142" w:lineRule="exact"/>
              <w:rPr>
                <w:sz w:val="20"/>
                <w:szCs w:val="20"/>
                <w:color w:val="auto"/>
              </w:rPr>
            </w:pPr>
            <w:r>
              <w:rPr>
                <w:rFonts w:ascii="Times New Roman" w:cs="Times New Roman" w:eastAsia="Times New Roman" w:hAnsi="Times New Roman"/>
                <w:sz w:val="14"/>
                <w:szCs w:val="14"/>
                <w:color w:val="auto"/>
              </w:rPr>
              <w:t>79,646</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8.00%</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99,558</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104,535</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r>
        <w:trPr>
          <w:trHeight w:val="149"/>
        </w:trPr>
        <w:tc>
          <w:tcPr>
            <w:tcW w:w="34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Tier 1 Capital (to risk-weighted assets)</w:t>
            </w: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133,896</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13.45%</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59,735</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79,646</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84,624</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148"/>
        </w:trPr>
        <w:tc>
          <w:tcPr>
            <w:tcW w:w="348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7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133,896</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13.45%</w:t>
            </w:r>
          </w:p>
        </w:tc>
        <w:tc>
          <w:tcPr>
            <w:tcW w:w="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44,801</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64,712</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69,690</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48"/>
        </w:trPr>
        <w:tc>
          <w:tcPr>
            <w:tcW w:w="3480" w:type="dxa"/>
            <w:vAlign w:val="bottom"/>
            <w:tcBorders>
              <w:bottom w:val="single" w:sz="8" w:color="auto"/>
            </w:tcBorders>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Tier 1 Capital (to average assets)</w:t>
            </w:r>
          </w:p>
        </w:tc>
        <w:tc>
          <w:tcPr>
            <w:tcW w:w="780" w:type="dxa"/>
            <w:vAlign w:val="bottom"/>
            <w:tcBorders>
              <w:bottom w:val="single" w:sz="8" w:color="auto"/>
            </w:tcBorders>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133,896</w:t>
            </w: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9.41%</w:t>
            </w:r>
          </w:p>
        </w:tc>
        <w:tc>
          <w:tcPr>
            <w:tcW w:w="200" w:type="dxa"/>
            <w:vAlign w:val="bottom"/>
            <w:tcBorders>
              <w:bottom w:val="single" w:sz="8" w:color="auto"/>
            </w:tcBorders>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39,823</w:t>
            </w: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200" w:type="dxa"/>
            <w:vAlign w:val="bottom"/>
            <w:tcBorders>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49,779</w:t>
            </w: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00" w:type="dxa"/>
            <w:vAlign w:val="bottom"/>
            <w:tcBorders>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71,159</w:t>
            </w: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Regulation G, a rule adopted by the Securities and Exchange Commission (SEC), applies to certain SEC filings, including earnings releases, made by registered companies that contain “non-GAAP financial measures.” GAAP is generally accepted accounting principles in the United States of America. Under Regulation G, companies making public disclosures containing non-GAAP financial measures must also disclose, along with each non-GAAP financial measure, certain additional information, including a reconciliation of the non-GAAP financial measure to the closest comparable GAAP financial measure (if a comparable GAAP measure exists) and a statement of the Company’s reasons for utilizing the non-GAAP financial measure as part of its financial disclosures. The SEC has exempted from the definition of “non-GAAP financial measures” certain commonly used financial measures that are not based on GAAP. When these exempted measures are included in public disclosures, supplemental information is not required. Financial institutions like the Company and its subsidiary bank are subject to an array of bank regulatory capital measures that are financial in nature but are not based on GAAP. The Company follows industry practice in disclosing its financial condition under these various regulatory capital measures, including period-end regulatory capital ratios for its subsidiary bank, in its periodic reports filed with the SEC. The Company provides, below, an explanation of the calculations, as supplemental information, for non-GAAP measures included in the consolidated annual financial statements. In addition, the Company provides a reconciliation of its subsidiary bank’s disclosed regulatory capital measures, below.</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3"/>
        </w:trPr>
        <w:tc>
          <w:tcPr>
            <w:tcW w:w="62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March 31,</w:t>
            </w:r>
          </w:p>
        </w:tc>
        <w:tc>
          <w:tcPr>
            <w:tcW w:w="50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December 31,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2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2026</w:t>
            </w: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Regulatory Capital Ratios (Bank only)</w:t>
            </w:r>
          </w:p>
        </w:tc>
        <w:tc>
          <w:tcPr>
            <w:tcW w:w="1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Capital (to risk-weighted assets)</w:t>
            </w: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Total equity (GAAP)</w:t>
            </w:r>
          </w:p>
        </w:tc>
        <w:tc>
          <w:tcPr>
            <w:tcW w:w="2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139,717</w:t>
            </w:r>
          </w:p>
        </w:tc>
        <w:tc>
          <w:tcPr>
            <w:tcW w:w="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138,947</w:t>
            </w: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5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Intangible assets</w:t>
            </w:r>
          </w:p>
        </w:tc>
        <w:tc>
          <w:tcPr>
            <w:tcW w:w="1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(5,205)</w:t>
            </w: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(5,362)</w:t>
            </w: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Addback: Accumulated other comprehensive loss</w:t>
            </w:r>
          </w:p>
        </w:tc>
        <w:tc>
          <w:tcPr>
            <w:tcW w:w="1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6,715</w:t>
            </w: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5,367</w:t>
            </w: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Tier 1 Capital</w:t>
            </w:r>
          </w:p>
        </w:tc>
        <w:tc>
          <w:tcPr>
            <w:tcW w:w="2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136,171</w:t>
            </w:r>
          </w:p>
        </w:tc>
        <w:tc>
          <w:tcPr>
            <w:tcW w:w="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133,896</w:t>
            </w: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Allowance for credit losses (subject to regulatory limits)</w:t>
            </w:r>
          </w:p>
        </w:tc>
        <w:tc>
          <w:tcPr>
            <w:tcW w:w="1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12,733</w:t>
            </w: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12,663</w:t>
            </w: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Tier 2 Capital</w:t>
            </w:r>
          </w:p>
        </w:tc>
        <w:tc>
          <w:tcPr>
            <w:tcW w:w="200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12,733</w:t>
            </w:r>
          </w:p>
        </w:tc>
        <w:tc>
          <w:tcPr>
            <w:tcW w:w="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12,663</w:t>
            </w:r>
          </w:p>
        </w:tc>
        <w:tc>
          <w:tcPr>
            <w:tcW w:w="28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Tier 1 plus Tier 2 Capital (numerator)</w:t>
            </w: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148,904</w:t>
            </w: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146,559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Risk-weighted assets (denominator)</w:t>
            </w:r>
          </w:p>
        </w:tc>
        <w:tc>
          <w:tcPr>
            <w:tcW w:w="166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1,001,651</w:t>
            </w:r>
          </w:p>
        </w:tc>
        <w:tc>
          <w:tcPr>
            <w:tcW w:w="5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995,575</w:t>
            </w:r>
          </w:p>
        </w:tc>
        <w:tc>
          <w:tcPr>
            <w:tcW w:w="28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1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14.87</w:t>
            </w:r>
          </w:p>
        </w:tc>
        <w:tc>
          <w:tcPr>
            <w:tcW w:w="5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14.72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2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Tier 1 Capital (to risk-weighted assets)</w:t>
            </w: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Total Tier 1 Capital (numerator)</w:t>
            </w:r>
          </w:p>
        </w:tc>
        <w:tc>
          <w:tcPr>
            <w:tcW w:w="2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136,171</w:t>
            </w:r>
          </w:p>
        </w:tc>
        <w:tc>
          <w:tcPr>
            <w:tcW w:w="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133,896</w:t>
            </w: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Risk-weighted assets (denominator)</w:t>
            </w:r>
          </w:p>
        </w:tc>
        <w:tc>
          <w:tcPr>
            <w:tcW w:w="1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1,001,651</w:t>
            </w: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995,575</w:t>
            </w: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2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Tier 1 Capital to risk-weighted assets</w:t>
            </w:r>
          </w:p>
        </w:tc>
        <w:tc>
          <w:tcPr>
            <w:tcW w:w="166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13.59</w:t>
            </w:r>
          </w:p>
        </w:tc>
        <w:tc>
          <w:tcPr>
            <w:tcW w:w="5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13.45</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6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Tier 1 Capital (to average assets)</w:t>
            </w:r>
          </w:p>
        </w:tc>
        <w:tc>
          <w:tcPr>
            <w:tcW w:w="1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Tier 1 Capital (numerator)</w:t>
            </w: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136,171</w:t>
            </w: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133,896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Total average assets</w:t>
            </w:r>
          </w:p>
        </w:tc>
        <w:tc>
          <w:tcPr>
            <w:tcW w:w="1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1,400,718</w:t>
            </w: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1,433,594</w:t>
            </w: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5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Intangible assets</w:t>
            </w:r>
          </w:p>
        </w:tc>
        <w:tc>
          <w:tcPr>
            <w:tcW w:w="166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(5,205)</w:t>
            </w:r>
          </w:p>
        </w:tc>
        <w:tc>
          <w:tcPr>
            <w:tcW w:w="5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(5,362)</w:t>
            </w:r>
          </w:p>
        </w:tc>
        <w:tc>
          <w:tcPr>
            <w:tcW w:w="28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Average adjusted assets (denominator)</w:t>
            </w:r>
          </w:p>
        </w:tc>
        <w:tc>
          <w:tcPr>
            <w:tcW w:w="20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1,390,457</w:t>
            </w:r>
          </w:p>
        </w:tc>
        <w:tc>
          <w:tcPr>
            <w:tcW w:w="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1,423,176</w:t>
            </w: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2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Tier 1 Capital to adjusted assets</w:t>
            </w:r>
          </w:p>
        </w:tc>
        <w:tc>
          <w:tcPr>
            <w:tcW w:w="166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9.79</w:t>
            </w:r>
          </w:p>
        </w:tc>
        <w:tc>
          <w:tcPr>
            <w:tcW w:w="5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9.41</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0"/>
        </w:trPr>
        <w:tc>
          <w:tcPr>
            <w:tcW w:w="6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Common Equity Tier 1 (to risk-weighted assets)</w:t>
            </w:r>
          </w:p>
        </w:tc>
        <w:tc>
          <w:tcPr>
            <w:tcW w:w="1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Common Equity Tier 1 Capital (numerator)</w:t>
            </w: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136,171</w:t>
            </w: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133,896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Risk-weighted assets (denominator)</w:t>
            </w:r>
          </w:p>
        </w:tc>
        <w:tc>
          <w:tcPr>
            <w:tcW w:w="166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1,001,651</w:t>
            </w:r>
          </w:p>
        </w:tc>
        <w:tc>
          <w:tcPr>
            <w:tcW w:w="5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995,575</w:t>
            </w:r>
          </w:p>
        </w:tc>
        <w:tc>
          <w:tcPr>
            <w:tcW w:w="28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Total Common Equity Tier 1 to risk-weighted assets</w:t>
            </w:r>
          </w:p>
        </w:tc>
        <w:tc>
          <w:tcPr>
            <w:tcW w:w="1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13.59</w:t>
            </w:r>
          </w:p>
        </w:tc>
        <w:tc>
          <w:tcPr>
            <w:tcW w:w="5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13.45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2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March 31,</w:t>
            </w:r>
          </w:p>
        </w:tc>
        <w:tc>
          <w:tcPr>
            <w:tcW w:w="500" w:type="dxa"/>
            <w:vAlign w:val="bottom"/>
          </w:tcPr>
          <w:p>
            <w:pPr>
              <w:spacing w:after="0"/>
              <w:rPr>
                <w:sz w:val="16"/>
                <w:szCs w:val="16"/>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March 31,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22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2026</w:t>
            </w: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 pre-tax, pre-provision net income, and efficiency ratio:</w:t>
            </w: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interest income</w:t>
            </w:r>
          </w:p>
        </w:tc>
        <w:tc>
          <w:tcPr>
            <w:tcW w:w="2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10,340</w:t>
            </w:r>
          </w:p>
        </w:tc>
        <w:tc>
          <w:tcPr>
            <w:tcW w:w="5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11,411</w:t>
            </w: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noninterest income</w:t>
            </w: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1,127</w:t>
            </w:r>
          </w:p>
        </w:tc>
        <w:tc>
          <w:tcPr>
            <w:tcW w:w="500" w:type="dxa"/>
            <w:vAlign w:val="bottom"/>
          </w:tcPr>
          <w:p>
            <w:pPr>
              <w:spacing w:after="0"/>
              <w:rPr>
                <w:sz w:val="17"/>
                <w:szCs w:val="17"/>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1,197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realized losses on sales and redemptions of investment securities</w:t>
            </w:r>
          </w:p>
        </w:tc>
        <w:tc>
          <w:tcPr>
            <w:tcW w:w="1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Gains on sales of loans and foreclosed real estate</w:t>
            </w: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186</w:t>
            </w:r>
          </w:p>
        </w:tc>
        <w:tc>
          <w:tcPr>
            <w:tcW w:w="500" w:type="dxa"/>
            <w:vAlign w:val="bottom"/>
          </w:tcPr>
          <w:p>
            <w:pPr>
              <w:spacing w:after="0"/>
              <w:rPr>
                <w:sz w:val="17"/>
                <w:szCs w:val="17"/>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Borders>
              <w:bottom w:val="single" w:sz="8" w:color="auto"/>
            </w:tcBorders>
            <w:shd w:val="clear" w:color="auto" w:fill="CFF0FC"/>
          </w:tcPr>
          <w:p>
            <w:pPr>
              <w:ind w:left="80"/>
              <w:spacing w:after="0" w:line="203" w:lineRule="exact"/>
              <w:rPr>
                <w:sz w:val="20"/>
                <w:szCs w:val="20"/>
                <w:color w:val="auto"/>
              </w:rPr>
            </w:pPr>
            <w:r>
              <w:rPr>
                <w:rFonts w:ascii="Times New Roman" w:cs="Times New Roman" w:eastAsia="Times New Roman" w:hAnsi="Times New Roman"/>
                <w:sz w:val="16"/>
                <w:szCs w:val="16"/>
                <w:color w:val="auto"/>
              </w:rPr>
              <w:t xml:space="preserve">Fair value adjustment to loans held-for-sale </w:t>
            </w:r>
            <w:r>
              <w:rPr>
                <w:rFonts w:ascii="Times New Roman" w:cs="Times New Roman" w:eastAsia="Times New Roman" w:hAnsi="Times New Roman"/>
                <w:sz w:val="21"/>
                <w:szCs w:val="21"/>
                <w:color w:val="auto"/>
                <w:vertAlign w:val="superscript"/>
              </w:rPr>
              <w:t>1</w:t>
            </w:r>
          </w:p>
        </w:tc>
        <w:tc>
          <w:tcPr>
            <w:tcW w:w="166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(203)</w:t>
            </w:r>
          </w:p>
        </w:tc>
        <w:tc>
          <w:tcPr>
            <w:tcW w:w="5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Borders>
              <w:bottom w:val="single" w:sz="8" w:color="auto"/>
            </w:tcBorders>
          </w:tcPr>
          <w:p>
            <w:pPr>
              <w:ind w:left="160"/>
              <w:spacing w:after="0" w:line="196" w:lineRule="exact"/>
              <w:rPr>
                <w:sz w:val="20"/>
                <w:szCs w:val="20"/>
                <w:color w:val="auto"/>
              </w:rPr>
            </w:pPr>
            <w:r>
              <w:rPr>
                <w:rFonts w:ascii="Times New Roman" w:cs="Times New Roman" w:eastAsia="Times New Roman" w:hAnsi="Times New Roman"/>
                <w:sz w:val="16"/>
                <w:szCs w:val="16"/>
                <w:color w:val="auto"/>
              </w:rPr>
              <w:t xml:space="preserve">Revenue (non-GAAP) </w:t>
            </w:r>
            <w:r>
              <w:rPr>
                <w:rFonts w:ascii="Times New Roman" w:cs="Times New Roman" w:eastAsia="Times New Roman" w:hAnsi="Times New Roman"/>
                <w:sz w:val="21"/>
                <w:szCs w:val="21"/>
                <w:color w:val="auto"/>
                <w:vertAlign w:val="superscript"/>
              </w:rPr>
              <w:t>1</w:t>
            </w:r>
          </w:p>
        </w:tc>
        <w:tc>
          <w:tcPr>
            <w:tcW w:w="1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11,489</w:t>
            </w: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12,551</w:t>
            </w: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166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8,692</w:t>
            </w:r>
          </w:p>
        </w:tc>
        <w:tc>
          <w:tcPr>
            <w:tcW w:w="5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8,433</w:t>
            </w:r>
          </w:p>
        </w:tc>
        <w:tc>
          <w:tcPr>
            <w:tcW w:w="28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Borders>
              <w:bottom w:val="single" w:sz="8" w:color="auto"/>
            </w:tcBorders>
          </w:tcPr>
          <w:p>
            <w:pPr>
              <w:ind w:left="160"/>
              <w:spacing w:after="0" w:line="196" w:lineRule="exact"/>
              <w:rPr>
                <w:sz w:val="20"/>
                <w:szCs w:val="20"/>
                <w:color w:val="auto"/>
              </w:rPr>
            </w:pPr>
            <w:r>
              <w:rPr>
                <w:rFonts w:ascii="Times New Roman" w:cs="Times New Roman" w:eastAsia="Times New Roman" w:hAnsi="Times New Roman"/>
                <w:sz w:val="16"/>
                <w:szCs w:val="16"/>
                <w:color w:val="auto"/>
              </w:rPr>
              <w:t xml:space="preserve">Pre-tax, pre-provision net income (non-GAAP) </w:t>
            </w:r>
            <w:r>
              <w:rPr>
                <w:rFonts w:ascii="Times New Roman" w:cs="Times New Roman" w:eastAsia="Times New Roman" w:hAnsi="Times New Roman"/>
                <w:sz w:val="21"/>
                <w:szCs w:val="21"/>
                <w:color w:val="auto"/>
                <w:vertAlign w:val="superscript"/>
              </w:rPr>
              <w:t>2</w:t>
            </w:r>
          </w:p>
        </w:tc>
        <w:tc>
          <w:tcPr>
            <w:tcW w:w="20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2,797</w:t>
            </w:r>
          </w:p>
        </w:tc>
        <w:tc>
          <w:tcPr>
            <w:tcW w:w="5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4,118</w:t>
            </w: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220" w:type="dxa"/>
            <w:vAlign w:val="bottom"/>
          </w:tcPr>
          <w:p>
            <w:pPr>
              <w:ind w:left="220"/>
              <w:spacing w:after="0" w:line="232" w:lineRule="exact"/>
              <w:rPr>
                <w:sz w:val="20"/>
                <w:szCs w:val="20"/>
                <w:color w:val="auto"/>
              </w:rPr>
            </w:pPr>
            <w:r>
              <w:rPr>
                <w:rFonts w:ascii="Times New Roman" w:cs="Times New Roman" w:eastAsia="Times New Roman" w:hAnsi="Times New Roman"/>
                <w:sz w:val="16"/>
                <w:szCs w:val="16"/>
                <w:color w:val="auto"/>
              </w:rPr>
              <w:t xml:space="preserve">Efficiency ratio (non-GAAP) </w:t>
            </w:r>
            <w:r>
              <w:rPr>
                <w:rFonts w:ascii="Times New Roman" w:cs="Times New Roman" w:eastAsia="Times New Roman" w:hAnsi="Times New Roman"/>
                <w:sz w:val="21"/>
                <w:szCs w:val="21"/>
                <w:color w:val="auto"/>
                <w:vertAlign w:val="superscript"/>
              </w:rPr>
              <w:t>3</w:t>
            </w:r>
          </w:p>
        </w:tc>
        <w:tc>
          <w:tcPr>
            <w:tcW w:w="1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75.65</w:t>
            </w:r>
          </w:p>
        </w:tc>
        <w:tc>
          <w:tcPr>
            <w:tcW w:w="5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67.19</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00" w:hanging="92"/>
        <w:spacing w:after="0" w:line="216" w:lineRule="auto"/>
        <w:tabs>
          <w:tab w:leader="none" w:pos="10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Revenue equals net interest income plus total noninterest income less net realized gains or losses on sales and redemptions of investment securities, and sales of loans and foreclosed real estate.</w:t>
      </w:r>
    </w:p>
    <w:p>
      <w:pPr>
        <w:spacing w:after="0" w:line="4" w:lineRule="exact"/>
        <w:rPr>
          <w:rFonts w:ascii="Times New Roman" w:cs="Times New Roman" w:eastAsia="Times New Roman" w:hAnsi="Times New Roman"/>
          <w:sz w:val="19"/>
          <w:szCs w:val="19"/>
          <w:color w:val="auto"/>
          <w:vertAlign w:val="superscript"/>
        </w:rPr>
      </w:pPr>
    </w:p>
    <w:p>
      <w:pPr>
        <w:spacing w:after="0" w:line="192"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 xml:space="preserve"> Pre-tax, pre-provision net income equals revenue less total noninterest expense.</w:t>
      </w:r>
    </w:p>
    <w:p>
      <w:pPr>
        <w:spacing w:after="0" w:line="181"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Efficiency ratio equals noninterest expense divided by revenue.</w:t>
      </w:r>
    </w:p>
    <w:p>
      <w:pPr>
        <w:ind w:left="5540" w:hanging="111"/>
        <w:spacing w:after="0"/>
        <w:tabs>
          <w:tab w:leader="none" w:pos="5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56 </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Loan and Asset Quality and Allowance for Credit Losses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represents information concerning the aggregate amount of non-accrual loans at the indicated dates:</w:t>
      </w: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40" w:type="dxa"/>
            <w:vAlign w:val="bottom"/>
          </w:tcPr>
          <w:p>
            <w:pPr>
              <w:spacing w:after="0"/>
              <w:rPr>
                <w:sz w:val="17"/>
                <w:szCs w:val="17"/>
                <w:color w:val="auto"/>
              </w:rPr>
            </w:pP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March 31,</w:t>
            </w:r>
          </w:p>
        </w:tc>
        <w:tc>
          <w:tcPr>
            <w:tcW w:w="440" w:type="dxa"/>
            <w:vAlign w:val="bottom"/>
          </w:tcPr>
          <w:p>
            <w:pPr>
              <w:spacing w:after="0"/>
              <w:rPr>
                <w:sz w:val="17"/>
                <w:szCs w:val="17"/>
                <w:color w:val="auto"/>
              </w:rPr>
            </w:pPr>
          </w:p>
        </w:tc>
        <w:tc>
          <w:tcPr>
            <w:tcW w:w="15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3"/>
        </w:trPr>
        <w:tc>
          <w:tcPr>
            <w:tcW w:w="5220" w:type="dxa"/>
            <w:vAlign w:val="bottom"/>
            <w:gridSpan w:val="2"/>
            <w:vMerge w:val="continue"/>
          </w:tcPr>
          <w:p>
            <w:pPr>
              <w:spacing w:after="0"/>
              <w:rPr>
                <w:sz w:val="18"/>
                <w:szCs w:val="18"/>
                <w:color w:val="auto"/>
              </w:rPr>
            </w:pPr>
          </w:p>
        </w:tc>
        <w:tc>
          <w:tcPr>
            <w:tcW w:w="264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2026</w:t>
            </w:r>
          </w:p>
        </w:tc>
        <w:tc>
          <w:tcPr>
            <w:tcW w:w="440" w:type="dxa"/>
            <w:vAlign w:val="bottom"/>
          </w:tcPr>
          <w:p>
            <w:pPr>
              <w:spacing w:after="0"/>
              <w:rPr>
                <w:sz w:val="18"/>
                <w:szCs w:val="18"/>
                <w:color w:val="auto"/>
              </w:rPr>
            </w:pPr>
          </w:p>
        </w:tc>
        <w:tc>
          <w:tcPr>
            <w:tcW w:w="15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Nonaccrual loans:</w:t>
            </w:r>
          </w:p>
        </w:tc>
        <w:tc>
          <w:tcPr>
            <w:tcW w:w="264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Commercial and commercial real estate loans</w:t>
            </w:r>
          </w:p>
        </w:tc>
        <w:tc>
          <w:tcPr>
            <w:tcW w:w="26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34,831</w:t>
            </w:r>
          </w:p>
        </w:tc>
        <w:tc>
          <w:tcPr>
            <w:tcW w:w="4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24,616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Consumer</w:t>
            </w:r>
          </w:p>
        </w:tc>
        <w:tc>
          <w:tcPr>
            <w:tcW w:w="26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1,116</w:t>
            </w:r>
          </w:p>
        </w:tc>
        <w:tc>
          <w:tcPr>
            <w:tcW w:w="4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968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26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2,213</w:t>
            </w:r>
          </w:p>
        </w:tc>
        <w:tc>
          <w:tcPr>
            <w:tcW w:w="4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1,977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nonaccrual loans</w:t>
            </w:r>
          </w:p>
        </w:tc>
        <w:tc>
          <w:tcPr>
            <w:tcW w:w="26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38,160</w:t>
            </w:r>
          </w:p>
        </w:tc>
        <w:tc>
          <w:tcPr>
            <w:tcW w:w="44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27,561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Total nonperforming loans</w:t>
            </w:r>
          </w:p>
        </w:tc>
        <w:tc>
          <w:tcPr>
            <w:tcW w:w="26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38,160</w:t>
            </w:r>
          </w:p>
        </w:tc>
        <w:tc>
          <w:tcPr>
            <w:tcW w:w="4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27,561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Foreclosed real estate</w:t>
            </w:r>
          </w:p>
        </w:tc>
        <w:tc>
          <w:tcPr>
            <w:tcW w:w="26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137</w:t>
            </w:r>
          </w:p>
        </w:tc>
        <w:tc>
          <w:tcPr>
            <w:tcW w:w="44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Total nonperforming assets</w:t>
            </w:r>
          </w:p>
        </w:tc>
        <w:tc>
          <w:tcPr>
            <w:tcW w:w="26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38,297</w:t>
            </w:r>
          </w:p>
        </w:tc>
        <w:tc>
          <w:tcPr>
            <w:tcW w:w="4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27,698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200" w:type="dxa"/>
            <w:vAlign w:val="bottom"/>
            <w:shd w:val="clear" w:color="auto" w:fill="CFF0FC"/>
          </w:tcPr>
          <w:p>
            <w:pPr>
              <w:spacing w:after="0"/>
              <w:rPr>
                <w:sz w:val="15"/>
                <w:szCs w:val="15"/>
                <w:color w:val="auto"/>
              </w:rPr>
            </w:pPr>
          </w:p>
        </w:tc>
        <w:tc>
          <w:tcPr>
            <w:tcW w:w="26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Nonperforming loans to total loans</w:t>
            </w:r>
          </w:p>
        </w:tc>
        <w:tc>
          <w:tcPr>
            <w:tcW w:w="2640" w:type="dxa"/>
            <w:vAlign w:val="bottom"/>
          </w:tcPr>
          <w:p>
            <w:pPr>
              <w:spacing w:after="0"/>
              <w:rPr>
                <w:sz w:val="16"/>
                <w:szCs w:val="16"/>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4.26%</w:t>
            </w:r>
          </w:p>
        </w:tc>
        <w:tc>
          <w:tcPr>
            <w:tcW w:w="440" w:type="dxa"/>
            <w:vAlign w:val="bottom"/>
          </w:tcPr>
          <w:p>
            <w:pPr>
              <w:spacing w:after="0"/>
              <w:rPr>
                <w:sz w:val="16"/>
                <w:szCs w:val="16"/>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10"/>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Nonperforming assets to total assets</w:t>
            </w:r>
          </w:p>
        </w:tc>
        <w:tc>
          <w:tcPr>
            <w:tcW w:w="264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2.69%</w:t>
            </w:r>
          </w:p>
        </w:tc>
        <w:tc>
          <w:tcPr>
            <w:tcW w:w="4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-124460</wp:posOffset>
            </wp:positionV>
            <wp:extent cx="705485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5485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Nonperforming assets include nonaccrual loans, and foreclosed real estate (‘‘FRE”).</w:t>
      </w:r>
    </w:p>
    <w:p>
      <w:pPr>
        <w:spacing w:after="0" w:line="2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indicated in the table above, nonperforming assets at March 31, 2026 were $38.3 million, and were $10.6 million greater than the $27.7 million reported at December 31, 2025 and $25.1 million greater than the $13.2 million reported at March 31, 2025. The increase from December 31, 2025 primarily reflected certain legacy loans associated with two commercial relationships that may have been less than 90 days delinquent but were identified as having unique risk characteristics through the Company’s 2025 portfolio review. Specific reserves for these exposures were established as appropriate prior to the first quarter of 2026.</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Fair values for commercial FRE are initially recorded based on market value evaluations by third parties, less costs to sell (“initial cost basis”). On a prospective basis, residential FRE assets will be initially recorded at the lower of the net amount of loan receivable or the real estate’s fair value less costs to sell. Any write-downs required when the related loan receivable is exchanged for the underlying real estate collateral at the time of transfer to FRE are charged to the allowance for credit losses. Values are derived from appraisals of underlying collateral or discounted cash flow analysis. Subsequent to foreclosure, valuations are updated periodically and assets are marked to current fair value, not to exceed the initial cost basis for the FRE property.</w:t>
      </w:r>
    </w:p>
    <w:p>
      <w:pPr>
        <w:spacing w:after="0" w:line="17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allowance for credit losses on loans represents management’s estimate of the lifetime losses inherent in the loan portfolio as of the date of the statement of condition. The allowance for credit losses was $29.0 million and $29.4 million at March 31, 2026 and December 31, 2025, respectively. The ratio of the allowance for credit losses to total loans was 3.24% as of March 31, 2026, as compared to 3.28% at December 31, 2025 and 1.91% at March 31, 2025. The ACL increased by $10.8 million in the fourth quarter of 2025 as part of the previously disclosed risk-based reserve build for potential exposures to commercial credits identified as having unique risk characteristics through the comprehensive portfolio review completed last year. Management performs a quarterly evaluation of the allowance for credit losses based on quantitative and qualitative factors and has determined that the current level of the allowance for credit losses is adequate to absorb the losses in the loan portfolio as of March 31, 2026.</w:t>
      </w:r>
    </w:p>
    <w:p>
      <w:pPr>
        <w:spacing w:after="0" w:line="1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Loans purchased outside of the Bank’s general market area are subject to substantial pre-purchase due diligence. Homogenous pools of purchased loans are subject to pre-purchase analyses led by a team of the Bank’s senior executives and credit analysts. In each case, the Bank’s analytical processes consider the types of loans being evaluated, the underwriting criteria employed by the originating entity, the historical performance of such loans, especially in the most recent deeply recessionary period, the offered collateral enhancements and other credit loss mitigation factors offered by the seller and the capabilities and financial stability of the servicing entities involved. From a credit risk perspective, these loan pools also benefit from broad diversification, including wide geographic dispersion, the readily-verifiable historical performance of similar loans issued by the originators, as well as the overall experience and skill of the underwriters and servicing entities involved as counterparties to the Bank in these transactions. The performance of all purchased loan pools are monitored regularly from detailed reports and remittance reconciliations provided at least monthly by the external servicing entities.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57" w:name="page58"/>
    <w:bookmarkEnd w:id="57"/>
    <w:p>
      <w:pPr>
        <w:jc w:val="both"/>
        <w:spacing w:after="0" w:line="246" w:lineRule="auto"/>
        <w:rPr>
          <w:sz w:val="20"/>
          <w:szCs w:val="20"/>
          <w:color w:val="auto"/>
        </w:rPr>
      </w:pPr>
      <w:r>
        <w:rPr>
          <w:rFonts w:ascii="Times New Roman" w:cs="Times New Roman" w:eastAsia="Times New Roman" w:hAnsi="Times New Roman"/>
          <w:sz w:val="20"/>
          <w:szCs w:val="20"/>
          <w:color w:val="auto"/>
        </w:rPr>
        <w:t>The projected credit losses related to purchased loan pools are evaluated prior to purchase and the performance of those loans against expectations are analyzed at least monthly. Over the life of the purchased loan pools, the allowance for credit losses is adjusted, through the provision for credit losses, for expected loss experience, over the projected life of the loans. The expected credit loss experience is determined at the time of purchase and is modified, to the extent necessary, during the life of the purchased loan pools. The Bank does not initially increase the allowance for credit losses on the purchase date of the loan pools.</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At March 31, 2026 and December 31, 2025, the Company had $84.7 million and $89.4 million in loans, respectively, which were individually analyzed, having established specific reserves of $18.5 million and $18.1 million, respectively, on these loans. The $4.7 million decrease in specifically identified loans between these two dates primarily reflects the payoff of a single large commercial loan relationship totaling $5.0 million in the first quarter of 2026.</w:t>
      </w:r>
    </w:p>
    <w:p>
      <w:pPr>
        <w:spacing w:after="0" w:line="7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Appraisals are obtained at the time a real estate secured loan is originated. For commercial real estate held as collateral, the property is inspected every two years.</w:t>
      </w:r>
    </w:p>
    <w:p>
      <w:pPr>
        <w:spacing w:after="0" w:line="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Management has identified certain loans with potential credit profiles that may result in the borrowers not being able to comply with the current loan repayment terms and which may result in possible future identified loan reporting. Potential problem loans totaled $76.4 million at March 31, 2026, as compared to $77.2 million at December 31, 2025. Of these loans which have been internally classified as special mention, substandard, or doubtful, $71.3 million were individually evaluated for expected credit losses, while the remaining $5.1 million were collectively evaluated at March 31, 2026.</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the normal course of business, the Bank has, from time to time, sold residential mortgage loans and participation interests in commercial loans. As is typical in the industry, the Bank makes certain representations and warranties to the buyer. Pathfinder Bank maintains a quality control program for closed loans and considers the risks and uncertainties associated with potential repurchase requirements to be minimal.</w:t>
      </w:r>
    </w:p>
    <w:p>
      <w:pPr>
        <w:spacing w:after="0" w:line="1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future performance of the Company’s loan portfolios with respect to credit losses will be highly dependent upon the course and duration, both nationally and within the Company’s market area, of the concentrations in the Company’s loan portfolio. Concentrations of loans within a portfolio that are made to a single borrower, to a related group of borrowers, or to a limited number of industries, are generally considered to be additional risk factors in estimating future credit losses. Therefore, the Company monitors all of its credit relationships to ensure that the total loan amounts extended to one borrower, or to a related group of borrowers, does not exceed the maximum permissible levels defined by applicable regulation or the Company’s generally more restrictive internal policy limits.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Liquidity management involves the Company’s ability to generate cash or otherwise obtain funds at reasonable rates to support asset growth, meet deposit withdrawals, maintain reserve requirements, and otherwise operate the Company on an ongoing basis. The Company's primary sources of funds are deposits, borrowed funds, amortization and prepayment of loans and maturities of investment securities and other short-term investments, and earnings and funds provided from operations. While scheduled principal repayments on loans are a relatively predictable source of funds, deposit flows and loan prepayments are greatly influenced by general interest rates, economic conditions and competition. The Company manages the pricing of deposits to maintain a desired deposit composition and balance. In addition, the Company invests excess funds in short-term interest-earning and other assets, which provide liquidity to meet lending requirements.</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 Company's liquidity has been enhanced by its ability to borrow from FHLB-NY, whose competitive advance programs and lines of credit provide the Company with a safe, reliable, and convenient source of funds. A significant decrease in deposits in the future could result in the Company having to seek other sources of funds for liquidity purposes. Such sources could include, but are not limited to, additional borrowings, brokered deposits, negotiated time deposits, the sale of "available-for-sale" investment securities, the sale of securitized loans, or the sale of whole loans. Such actions could result in higher interest expense and/or losses on the sale of securities or loans.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58" w:name="page59"/>
    <w:bookmarkEnd w:id="58"/>
    <w:p>
      <w:pPr>
        <w:jc w:val="both"/>
        <w:spacing w:after="0" w:line="244" w:lineRule="auto"/>
        <w:rPr>
          <w:sz w:val="20"/>
          <w:szCs w:val="20"/>
          <w:color w:val="auto"/>
        </w:rPr>
      </w:pPr>
      <w:r>
        <w:rPr>
          <w:rFonts w:ascii="Times New Roman" w:cs="Times New Roman" w:eastAsia="Times New Roman" w:hAnsi="Times New Roman"/>
          <w:sz w:val="20"/>
          <w:szCs w:val="20"/>
          <w:color w:val="auto"/>
        </w:rPr>
        <w:t>Through the first three months of 2026, as indicated in the consolidated statement of cash flows, the Company reported net cash outflow from operating activities of $240,000 and net cash inflow of $11.2 million related to investing activities. The net cash inflows from investing activities was generated principally by an increase of $1.3 million in net loan activity, a $10.1 million increase in net investment activity, partially offset by a $248,000 decrease in premises and equipment. The Company reported net cash outflows from financing activities of $3.0 million, primarily due to a $27.9 million increase in net deposit balances, a $30.7 million decrease in net borrowings, and an aggregate decrease of $185,000 in net cash from all other financing sources, including dividends paid to common voting and non-voting shareholders and warrant holders of $631,000.</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Bank’s management monitors liquidity on a continuous basis through a broad range of internal programs and considers effective liquidity management to be one of its primary objectives. At March 31, 2026 the Bank had deposits of $1.21 billion, of which a portion were nominally uninsured, as they were above the insurance limits established by the Federal Deposit Insurance Corporation (“FDIC”) on that date. Of the nominally uninsured deposits at March 31, 2026, $83.6 million were insured through a long-standing reciprocal deposit program managed by a third-party entity. In addition, $136.7 million in municipal deposits are fully protected against principal loss by a collateral program whereby the Bank places high-quality securities with an independent custodian as collateral. The Bank had $174.7 million in deposits, representing 15.6% of all deposits, that were considered to be uninsured at March 31, 2026. At December 31, 2025, the Bank had $161.1 million in deposits, representing 14.9% of all deposits, that were considered to be uninsured.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has a number of existing credit facilities available to it. At March 31, 2026, total credit available under the existing lines of credit was approximately $225.8 million at FHLB-NY, FRB-NY, and two other correspondent banks. At March 31, 2026, the Company had $27.4 million of the available lines of credit utilized on its existing lines of credit with the remainder of $198.4 million available.</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Asset Liability Management Committee of the Company is responsible for implementing the policies and guidelines for the maintenance of prudent levels of liquidity. As of March 31, 2026, management reported to the Board of Directors that the Company is in compliance with its liquidity policy guidelines.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is also a party to financial instruments with off-balance sheet risk in the normal course of business to meet the financing needs of its customers. These financial instruments include commitments to extend credit and standby letters of credit. At March 31, 2026, the Company had $191.4 million in outstanding commitments to extend credit and standby letters of credit.</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Company's exposure to credit loss in the event of nonperformance related to off-balance sheet arrangements is proportional to the contractual amount of those instruments. Such financial instruments are recorded when they are funded. The Company records an allowance for credit losses on off-balance sheet credit exposures, unless such commitments are unconditionally cancelable, through the provision for credit losses expense. The allowance for credit losses on off-balance sheet credit exposures as of March 31, 2026 was $598,000 and is included in other liabilities on the Company's consolidated Statements of Condition.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Item 3 – Quantitative and Qualitative Disclosures About Market Risk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smaller reporting company is not required to provide the information relating to this item.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 Controls and Procedures</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Under the supervision and with the participation of our Chief Executive Officer (“CEO”) and our Chief Financial Officer (“CFO”) (the Company’s principal executive officer and principal financial officer), management conducted an evaluation of the effectiveness of the design and operation of our disclosure controls and procedures (as defined in Rule 13a-15(e) and 15d-15(e) under the Exchange Act) as of March 31, 2026. The term “disclosure controls and procedures,”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officer and principal financial officer, as appropriate to allow timely decisions regarding required disclosure.</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on the evaluation of our disclosure controls and procedures as of March 31, 2026, our CEO and CFO concluded that our disclosure controls and procedures were effective as of that date.</w:t>
      </w:r>
    </w:p>
    <w:p>
      <w:pPr>
        <w:spacing w:after="0" w:line="17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did not make any changes in internal control over financial reporting during the quarter ended March 31, 2026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 Legal Proceedings</w:t>
      </w:r>
    </w:p>
    <w:p>
      <w:pPr>
        <w:spacing w:after="0" w:line="233"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20"/>
          <w:szCs w:val="20"/>
          <w:color w:val="auto"/>
        </w:rPr>
        <w:t>At March 31, 2026, the Company is not currently a named party in a legal proceeding, the outcome of which would have a material and adverse effect on the financial condition or results of operations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 Risk Factors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smaller reporting company is not required to provide the information relating to this item.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 Unregistered Sales of Equity Securities, and Use of Proceeds, and Issuer Purchases of Equity Securities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Total Number of</w:t>
            </w: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Shares Purchased as</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Maximum Number of</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2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Total Number of</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Part of Publicly</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Shares That May Yet</w:t>
            </w:r>
          </w:p>
        </w:tc>
        <w:tc>
          <w:tcPr>
            <w:tcW w:w="0" w:type="dxa"/>
            <w:vAlign w:val="bottom"/>
          </w:tcPr>
          <w:p>
            <w:pPr>
              <w:spacing w:after="0"/>
              <w:rPr>
                <w:sz w:val="1"/>
                <w:szCs w:val="1"/>
                <w:color w:val="auto"/>
              </w:rPr>
            </w:pPr>
          </w:p>
        </w:tc>
      </w:tr>
      <w:tr>
        <w:trPr>
          <w:trHeight w:val="81"/>
        </w:trPr>
        <w:tc>
          <w:tcPr>
            <w:tcW w:w="3700" w:type="dxa"/>
            <w:vAlign w:val="bottom"/>
          </w:tcPr>
          <w:p>
            <w:pPr>
              <w:spacing w:after="0"/>
              <w:rPr>
                <w:sz w:val="7"/>
                <w:szCs w:val="7"/>
                <w:color w:val="auto"/>
              </w:rPr>
            </w:pPr>
          </w:p>
        </w:tc>
        <w:tc>
          <w:tcPr>
            <w:tcW w:w="20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Average Price Paid</w:t>
            </w:r>
          </w:p>
        </w:tc>
        <w:tc>
          <w:tcPr>
            <w:tcW w:w="2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Announced Plans or</w:t>
            </w:r>
          </w:p>
        </w:tc>
        <w:tc>
          <w:tcPr>
            <w:tcW w:w="1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Be Purchased Under</w:t>
            </w:r>
          </w:p>
        </w:tc>
        <w:tc>
          <w:tcPr>
            <w:tcW w:w="0" w:type="dxa"/>
            <w:vAlign w:val="bottom"/>
          </w:tcPr>
          <w:p>
            <w:pPr>
              <w:spacing w:after="0"/>
              <w:rPr>
                <w:sz w:val="1"/>
                <w:szCs w:val="1"/>
                <w:color w:val="auto"/>
              </w:rPr>
            </w:pPr>
          </w:p>
        </w:tc>
      </w:tr>
      <w:tr>
        <w:trPr>
          <w:trHeight w:val="162"/>
        </w:trPr>
        <w:tc>
          <w:tcPr>
            <w:tcW w:w="3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Period</w:t>
            </w:r>
          </w:p>
        </w:tc>
        <w:tc>
          <w:tcPr>
            <w:tcW w:w="20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6"/>
                <w:szCs w:val="16"/>
                <w:color w:val="auto"/>
              </w:rPr>
              <w:t>Shares Purchased</w:t>
            </w:r>
          </w:p>
        </w:tc>
        <w:tc>
          <w:tcPr>
            <w:tcW w:w="3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00" w:type="dxa"/>
            <w:vAlign w:val="bottom"/>
            <w:vMerge w:val="continue"/>
          </w:tcPr>
          <w:p>
            <w:pPr>
              <w:spacing w:after="0"/>
              <w:rPr>
                <w:sz w:val="15"/>
                <w:szCs w:val="15"/>
                <w:color w:val="auto"/>
              </w:rPr>
            </w:pP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w:t>
            </w:r>
          </w:p>
        </w:tc>
        <w:tc>
          <w:tcPr>
            <w:tcW w:w="300" w:type="dxa"/>
            <w:vAlign w:val="bottom"/>
          </w:tcPr>
          <w:p>
            <w:pPr>
              <w:spacing w:after="0"/>
              <w:rPr>
                <w:sz w:val="15"/>
                <w:szCs w:val="15"/>
                <w:color w:val="auto"/>
              </w:rPr>
            </w:pPr>
          </w:p>
        </w:tc>
        <w:tc>
          <w:tcPr>
            <w:tcW w:w="138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Per Share</w:t>
            </w:r>
          </w:p>
        </w:tc>
        <w:tc>
          <w:tcPr>
            <w:tcW w:w="204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Programs</w:t>
            </w:r>
          </w:p>
        </w:tc>
        <w:tc>
          <w:tcPr>
            <w:tcW w:w="174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the Plans or Programs</w:t>
            </w:r>
          </w:p>
        </w:tc>
        <w:tc>
          <w:tcPr>
            <w:tcW w:w="0" w:type="dxa"/>
            <w:vAlign w:val="bottom"/>
          </w:tcPr>
          <w:p>
            <w:pPr>
              <w:spacing w:after="0"/>
              <w:rPr>
                <w:sz w:val="1"/>
                <w:szCs w:val="1"/>
                <w:color w:val="auto"/>
              </w:rPr>
            </w:pPr>
          </w:p>
        </w:tc>
      </w:tr>
      <w:tr>
        <w:trPr>
          <w:trHeight w:val="20"/>
        </w:trPr>
        <w:tc>
          <w:tcPr>
            <w:tcW w:w="37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January 1, 2026 through January 31, 2026</w:t>
            </w:r>
          </w:p>
        </w:tc>
        <w:tc>
          <w:tcPr>
            <w:tcW w:w="2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74,292</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February 1, 2026 through February 28, 2026</w:t>
            </w:r>
          </w:p>
        </w:tc>
        <w:tc>
          <w:tcPr>
            <w:tcW w:w="2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74,292</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March 1, 2026 through March 31, 2026</w:t>
            </w:r>
          </w:p>
        </w:tc>
        <w:tc>
          <w:tcPr>
            <w:tcW w:w="2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74,292</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52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29, 2016, our Board of Directors authorized the repurchase of up to 217,692 shares of our common stock, or 5% of the Company’s shares outstanding as of that date.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 Defaults Upon Senior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 Mine Safety Disclosures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 Other Information</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first quarter of 2026, none of our directors or officers adopted or terminated any contract, instruction or written plan for the purchase or sale of Company securities that was intended to satisfy the affirmative defense conditions of Rule 10b5-1(c) or any “non-Rule 10b5-1 trading arrangement,” as that term is used in SEC regulations.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color w:val="auto"/>
        </w:rPr>
        <w:t>Item 6 –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50"/>
        </w:trPr>
        <w:tc>
          <w:tcPr>
            <w:tcW w:w="100" w:type="dxa"/>
            <w:vAlign w:val="bottom"/>
            <w:tcBorders>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45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r>
      <w:tr>
        <w:trPr>
          <w:trHeight w:val="183"/>
        </w:trPr>
        <w:tc>
          <w:tcPr>
            <w:tcW w:w="980" w:type="dxa"/>
            <w:vAlign w:val="bottom"/>
            <w:gridSpan w:val="2"/>
          </w:tcPr>
          <w:p>
            <w:pPr>
              <w:ind w:left="120"/>
              <w:spacing w:after="0" w:line="183" w:lineRule="exact"/>
              <w:rPr>
                <w:sz w:val="20"/>
                <w:szCs w:val="20"/>
                <w:color w:val="auto"/>
              </w:rPr>
            </w:pPr>
            <w:r>
              <w:rPr>
                <w:rFonts w:ascii="Times New Roman" w:cs="Times New Roman" w:eastAsia="Times New Roman" w:hAnsi="Times New Roman"/>
                <w:sz w:val="20"/>
                <w:szCs w:val="20"/>
                <w:color w:val="auto"/>
              </w:rPr>
              <w:t>31.1</w:t>
            </w:r>
          </w:p>
        </w:tc>
        <w:tc>
          <w:tcPr>
            <w:tcW w:w="620" w:type="dxa"/>
            <w:vAlign w:val="bottom"/>
          </w:tcPr>
          <w:p>
            <w:pPr>
              <w:spacing w:after="0"/>
              <w:rPr>
                <w:sz w:val="15"/>
                <w:szCs w:val="15"/>
                <w:color w:val="auto"/>
              </w:rPr>
            </w:pPr>
          </w:p>
        </w:tc>
        <w:tc>
          <w:tcPr>
            <w:tcW w:w="9420" w:type="dxa"/>
            <w:vAlign w:val="bottom"/>
            <w:gridSpan w:val="6"/>
          </w:tcPr>
          <w:p>
            <w:pPr>
              <w:spacing w:after="0" w:line="183" w:lineRule="exact"/>
              <w:rPr>
                <w:sz w:val="20"/>
                <w:szCs w:val="20"/>
                <w:color w:val="auto"/>
              </w:rPr>
            </w:pPr>
            <w:r>
              <w:rPr>
                <w:rFonts w:ascii="Times New Roman" w:cs="Times New Roman" w:eastAsia="Times New Roman" w:hAnsi="Times New Roman"/>
                <w:sz w:val="20"/>
                <w:szCs w:val="20"/>
                <w:color w:val="0000FF"/>
              </w:rPr>
              <w:t>Rule 13a-14(a)/15d-14(a) Certification of the Chief Executive Officer</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0000FF"/>
              <w:bottom w:val="single" w:sz="8" w:color="auto"/>
            </w:tcBorders>
          </w:tcPr>
          <w:p>
            <w:pPr>
              <w:spacing w:after="0" w:line="20" w:lineRule="exact"/>
              <w:rPr>
                <w:sz w:val="1"/>
                <w:szCs w:val="1"/>
                <w:color w:val="auto"/>
              </w:rPr>
            </w:pPr>
          </w:p>
        </w:tc>
        <w:tc>
          <w:tcPr>
            <w:tcW w:w="45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83"/>
        </w:trPr>
        <w:tc>
          <w:tcPr>
            <w:tcW w:w="980" w:type="dxa"/>
            <w:vAlign w:val="bottom"/>
            <w:gridSpan w:val="2"/>
          </w:tcPr>
          <w:p>
            <w:pPr>
              <w:ind w:left="120"/>
              <w:spacing w:after="0" w:line="183" w:lineRule="exact"/>
              <w:rPr>
                <w:sz w:val="20"/>
                <w:szCs w:val="20"/>
                <w:color w:val="auto"/>
              </w:rPr>
            </w:pPr>
            <w:r>
              <w:rPr>
                <w:rFonts w:ascii="Times New Roman" w:cs="Times New Roman" w:eastAsia="Times New Roman" w:hAnsi="Times New Roman"/>
                <w:sz w:val="20"/>
                <w:szCs w:val="20"/>
                <w:color w:val="auto"/>
              </w:rPr>
              <w:t>31.2</w:t>
            </w:r>
          </w:p>
        </w:tc>
        <w:tc>
          <w:tcPr>
            <w:tcW w:w="620" w:type="dxa"/>
            <w:vAlign w:val="bottom"/>
          </w:tcPr>
          <w:p>
            <w:pPr>
              <w:spacing w:after="0"/>
              <w:rPr>
                <w:sz w:val="15"/>
                <w:szCs w:val="15"/>
                <w:color w:val="auto"/>
              </w:rPr>
            </w:pPr>
          </w:p>
        </w:tc>
        <w:tc>
          <w:tcPr>
            <w:tcW w:w="9420" w:type="dxa"/>
            <w:vAlign w:val="bottom"/>
            <w:gridSpan w:val="6"/>
          </w:tcPr>
          <w:p>
            <w:pPr>
              <w:spacing w:after="0" w:line="183" w:lineRule="exact"/>
              <w:rPr>
                <w:sz w:val="20"/>
                <w:szCs w:val="20"/>
                <w:color w:val="auto"/>
              </w:rPr>
            </w:pPr>
            <w:r>
              <w:rPr>
                <w:rFonts w:ascii="Times New Roman" w:cs="Times New Roman" w:eastAsia="Times New Roman" w:hAnsi="Times New Roman"/>
                <w:sz w:val="20"/>
                <w:szCs w:val="20"/>
                <w:color w:val="0000FF"/>
              </w:rPr>
              <w:t>Rule 13a-14(a)/15d-14(a) Certification of the Chief Financial Officer</w:t>
            </w:r>
          </w:p>
        </w:tc>
      </w:tr>
      <w:tr>
        <w:trPr>
          <w:trHeight w:val="21"/>
        </w:trPr>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0000FF"/>
              <w:bottom w:val="single" w:sz="8" w:color="auto"/>
            </w:tcBorders>
          </w:tcPr>
          <w:p>
            <w:pPr>
              <w:spacing w:after="0" w:line="20" w:lineRule="exact"/>
              <w:rPr>
                <w:sz w:val="1"/>
                <w:szCs w:val="1"/>
                <w:color w:val="auto"/>
              </w:rPr>
            </w:pPr>
          </w:p>
        </w:tc>
        <w:tc>
          <w:tcPr>
            <w:tcW w:w="45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83"/>
        </w:trPr>
        <w:tc>
          <w:tcPr>
            <w:tcW w:w="980" w:type="dxa"/>
            <w:vAlign w:val="bottom"/>
            <w:gridSpan w:val="2"/>
          </w:tcPr>
          <w:p>
            <w:pPr>
              <w:ind w:left="120"/>
              <w:spacing w:after="0" w:line="183" w:lineRule="exact"/>
              <w:rPr>
                <w:sz w:val="20"/>
                <w:szCs w:val="20"/>
                <w:color w:val="auto"/>
              </w:rPr>
            </w:pPr>
            <w:r>
              <w:rPr>
                <w:rFonts w:ascii="Times New Roman" w:cs="Times New Roman" w:eastAsia="Times New Roman" w:hAnsi="Times New Roman"/>
                <w:sz w:val="20"/>
                <w:szCs w:val="20"/>
                <w:color w:val="auto"/>
              </w:rPr>
              <w:t>32</w:t>
            </w:r>
          </w:p>
        </w:tc>
        <w:tc>
          <w:tcPr>
            <w:tcW w:w="620" w:type="dxa"/>
            <w:vAlign w:val="bottom"/>
          </w:tcPr>
          <w:p>
            <w:pPr>
              <w:spacing w:after="0"/>
              <w:rPr>
                <w:sz w:val="15"/>
                <w:szCs w:val="15"/>
                <w:color w:val="auto"/>
              </w:rPr>
            </w:pPr>
          </w:p>
        </w:tc>
        <w:tc>
          <w:tcPr>
            <w:tcW w:w="6780" w:type="dxa"/>
            <w:vAlign w:val="bottom"/>
            <w:tcBorders>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20"/>
                <w:szCs w:val="20"/>
                <w:color w:val="0000FF"/>
                <w:w w:val="98"/>
              </w:rPr>
              <w:t>Section 1350 Certification of the Chief Executive Officer and Chief Financial Officer</w:t>
            </w:r>
          </w:p>
        </w:tc>
        <w:tc>
          <w:tcPr>
            <w:tcW w:w="20" w:type="dxa"/>
            <w:vAlign w:val="bottom"/>
            <w:tcBorders>
              <w:bottom w:val="single" w:sz="8" w:color="0000EE"/>
            </w:tcBorders>
          </w:tcPr>
          <w:p>
            <w:pPr>
              <w:spacing w:after="0"/>
              <w:rPr>
                <w:sz w:val="15"/>
                <w:szCs w:val="15"/>
                <w:color w:val="auto"/>
              </w:rPr>
            </w:pPr>
          </w:p>
        </w:tc>
        <w:tc>
          <w:tcPr>
            <w:tcW w:w="26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6986270" cy="13633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86270" cy="1363345"/>
                    </a:xfrm>
                    <a:prstGeom prst="rect">
                      <a:avLst/>
                    </a:prstGeom>
                    <a:noFill/>
                  </pic:spPr>
                </pic:pic>
              </a:graphicData>
            </a:graphic>
          </wp:anchor>
        </w:drawing>
      </w:r>
    </w:p>
    <w:p>
      <w:pPr>
        <w:ind w:left="1600" w:right="540" w:hanging="1481"/>
        <w:spacing w:after="0" w:line="245" w:lineRule="auto"/>
        <w:tabs>
          <w:tab w:leader="none" w:pos="16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Interactive data files pursuant to Rule 405 of Regulation S-T formatted in Inline Extensible Business Reporting Language (iXBRL): (i) the Consolidated Statements of Condition, (ii) the Consolidated Statements of Income (iii) the Consolidated Statements of Comprehensive Income, (iv) the Consolidated Statements of Changes in Shareholders’ Equity, (v) Consolidated Statements of Cash Flows, and (vi) the Notes to the Consolidated Financial Statements tagged as blocks of text.</w:t>
      </w:r>
    </w:p>
    <w:tbl>
      <w:tblPr>
        <w:tblLayout w:type="fixed"/>
        <w:tblInd w:w="0" w:type="dxa"/>
        <w:tblCellMar>
          <w:top w:w="0" w:type="dxa"/>
          <w:left w:w="0" w:type="dxa"/>
          <w:bottom w:w="0" w:type="dxa"/>
          <w:right w:w="0" w:type="dxa"/>
        </w:tblCellMar>
      </w:tblPr>
      <w:tr>
        <w:trPr>
          <w:trHeight w:val="255"/>
        </w:trPr>
        <w:tc>
          <w:tcPr>
            <w:tcW w:w="1000" w:type="dxa"/>
            <w:vAlign w:val="bottom"/>
            <w:tcBorders>
              <w:top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104</w:t>
            </w:r>
          </w:p>
        </w:tc>
        <w:tc>
          <w:tcPr>
            <w:tcW w:w="1002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bl>
    <w:p>
      <w:pPr>
        <w:spacing w:after="0" w:line="18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jc w:val="both"/>
        <w:ind w:right="22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500" w:type="dxa"/>
            <w:vAlign w:val="bottom"/>
            <w:gridSpan w:val="7"/>
          </w:tcPr>
          <w:p>
            <w:pPr>
              <w:jc w:val="right"/>
              <w:ind w:right="6140"/>
              <w:spacing w:after="0"/>
              <w:rPr>
                <w:sz w:val="20"/>
                <w:szCs w:val="20"/>
                <w:color w:val="auto"/>
              </w:rPr>
            </w:pPr>
            <w:r>
              <w:rPr>
                <w:rFonts w:ascii="Times New Roman" w:cs="Times New Roman" w:eastAsia="Times New Roman" w:hAnsi="Times New Roman"/>
                <w:sz w:val="20"/>
                <w:szCs w:val="20"/>
                <w:b w:val="1"/>
                <w:bCs w:val="1"/>
                <w:color w:val="auto"/>
              </w:rPr>
              <w:t>PATHFINDER BANCORP, INC.</w:t>
            </w:r>
          </w:p>
        </w:tc>
      </w:tr>
      <w:tr>
        <w:trPr>
          <w:trHeight w:val="256"/>
        </w:trPr>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36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20"/>
                <w:szCs w:val="20"/>
                <w:color w:val="auto"/>
              </w:rPr>
              <w:t>(registrant)</w:t>
            </w:r>
          </w:p>
        </w:tc>
        <w:tc>
          <w:tcPr>
            <w:tcW w:w="6140" w:type="dxa"/>
            <w:vAlign w:val="bottom"/>
          </w:tcPr>
          <w:p>
            <w:pPr>
              <w:spacing w:after="0"/>
              <w:rPr>
                <w:sz w:val="22"/>
                <w:szCs w:val="22"/>
                <w:color w:val="auto"/>
              </w:rPr>
            </w:pPr>
          </w:p>
        </w:tc>
      </w:tr>
      <w:tr>
        <w:trPr>
          <w:trHeight w:val="413"/>
        </w:trPr>
        <w:tc>
          <w:tcPr>
            <w:tcW w:w="10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May 15, 2026</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56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/s/ James A. Dowd</w:t>
            </w:r>
          </w:p>
        </w:tc>
      </w:tr>
      <w:tr>
        <w:trPr>
          <w:trHeight w:val="20"/>
        </w:trPr>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r>
      <w:tr>
        <w:trPr>
          <w:trHeight w:val="227"/>
        </w:trPr>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560" w:type="dxa"/>
            <w:vAlign w:val="bottom"/>
            <w:gridSpan w:val="5"/>
          </w:tcPr>
          <w:p>
            <w:pPr>
              <w:spacing w:after="0" w:line="228" w:lineRule="exact"/>
              <w:rPr>
                <w:sz w:val="20"/>
                <w:szCs w:val="20"/>
                <w:color w:val="auto"/>
              </w:rPr>
            </w:pPr>
            <w:r>
              <w:rPr>
                <w:rFonts w:ascii="Times New Roman" w:cs="Times New Roman" w:eastAsia="Times New Roman" w:hAnsi="Times New Roman"/>
                <w:sz w:val="20"/>
                <w:szCs w:val="20"/>
                <w:color w:val="auto"/>
              </w:rPr>
              <w:t>James A. Dowd</w:t>
            </w:r>
          </w:p>
        </w:tc>
      </w:tr>
      <w:tr>
        <w:trPr>
          <w:trHeight w:val="258"/>
        </w:trPr>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5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r>
        <w:trPr>
          <w:trHeight w:val="412"/>
        </w:trPr>
        <w:tc>
          <w:tcPr>
            <w:tcW w:w="10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May 15, 2026</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5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 Justin K. Bigham</w:t>
            </w:r>
          </w:p>
        </w:tc>
      </w:tr>
      <w:tr>
        <w:trPr>
          <w:trHeight w:val="227"/>
        </w:trPr>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Borders>
              <w:top w:val="single" w:sz="8" w:color="auto"/>
            </w:tcBorders>
            <w:gridSpan w:val="3"/>
          </w:tcPr>
          <w:p>
            <w:pPr>
              <w:spacing w:after="0" w:line="228" w:lineRule="exact"/>
              <w:rPr>
                <w:sz w:val="20"/>
                <w:szCs w:val="20"/>
                <w:color w:val="auto"/>
              </w:rPr>
            </w:pPr>
            <w:r>
              <w:rPr>
                <w:rFonts w:ascii="Times New Roman" w:cs="Times New Roman" w:eastAsia="Times New Roman" w:hAnsi="Times New Roman"/>
                <w:sz w:val="20"/>
                <w:szCs w:val="20"/>
                <w:color w:val="auto"/>
              </w:rPr>
              <w:t>Justin K. Bigham</w:t>
            </w:r>
          </w:p>
        </w:tc>
        <w:tc>
          <w:tcPr>
            <w:tcW w:w="6900" w:type="dxa"/>
            <w:vAlign w:val="bottom"/>
            <w:gridSpan w:val="2"/>
          </w:tcPr>
          <w:p>
            <w:pPr>
              <w:spacing w:after="0"/>
              <w:rPr>
                <w:sz w:val="19"/>
                <w:szCs w:val="19"/>
                <w:color w:val="auto"/>
              </w:rPr>
            </w:pPr>
          </w:p>
        </w:tc>
      </w:tr>
      <w:tr>
        <w:trPr>
          <w:trHeight w:val="258"/>
        </w:trPr>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5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Executive Vice President, Chief Financial Officer</w:t>
            </w:r>
          </w:p>
        </w:tc>
      </w:tr>
      <w:tr>
        <w:trPr>
          <w:trHeight w:val="655"/>
        </w:trPr>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00" w:type="dxa"/>
            <w:vAlign w:val="bottom"/>
            <w:gridSpan w:val="7"/>
          </w:tcPr>
          <w:p>
            <w:pPr>
              <w:jc w:val="right"/>
              <w:ind w:right="54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62</w:t>
            </w:r>
            <w:r>
              <w:rPr>
                <w:rFonts w:ascii="Times New Roman" w:cs="Times New Roman" w:eastAsia="Times New Roman" w:hAnsi="Times New Roman"/>
                <w:sz w:val="18"/>
                <w:szCs w:val="18"/>
                <w:color w:val="auto"/>
              </w:rPr>
              <w:t xml:space="preserve"> -</w:t>
            </w:r>
          </w:p>
        </w:tc>
      </w:tr>
      <w:tr>
        <w:trPr>
          <w:trHeight w:val="763"/>
        </w:trPr>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EXHIBIT 31.1: Rule 13a-14(a) / 15d-14(a) Certification of the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A. Dowd, certify that:</w:t>
      </w:r>
    </w:p>
    <w:p>
      <w:pPr>
        <w:spacing w:after="0" w:line="225" w:lineRule="exact"/>
        <w:rPr>
          <w:sz w:val="20"/>
          <w:szCs w:val="20"/>
          <w:color w:val="auto"/>
        </w:rPr>
      </w:pPr>
    </w:p>
    <w:p>
      <w:pPr>
        <w:ind w:left="560" w:hanging="365"/>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Pathfinder Bancorp, Inc.;</w:t>
      </w:r>
    </w:p>
    <w:p>
      <w:pPr>
        <w:spacing w:after="0" w:line="225" w:lineRule="exact"/>
        <w:rPr>
          <w:rFonts w:ascii="Times New Roman" w:cs="Times New Roman" w:eastAsia="Times New Roman" w:hAnsi="Times New Roman"/>
          <w:sz w:val="18"/>
          <w:szCs w:val="18"/>
          <w:color w:val="auto"/>
        </w:rPr>
      </w:pPr>
    </w:p>
    <w:p>
      <w:pPr>
        <w:jc w:val="both"/>
        <w:ind w:left="560" w:hanging="365"/>
        <w:spacing w:after="0" w:line="266" w:lineRule="auto"/>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60" w:hanging="365"/>
        <w:spacing w:after="0" w:line="282" w:lineRule="auto"/>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60" w:hanging="365"/>
        <w:spacing w:after="0" w:line="266" w:lineRule="auto"/>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2060" w:hanging="929"/>
        <w:spacing w:after="0" w:line="257" w:lineRule="auto"/>
        <w:tabs>
          <w:tab w:leader="none" w:pos="20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2060" w:hanging="929"/>
        <w:spacing w:after="0" w:line="250" w:lineRule="auto"/>
        <w:tabs>
          <w:tab w:leader="none" w:pos="20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2060" w:hanging="929"/>
        <w:spacing w:after="0" w:line="250" w:lineRule="auto"/>
        <w:tabs>
          <w:tab w:leader="none" w:pos="20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60" w:hanging="929"/>
        <w:spacing w:after="0" w:line="255" w:lineRule="auto"/>
        <w:tabs>
          <w:tab w:leader="none" w:pos="20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jc w:val="both"/>
        <w:ind w:left="2060" w:hanging="929"/>
        <w:spacing w:after="0" w:line="257" w:lineRule="auto"/>
        <w:tabs>
          <w:tab w:leader="none" w:pos="20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60" w:hanging="929"/>
        <w:spacing w:after="0" w:line="260" w:lineRule="auto"/>
        <w:tabs>
          <w:tab w:leader="none" w:pos="20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tabs>
          <w:tab w:leader="none" w:pos="5700" w:val="left"/>
        </w:tabs>
        <w:rPr>
          <w:sz w:val="20"/>
          <w:szCs w:val="20"/>
          <w:color w:val="auto"/>
        </w:rPr>
      </w:pPr>
      <w:r>
        <w:rPr>
          <w:rFonts w:ascii="Times New Roman" w:cs="Times New Roman" w:eastAsia="Times New Roman" w:hAnsi="Times New Roman"/>
          <w:sz w:val="18"/>
          <w:szCs w:val="18"/>
          <w:u w:val="single" w:color="auto"/>
          <w:color w:val="auto"/>
        </w:rPr>
        <w:t>May 15, 2026</w:t>
      </w:r>
      <w:r>
        <w:rPr>
          <w:sz w:val="20"/>
          <w:szCs w:val="20"/>
          <w:color w:val="auto"/>
        </w:rPr>
        <w:tab/>
      </w:r>
      <w:r>
        <w:rPr>
          <w:rFonts w:ascii="Times New Roman" w:cs="Times New Roman" w:eastAsia="Times New Roman" w:hAnsi="Times New Roman"/>
          <w:sz w:val="17"/>
          <w:szCs w:val="17"/>
          <w:u w:val="single" w:color="auto"/>
          <w:color w:val="auto"/>
        </w:rPr>
        <w:t>/s/ James A. Dowd</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James A. Dowd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EXHIBIT 31.2: Rule 13a-14(a) / 15d-14(a) Certification of the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K. Bigham, certify that:</w:t>
      </w:r>
    </w:p>
    <w:p>
      <w:pPr>
        <w:spacing w:after="0" w:line="225"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Pathfinder Bancorp, Inc.;</w:t>
      </w:r>
    </w:p>
    <w:p>
      <w:pPr>
        <w:spacing w:after="0" w:line="225" w:lineRule="exact"/>
        <w:rPr>
          <w:sz w:val="20"/>
          <w:szCs w:val="20"/>
          <w:color w:val="auto"/>
        </w:rPr>
      </w:pPr>
    </w:p>
    <w:p>
      <w:pPr>
        <w:jc w:val="both"/>
        <w:ind w:left="760" w:hanging="379"/>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2.</w:t>
        <w:tab/>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57"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500" w:hanging="369"/>
        <w:spacing w:after="0" w:line="250"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500" w:hanging="369"/>
        <w:spacing w:after="0" w:line="250"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500" w:hanging="369"/>
        <w:spacing w:after="0" w:line="255"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1500" w:hanging="369"/>
        <w:spacing w:after="0" w:line="261"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00" w:hanging="369"/>
        <w:spacing w:after="0" w:line="260"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p>
      <w:pPr>
        <w:ind w:left="100"/>
        <w:spacing w:after="0"/>
        <w:tabs>
          <w:tab w:leader="none" w:pos="5540" w:val="left"/>
        </w:tabs>
        <w:rPr>
          <w:sz w:val="20"/>
          <w:szCs w:val="20"/>
          <w:color w:val="auto"/>
        </w:rPr>
      </w:pPr>
      <w:r>
        <w:rPr>
          <w:rFonts w:ascii="Times New Roman" w:cs="Times New Roman" w:eastAsia="Times New Roman" w:hAnsi="Times New Roman"/>
          <w:sz w:val="18"/>
          <w:szCs w:val="18"/>
          <w:u w:val="single" w:color="auto"/>
          <w:color w:val="auto"/>
        </w:rPr>
        <w:t>May 15, 2026</w:t>
      </w:r>
      <w:r>
        <w:rPr>
          <w:sz w:val="20"/>
          <w:szCs w:val="20"/>
          <w:color w:val="auto"/>
        </w:rPr>
        <w:tab/>
      </w:r>
      <w:r>
        <w:rPr>
          <w:rFonts w:ascii="Times New Roman" w:cs="Times New Roman" w:eastAsia="Times New Roman" w:hAnsi="Times New Roman"/>
          <w:sz w:val="17"/>
          <w:szCs w:val="17"/>
          <w:u w:val="single" w:color="auto"/>
          <w:color w:val="auto"/>
        </w:rPr>
        <w:t>/s/ Justin K. Bigham</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Justin K. Bigham</w:t>
      </w:r>
    </w:p>
    <w:p>
      <w:pPr>
        <w:spacing w:after="0" w:line="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EXHIBIT 32 Section 1350 Certification of the Chief Executive Officer and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 18 U.S.C. §1350, as adopted pursuant to §906 of the Sarbanes-Oxley Act of 2002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Pathfinder Bancorp, Inc. (the “Company”) on Form 10-Q for the period ended March 31, 2026 as filed with the Securities and Exchange Commission (the “Report”), the undersigned hereby certify, pursuant to 18 U.S.C. §1350, as adopted pursuant to §906 of the Sarbanes-Oxley Act of 2002, that:</w:t>
      </w:r>
    </w:p>
    <w:p>
      <w:pPr>
        <w:spacing w:after="0" w:line="176" w:lineRule="exact"/>
        <w:rPr>
          <w:sz w:val="20"/>
          <w:szCs w:val="20"/>
          <w:color w:val="auto"/>
        </w:rPr>
      </w:pPr>
    </w:p>
    <w:p>
      <w:pPr>
        <w:ind w:left="940" w:hanging="745"/>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40" w:right="20" w:hanging="745"/>
        <w:spacing w:after="0" w:line="282"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purpose of this statement is solely to comply with Title 18, Chapter 63, Section 1350 of the United States Code, as amended by Section 906 of the Sarbanes-Oxley Act of 2002.</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w w:val="97"/>
              </w:rPr>
              <w:t>May 15, 2026</w:t>
            </w:r>
          </w:p>
        </w:tc>
        <w:tc>
          <w:tcPr>
            <w:tcW w:w="9960" w:type="dxa"/>
            <w:vAlign w:val="bottom"/>
            <w:gridSpan w:val="4"/>
          </w:tcPr>
          <w:p>
            <w:pPr>
              <w:ind w:left="4280"/>
              <w:spacing w:after="0"/>
              <w:rPr>
                <w:sz w:val="20"/>
                <w:szCs w:val="20"/>
                <w:color w:val="auto"/>
              </w:rPr>
            </w:pPr>
            <w:r>
              <w:rPr>
                <w:rFonts w:ascii="Times New Roman" w:cs="Times New Roman" w:eastAsia="Times New Roman" w:hAnsi="Times New Roman"/>
                <w:sz w:val="18"/>
                <w:szCs w:val="18"/>
                <w:color w:val="auto"/>
              </w:rPr>
              <w:t>/s/ James A. Dowd</w:t>
            </w:r>
          </w:p>
        </w:tc>
      </w:tr>
      <w:tr>
        <w:trPr>
          <w:trHeight w:val="20"/>
        </w:trPr>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18"/>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960" w:type="dxa"/>
            <w:vAlign w:val="bottom"/>
            <w:gridSpan w:val="4"/>
          </w:tcPr>
          <w:p>
            <w:pPr>
              <w:ind w:left="4280"/>
              <w:spacing w:after="0"/>
              <w:rPr>
                <w:sz w:val="20"/>
                <w:szCs w:val="20"/>
                <w:color w:val="auto"/>
              </w:rPr>
            </w:pPr>
            <w:r>
              <w:rPr>
                <w:rFonts w:ascii="Times New Roman" w:cs="Times New Roman" w:eastAsia="Times New Roman" w:hAnsi="Times New Roman"/>
                <w:sz w:val="18"/>
                <w:szCs w:val="18"/>
                <w:color w:val="auto"/>
              </w:rPr>
              <w:t>James A. Dowd</w:t>
            </w:r>
          </w:p>
        </w:tc>
      </w:tr>
      <w:tr>
        <w:trPr>
          <w:trHeight w:val="234"/>
        </w:trPr>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960" w:type="dxa"/>
            <w:vAlign w:val="bottom"/>
            <w:gridSpan w:val="4"/>
          </w:tcPr>
          <w:p>
            <w:pPr>
              <w:ind w:left="42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391"/>
        </w:trPr>
        <w:tc>
          <w:tcPr>
            <w:tcW w:w="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w w:val="97"/>
              </w:rPr>
              <w:t>May 15, 2026</w:t>
            </w:r>
          </w:p>
        </w:tc>
        <w:tc>
          <w:tcPr>
            <w:tcW w:w="9960" w:type="dxa"/>
            <w:vAlign w:val="bottom"/>
            <w:gridSpan w:val="4"/>
          </w:tcPr>
          <w:p>
            <w:pPr>
              <w:ind w:left="4280"/>
              <w:spacing w:after="0"/>
              <w:rPr>
                <w:sz w:val="20"/>
                <w:szCs w:val="20"/>
                <w:color w:val="auto"/>
              </w:rPr>
            </w:pPr>
            <w:r>
              <w:rPr>
                <w:rFonts w:ascii="Times New Roman" w:cs="Times New Roman" w:eastAsia="Times New Roman" w:hAnsi="Times New Roman"/>
                <w:sz w:val="18"/>
                <w:szCs w:val="18"/>
                <w:color w:val="auto"/>
              </w:rPr>
              <w:t>/s/ Justin K. Bigham</w:t>
            </w:r>
          </w:p>
        </w:tc>
      </w:tr>
      <w:tr>
        <w:trPr>
          <w:trHeight w:val="20"/>
        </w:trPr>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18"/>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960" w:type="dxa"/>
            <w:vAlign w:val="bottom"/>
            <w:gridSpan w:val="4"/>
          </w:tcPr>
          <w:p>
            <w:pPr>
              <w:ind w:left="4280"/>
              <w:spacing w:after="0"/>
              <w:rPr>
                <w:sz w:val="20"/>
                <w:szCs w:val="20"/>
                <w:color w:val="auto"/>
              </w:rPr>
            </w:pPr>
            <w:r>
              <w:rPr>
                <w:rFonts w:ascii="Times New Roman" w:cs="Times New Roman" w:eastAsia="Times New Roman" w:hAnsi="Times New Roman"/>
                <w:sz w:val="18"/>
                <w:szCs w:val="18"/>
                <w:color w:val="auto"/>
              </w:rPr>
              <w:t>Justin K. Bigham</w:t>
            </w:r>
          </w:p>
        </w:tc>
      </w:tr>
      <w:tr>
        <w:trPr>
          <w:trHeight w:val="234"/>
        </w:trPr>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960" w:type="dxa"/>
            <w:vAlign w:val="bottom"/>
            <w:gridSpan w:val="4"/>
          </w:tcPr>
          <w:p>
            <w:pPr>
              <w:ind w:left="428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1843"/>
        </w:trPr>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bullet"/>
      <w:start w:val="1"/>
    </w:lvl>
    <w:lvl w:ilvl="1">
      <w:lvlJc w:val="left"/>
      <w:lvlText w:val="-"/>
      <w:numFmt w:val="bullet"/>
      <w:start w:val="1"/>
    </w:lvl>
  </w:abstractNum>
  <w:abstractNum w:abstractNumId="3">
    <w:nsid w:val="216231B"/>
    <w:multiLevelType w:val="hybridMultilevel"/>
    <w:lvl w:ilvl="0">
      <w:lvlJc w:val="left"/>
      <w:lvlText w:val="1"/>
      <w:numFmt w:val="bullet"/>
      <w:start w:val="1"/>
    </w:lvl>
    <w:lvl w:ilvl="1">
      <w:lvlJc w:val="left"/>
      <w:lvlText w:val="-"/>
      <w:numFmt w:val="bullet"/>
      <w:start w:val="1"/>
    </w:lvl>
  </w:abstractNum>
  <w:abstractNum w:abstractNumId="4">
    <w:nsid w:val="1F16E9E8"/>
    <w:multiLevelType w:val="hybridMultilevel"/>
    <w:lvl w:ilvl="0">
      <w:lvlJc w:val="left"/>
      <w:lvlText w:val="•"/>
      <w:numFmt w:val="bullet"/>
      <w:start w:val="1"/>
    </w:lvl>
    <w:lvl w:ilvl="1">
      <w:lvlJc w:val="left"/>
      <w:lvlText w:val="-"/>
      <w:numFmt w:val="bullet"/>
      <w:start w:val="1"/>
    </w:lvl>
  </w:abstractNum>
  <w:abstractNum w:abstractNumId="5">
    <w:nsid w:val="1190CDE7"/>
    <w:multiLevelType w:val="hybridMultilevel"/>
    <w:lvl w:ilvl="0">
      <w:lvlJc w:val="left"/>
      <w:lvlText w:val="•"/>
      <w:numFmt w:val="bullet"/>
      <w:start w:val="1"/>
    </w:lvl>
    <w:lvl w:ilvl="1">
      <w:lvlJc w:val="left"/>
      <w:lvlText w:val="-"/>
      <w:numFmt w:val="bullet"/>
      <w:start w:val="1"/>
    </w:lvl>
  </w:abstractNum>
  <w:abstractNum w:abstractNumId="6">
    <w:nsid w:val="66EF438D"/>
    <w:multiLevelType w:val="hybridMultilevel"/>
    <w:lvl w:ilvl="0">
      <w:lvlJc w:val="left"/>
      <w:lvlText w:val="(%1)"/>
      <w:numFmt w:val="decimal"/>
      <w:start w:val="1"/>
    </w:lvl>
    <w:lvl w:ilvl="1">
      <w:lvlJc w:val="left"/>
      <w:lvlText w:val="%2."/>
      <w:numFmt w:val="lowerLetter"/>
      <w:start w:val="1"/>
    </w:lvl>
  </w:abstractNum>
  <w:abstractNum w:abstractNumId="7">
    <w:nsid w:val="140E0F76"/>
    <w:multiLevelType w:val="hybridMultilevel"/>
    <w:lvl w:ilvl="0">
      <w:lvlJc w:val="left"/>
      <w:lvlText w:val="1"/>
      <w:numFmt w:val="bullet"/>
      <w:start w:val="1"/>
    </w:lvl>
  </w:abstractNum>
  <w:abstractNum w:abstractNumId="8">
    <w:nsid w:val="3352255A"/>
    <w:multiLevelType w:val="hybridMultilevel"/>
    <w:lvl w:ilvl="0">
      <w:lvlJc w:val="left"/>
      <w:lvlText w:val="2"/>
      <w:numFmt w:val="bullet"/>
      <w:start w:val="1"/>
    </w:lvl>
    <w:lvl w:ilvl="1">
      <w:lvlJc w:val="left"/>
      <w:lvlText w:val="-"/>
      <w:numFmt w:val="bullet"/>
      <w:start w:val="1"/>
    </w:lvl>
  </w:abstractNum>
  <w:abstractNum w:abstractNumId="9">
    <w:nsid w:val="109CF92E"/>
    <w:multiLevelType w:val="hybridMultilevel"/>
    <w:lvl w:ilvl="0">
      <w:lvlJc w:val="left"/>
      <w:lvlText w:val="•"/>
      <w:numFmt w:val="bullet"/>
      <w:start w:val="1"/>
    </w:lvl>
    <w:lvl w:ilvl="1">
      <w:lvlJc w:val="left"/>
      <w:lvlText w:val="-"/>
      <w:numFmt w:val="bullet"/>
      <w:start w:val="1"/>
    </w:lvl>
  </w:abstractNum>
  <w:abstractNum w:abstractNumId="10">
    <w:nsid w:val="DED7263"/>
    <w:multiLevelType w:val="hybridMultilevel"/>
    <w:lvl w:ilvl="0">
      <w:lvlJc w:val="left"/>
      <w:lvlText w:val="1"/>
      <w:numFmt w:val="bullet"/>
      <w:start w:val="1"/>
    </w:lvl>
    <w:lvl w:ilvl="1">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01"/>
    </w:lvl>
  </w:abstractNum>
  <w:abstractNum w:abstractNumId="13">
    <w:nsid w:val="41A7C4C9"/>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3"/>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2026-05-15T15:27:21Z</dcterms:created>
  <dcterms:modified xsi:type="dcterms:W3CDTF">2026-05-15T15:27:21Z</dcterms:modified>
</cp:coreProperties>
</file>