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88" w:lineRule="exact"/>
        <w:rPr>
          <w:sz w:val="24"/>
          <w:szCs w:val="24"/>
          <w:color w:val="auto"/>
        </w:rPr>
      </w:pPr>
    </w:p>
    <w:p>
      <w:pPr>
        <w:ind w:left="2460" w:hanging="762"/>
        <w:spacing w:after="0"/>
        <w:tabs>
          <w:tab w:leader="none" w:pos="2460" w:val="left"/>
        </w:tabs>
        <w:numPr>
          <w:ilvl w:val="0"/>
          <w:numId w:val="1"/>
        </w:numPr>
        <w:rPr>
          <w:rFonts w:ascii="MS PGothic" w:cs="MS PGothic" w:eastAsia="MS PGothic" w:hAnsi="MS PGothic"/>
          <w:sz w:val="16"/>
          <w:szCs w:val="16"/>
          <w:b w:val="1"/>
          <w:bCs w:val="1"/>
          <w:color w:val="auto"/>
        </w:rPr>
      </w:pPr>
      <w:r>
        <w:rPr>
          <w:rFonts w:ascii="Arial" w:cs="Arial" w:eastAsia="Arial" w:hAnsi="Arial"/>
          <w:sz w:val="16"/>
          <w:szCs w:val="16"/>
          <w:color w:val="auto"/>
        </w:rPr>
        <w:t>QUARTERLY REPORT PURSUANT TO SECTION 13 OR 15(d) OF THE SECURITIES</w:t>
      </w:r>
    </w:p>
    <w:p>
      <w:pPr>
        <w:spacing w:after="0" w:line="6" w:lineRule="exact"/>
        <w:rPr>
          <w:rFonts w:ascii="MS PGothic" w:cs="MS PGothic" w:eastAsia="MS PGothic" w:hAnsi="MS PGothic"/>
          <w:sz w:val="16"/>
          <w:szCs w:val="16"/>
          <w:b w:val="1"/>
          <w:bCs w:val="1"/>
          <w:color w:val="auto"/>
        </w:rPr>
      </w:pPr>
    </w:p>
    <w:p>
      <w:pPr>
        <w:ind w:left="4520"/>
        <w:spacing w:after="0"/>
        <w:rPr>
          <w:rFonts w:ascii="MS PGothic" w:cs="MS PGothic" w:eastAsia="MS PGothic" w:hAnsi="MS PGothic"/>
          <w:sz w:val="16"/>
          <w:szCs w:val="16"/>
          <w:b w:val="1"/>
          <w:bCs w:val="1"/>
          <w:color w:val="auto"/>
        </w:rPr>
      </w:pPr>
      <w:r>
        <w:rPr>
          <w:rFonts w:ascii="Arial" w:cs="Arial" w:eastAsia="Arial" w:hAnsi="Arial"/>
          <w:sz w:val="16"/>
          <w:szCs w:val="16"/>
          <w:color w:val="auto"/>
        </w:rPr>
        <w:t>EXCHANGE ACT OF 1934</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September 30, 2023</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32" w:lineRule="exact"/>
        <w:rPr>
          <w:sz w:val="24"/>
          <w:szCs w:val="24"/>
          <w:color w:val="auto"/>
        </w:rPr>
      </w:pPr>
    </w:p>
    <w:p>
      <w:pPr>
        <w:ind w:left="2480" w:hanging="782"/>
        <w:spacing w:after="0"/>
        <w:tabs>
          <w:tab w:leader="none" w:pos="2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w:t>
      </w:r>
    </w:p>
    <w:p>
      <w:pPr>
        <w:spacing w:after="0" w:line="6" w:lineRule="exact"/>
        <w:rPr>
          <w:rFonts w:ascii="MS PGothic" w:cs="MS PGothic" w:eastAsia="MS PGothic" w:hAnsi="MS PGothic"/>
          <w:sz w:val="16"/>
          <w:szCs w:val="16"/>
          <w:color w:val="auto"/>
        </w:rPr>
      </w:pPr>
    </w:p>
    <w:p>
      <w:pPr>
        <w:ind w:left="4520"/>
        <w:spacing w:after="0"/>
        <w:rPr>
          <w:rFonts w:ascii="MS PGothic" w:cs="MS PGothic" w:eastAsia="MS PGothic" w:hAnsi="MS PGothic"/>
          <w:sz w:val="16"/>
          <w:szCs w:val="16"/>
          <w:color w:val="auto"/>
        </w:rPr>
      </w:pPr>
      <w:r>
        <w:rPr>
          <w:rFonts w:ascii="Arial" w:cs="Arial" w:eastAsia="Arial" w:hAnsi="Arial"/>
          <w:sz w:val="16"/>
          <w:szCs w:val="16"/>
          <w:color w:val="auto"/>
        </w:rPr>
        <w:t>EXCHANGE ACT OF 1934</w:t>
      </w:r>
    </w:p>
    <w:p>
      <w:pPr>
        <w:spacing w:after="0" w:line="3"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-635</wp:posOffset>
            </wp:positionV>
            <wp:extent cx="1623695" cy="381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3695" cy="381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0" w:type="dxa"/>
            <w:vAlign w:val="bottom"/>
            <w:gridSpan w:val="13"/>
          </w:tcPr>
          <w:p>
            <w:pPr>
              <w:jc w:val="center"/>
              <w:ind w:right="3340"/>
              <w:spacing w:after="0"/>
              <w:rPr>
                <w:sz w:val="20"/>
                <w:szCs w:val="20"/>
                <w:color w:val="auto"/>
              </w:rPr>
            </w:pPr>
            <w:r>
              <w:rPr>
                <w:rFonts w:ascii="Arial" w:cs="Arial" w:eastAsia="Arial" w:hAnsi="Arial"/>
                <w:sz w:val="16"/>
                <w:szCs w:val="16"/>
                <w:color w:val="auto"/>
                <w:w w:val="97"/>
              </w:rPr>
              <w:t>(Exact Name of Company as Specified in its Charter)</w:t>
            </w:r>
          </w:p>
        </w:tc>
      </w:tr>
      <w:tr>
        <w:trPr>
          <w:trHeight w:val="314"/>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7"/>
              </w:rPr>
              <w:t>Maryland</w:t>
            </w:r>
          </w:p>
        </w:tc>
        <w:tc>
          <w:tcPr>
            <w:tcW w:w="1260" w:type="dxa"/>
            <w:vAlign w:val="bottom"/>
            <w:gridSpan w:val="2"/>
          </w:tcPr>
          <w:p>
            <w:pPr>
              <w:spacing w:after="0"/>
              <w:rPr>
                <w:sz w:val="24"/>
                <w:szCs w:val="24"/>
                <w:color w:val="auto"/>
              </w:rPr>
            </w:pPr>
          </w:p>
        </w:tc>
        <w:tc>
          <w:tcPr>
            <w:tcW w:w="1560" w:type="dxa"/>
            <w:vAlign w:val="bottom"/>
            <w:gridSpan w:val="4"/>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6"/>
                <w:szCs w:val="16"/>
                <w:color w:val="auto"/>
                <w:w w:val="96"/>
              </w:rPr>
              <w:t>001-36695</w:t>
            </w:r>
          </w:p>
        </w:tc>
        <w:tc>
          <w:tcPr>
            <w:tcW w:w="580" w:type="dxa"/>
            <w:vAlign w:val="bottom"/>
          </w:tcPr>
          <w:p>
            <w:pPr>
              <w:spacing w:after="0"/>
              <w:rPr>
                <w:sz w:val="24"/>
                <w:szCs w:val="24"/>
                <w:color w:val="auto"/>
              </w:rPr>
            </w:pPr>
          </w:p>
        </w:tc>
        <w:tc>
          <w:tcPr>
            <w:tcW w:w="3100" w:type="dxa"/>
            <w:vAlign w:val="bottom"/>
            <w:gridSpan w:val="4"/>
          </w:tcPr>
          <w:p>
            <w:pPr>
              <w:jc w:val="right"/>
              <w:ind w:right="300"/>
              <w:spacing w:after="0"/>
              <w:rPr>
                <w:sz w:val="20"/>
                <w:szCs w:val="20"/>
                <w:color w:val="auto"/>
              </w:rPr>
            </w:pPr>
            <w:r>
              <w:rPr>
                <w:rFonts w:ascii="Arial" w:cs="Arial" w:eastAsia="Arial" w:hAnsi="Arial"/>
                <w:sz w:val="16"/>
                <w:szCs w:val="16"/>
                <w:color w:val="auto"/>
              </w:rPr>
              <w:t>38-3941859</w:t>
            </w:r>
          </w:p>
        </w:tc>
        <w:tc>
          <w:tcPr>
            <w:tcW w:w="10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4"/>
        </w:trPr>
        <w:tc>
          <w:tcPr>
            <w:tcW w:w="3360" w:type="dxa"/>
            <w:vAlign w:val="bottom"/>
            <w:gridSpan w:val="5"/>
          </w:tcPr>
          <w:p>
            <w:pPr>
              <w:jc w:val="center"/>
              <w:ind w:left="102"/>
              <w:spacing w:after="0"/>
              <w:rPr>
                <w:sz w:val="20"/>
                <w:szCs w:val="20"/>
                <w:color w:val="auto"/>
              </w:rPr>
            </w:pPr>
            <w:r>
              <w:rPr>
                <w:rFonts w:ascii="Arial" w:cs="Arial" w:eastAsia="Arial" w:hAnsi="Arial"/>
                <w:sz w:val="16"/>
                <w:szCs w:val="16"/>
                <w:color w:val="auto"/>
                <w:w w:val="97"/>
              </w:rPr>
              <w:t>(State of Other Jurisdiction of Incorporation)</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6"/>
          </w:tcPr>
          <w:p>
            <w:pPr>
              <w:jc w:val="center"/>
              <w:ind w:left="242"/>
              <w:spacing w:after="0"/>
              <w:rPr>
                <w:sz w:val="20"/>
                <w:szCs w:val="20"/>
                <w:color w:val="auto"/>
              </w:rPr>
            </w:pPr>
            <w:r>
              <w:rPr>
                <w:rFonts w:ascii="Arial" w:cs="Arial" w:eastAsia="Arial" w:hAnsi="Arial"/>
                <w:sz w:val="16"/>
                <w:szCs w:val="16"/>
                <w:color w:val="auto"/>
                <w:w w:val="97"/>
              </w:rPr>
              <w:t>(Commission File No.)</w:t>
            </w:r>
          </w:p>
        </w:tc>
        <w:tc>
          <w:tcPr>
            <w:tcW w:w="320" w:type="dxa"/>
            <w:vAlign w:val="bottom"/>
          </w:tcPr>
          <w:p>
            <w:pPr>
              <w:spacing w:after="0"/>
              <w:rPr>
                <w:sz w:val="16"/>
                <w:szCs w:val="16"/>
                <w:color w:val="auto"/>
              </w:rPr>
            </w:pPr>
          </w:p>
        </w:tc>
        <w:tc>
          <w:tcPr>
            <w:tcW w:w="3820" w:type="dxa"/>
            <w:vAlign w:val="bottom"/>
            <w:gridSpan w:val="4"/>
          </w:tcPr>
          <w:p>
            <w:pPr>
              <w:jc w:val="center"/>
              <w:ind w:left="242"/>
              <w:spacing w:after="0"/>
              <w:rPr>
                <w:sz w:val="20"/>
                <w:szCs w:val="20"/>
                <w:color w:val="auto"/>
              </w:rPr>
            </w:pPr>
            <w:r>
              <w:rPr>
                <w:rFonts w:ascii="Arial" w:cs="Arial" w:eastAsia="Arial" w:hAnsi="Arial"/>
                <w:sz w:val="16"/>
                <w:szCs w:val="16"/>
                <w:color w:val="auto"/>
                <w:w w:val="96"/>
              </w:rPr>
              <w:t>(I.R.S. Employer Identification No.)</w:t>
            </w:r>
          </w:p>
        </w:tc>
      </w:tr>
      <w:tr>
        <w:trPr>
          <w:trHeight w:val="186"/>
        </w:trPr>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20" w:type="dxa"/>
            <w:vAlign w:val="bottom"/>
            <w:gridSpan w:val="11"/>
          </w:tcPr>
          <w:p>
            <w:pPr>
              <w:jc w:val="center"/>
              <w:ind w:right="3820"/>
              <w:spacing w:after="0"/>
              <w:rPr>
                <w:sz w:val="20"/>
                <w:szCs w:val="20"/>
                <w:color w:val="auto"/>
              </w:rPr>
            </w:pPr>
            <w:r>
              <w:rPr>
                <w:rFonts w:ascii="Arial" w:cs="Arial" w:eastAsia="Arial" w:hAnsi="Arial"/>
                <w:sz w:val="16"/>
                <w:szCs w:val="16"/>
                <w:color w:val="auto"/>
                <w:w w:val="97"/>
              </w:rPr>
              <w:t>214 West First Street, Oswego, NY 13126</w:t>
            </w: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2"/>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0" w:type="dxa"/>
            <w:vAlign w:val="bottom"/>
            <w:gridSpan w:val="13"/>
          </w:tcPr>
          <w:p>
            <w:pPr>
              <w:jc w:val="center"/>
              <w:ind w:right="3340"/>
              <w:spacing w:after="0"/>
              <w:rPr>
                <w:sz w:val="20"/>
                <w:szCs w:val="20"/>
                <w:color w:val="auto"/>
              </w:rPr>
            </w:pPr>
            <w:r>
              <w:rPr>
                <w:rFonts w:ascii="Arial" w:cs="Arial" w:eastAsia="Arial" w:hAnsi="Arial"/>
                <w:sz w:val="16"/>
                <w:szCs w:val="16"/>
                <w:color w:val="auto"/>
                <w:w w:val="96"/>
              </w:rPr>
              <w:t>(Address of Principal Executive Office) (Zip Code)</w:t>
            </w:r>
          </w:p>
        </w:tc>
      </w:tr>
      <w:tr>
        <w:trPr>
          <w:trHeight w:val="278"/>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6"/>
              </w:rPr>
              <w:t>(315) 343-0057</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0" w:type="dxa"/>
            <w:vAlign w:val="bottom"/>
            <w:gridSpan w:val="13"/>
          </w:tcPr>
          <w:p>
            <w:pPr>
              <w:jc w:val="center"/>
              <w:ind w:right="3340"/>
              <w:spacing w:after="0"/>
              <w:rPr>
                <w:sz w:val="20"/>
                <w:szCs w:val="20"/>
                <w:color w:val="auto"/>
              </w:rPr>
            </w:pPr>
            <w:r>
              <w:rPr>
                <w:rFonts w:ascii="Arial" w:cs="Arial" w:eastAsia="Arial" w:hAnsi="Arial"/>
                <w:sz w:val="16"/>
                <w:szCs w:val="16"/>
                <w:color w:val="auto"/>
                <w:w w:val="97"/>
              </w:rPr>
              <w:t>(Issuer’s Telephone Number including area code)</w:t>
            </w:r>
          </w:p>
        </w:tc>
      </w:tr>
      <w:tr>
        <w:trPr>
          <w:trHeight w:val="312"/>
        </w:trPr>
        <w:tc>
          <w:tcPr>
            <w:tcW w:w="6420" w:type="dxa"/>
            <w:vAlign w:val="bottom"/>
            <w:gridSpan w:val="1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4"/>
        </w:trPr>
        <w:tc>
          <w:tcPr>
            <w:tcW w:w="1140" w:type="dxa"/>
            <w:vAlign w:val="bottom"/>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Title of each class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7"/>
              </w:rPr>
              <w:t>Trading Symbol(s)</w:t>
            </w:r>
          </w:p>
        </w:tc>
        <w:tc>
          <w:tcPr>
            <w:tcW w:w="1320" w:type="dxa"/>
            <w:vAlign w:val="bottom"/>
            <w:gridSpan w:val="3"/>
          </w:tcPr>
          <w:p>
            <w:pPr>
              <w:spacing w:after="0"/>
              <w:rPr>
                <w:sz w:val="24"/>
                <w:szCs w:val="24"/>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7"/>
              </w:rPr>
              <w:t>Name of each exchange on which registered</w:t>
            </w:r>
          </w:p>
        </w:tc>
        <w:tc>
          <w:tcPr>
            <w:tcW w:w="1040" w:type="dxa"/>
            <w:vAlign w:val="bottom"/>
          </w:tcPr>
          <w:p>
            <w:pPr>
              <w:spacing w:after="0"/>
              <w:rPr>
                <w:sz w:val="24"/>
                <w:szCs w:val="24"/>
                <w:color w:val="auto"/>
              </w:rPr>
            </w:pPr>
          </w:p>
        </w:tc>
      </w:tr>
      <w:tr>
        <w:trPr>
          <w:trHeight w:val="218"/>
        </w:trPr>
        <w:tc>
          <w:tcPr>
            <w:tcW w:w="3360" w:type="dxa"/>
            <w:vAlign w:val="bottom"/>
            <w:gridSpan w:val="5"/>
          </w:tcPr>
          <w:p>
            <w:pPr>
              <w:jc w:val="center"/>
              <w:ind w:left="102"/>
              <w:spacing w:after="0"/>
              <w:rPr>
                <w:sz w:val="20"/>
                <w:szCs w:val="20"/>
                <w:color w:val="auto"/>
              </w:rPr>
            </w:pPr>
            <w:r>
              <w:rPr>
                <w:rFonts w:ascii="Arial" w:cs="Arial" w:eastAsia="Arial" w:hAnsi="Arial"/>
                <w:sz w:val="16"/>
                <w:szCs w:val="16"/>
                <w:color w:val="auto"/>
                <w:w w:val="97"/>
              </w:rPr>
              <w:t>Common Stock, $0.01 par value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6"/>
          </w:tcPr>
          <w:p>
            <w:pPr>
              <w:jc w:val="center"/>
              <w:ind w:right="1340"/>
              <w:spacing w:after="0"/>
              <w:rPr>
                <w:sz w:val="20"/>
                <w:szCs w:val="20"/>
                <w:color w:val="auto"/>
              </w:rPr>
            </w:pPr>
            <w:r>
              <w:rPr>
                <w:rFonts w:ascii="Arial" w:cs="Arial" w:eastAsia="Arial" w:hAnsi="Arial"/>
                <w:sz w:val="16"/>
                <w:szCs w:val="16"/>
                <w:color w:val="auto"/>
                <w:w w:val="98"/>
              </w:rPr>
              <w:t>PBHC</w:t>
            </w:r>
          </w:p>
        </w:tc>
        <w:tc>
          <w:tcPr>
            <w:tcW w:w="320" w:type="dxa"/>
            <w:vAlign w:val="bottom"/>
          </w:tcPr>
          <w:p>
            <w:pPr>
              <w:spacing w:after="0"/>
              <w:rPr>
                <w:sz w:val="18"/>
                <w:szCs w:val="18"/>
                <w:color w:val="auto"/>
              </w:rPr>
            </w:pPr>
          </w:p>
        </w:tc>
        <w:tc>
          <w:tcPr>
            <w:tcW w:w="3820" w:type="dxa"/>
            <w:vAlign w:val="bottom"/>
            <w:gridSpan w:val="4"/>
          </w:tcPr>
          <w:p>
            <w:pPr>
              <w:jc w:val="center"/>
              <w:ind w:right="1360"/>
              <w:spacing w:after="0"/>
              <w:rPr>
                <w:sz w:val="20"/>
                <w:szCs w:val="20"/>
                <w:color w:val="auto"/>
              </w:rPr>
            </w:pPr>
            <w:r>
              <w:rPr>
                <w:rFonts w:ascii="Arial" w:cs="Arial" w:eastAsia="Arial" w:hAnsi="Arial"/>
                <w:sz w:val="16"/>
                <w:szCs w:val="16"/>
                <w:color w:val="auto"/>
                <w:w w:val="97"/>
              </w:rPr>
              <w:t>The NASDAQ Stock Market LLC</w:t>
            </w:r>
          </w:p>
        </w:tc>
      </w:tr>
    </w:tbl>
    <w:p>
      <w:pPr>
        <w:spacing w:after="0" w:line="103" w:lineRule="exact"/>
        <w:rPr>
          <w:sz w:val="24"/>
          <w:szCs w:val="24"/>
          <w:color w:val="auto"/>
        </w:rPr>
      </w:pPr>
    </w:p>
    <w:p>
      <w:pPr>
        <w:jc w:val="both"/>
        <w:ind w:right="18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8" w:lineRule="exact"/>
        <w:rPr>
          <w:sz w:val="24"/>
          <w:szCs w:val="24"/>
          <w:color w:val="auto"/>
        </w:rPr>
      </w:pPr>
    </w:p>
    <w:p>
      <w:pPr>
        <w:ind w:left="1440"/>
        <w:spacing w:after="0" w:line="184" w:lineRule="exact"/>
        <w:tabs>
          <w:tab w:leader="none" w:pos="22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6" w:lineRule="exact"/>
        <w:rPr>
          <w:sz w:val="24"/>
          <w:szCs w:val="24"/>
          <w:color w:val="auto"/>
        </w:rPr>
      </w:pPr>
    </w:p>
    <w:p>
      <w:pPr>
        <w:ind w:right="34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1400"/>
        <w:spacing w:after="0" w:line="184" w:lineRule="exact"/>
        <w:tabs>
          <w:tab w:leader="none" w:pos="22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6" w:lineRule="exact"/>
        <w:rPr>
          <w:sz w:val="24"/>
          <w:szCs w:val="24"/>
          <w:color w:val="auto"/>
        </w:rPr>
      </w:pPr>
    </w:p>
    <w:p>
      <w:pPr>
        <w:jc w:val="both"/>
        <w:ind w:right="1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0" w:lineRule="exact"/>
        <w:rPr>
          <w:sz w:val="24"/>
          <w:szCs w:val="24"/>
          <w:color w:val="auto"/>
        </w:rPr>
      </w:pPr>
    </w:p>
    <w:p>
      <w:pPr>
        <w:ind w:left="20"/>
        <w:spacing w:after="0" w:line="184" w:lineRule="exact"/>
        <w:tabs>
          <w:tab w:leader="none" w:pos="2020" w:val="left"/>
          <w:tab w:leader="none" w:pos="3620" w:val="left"/>
          <w:tab w:leader="none" w:pos="5600" w:val="left"/>
          <w:tab w:leader="none" w:pos="80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0" w:lineRule="exact"/>
        <w:rPr>
          <w:sz w:val="24"/>
          <w:szCs w:val="24"/>
          <w:color w:val="auto"/>
        </w:rPr>
      </w:pPr>
    </w:p>
    <w:p>
      <w:pPr>
        <w:ind w:right="40"/>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7900" w:val="left"/>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44" w:lineRule="exact"/>
        <w:rPr>
          <w:sz w:val="24"/>
          <w:szCs w:val="24"/>
          <w:color w:val="auto"/>
        </w:rPr>
      </w:pPr>
    </w:p>
    <w:p>
      <w:pPr>
        <w:ind w:right="340"/>
        <w:spacing w:after="0" w:line="252" w:lineRule="auto"/>
        <w:rPr>
          <w:sz w:val="20"/>
          <w:szCs w:val="20"/>
          <w:color w:val="auto"/>
        </w:rPr>
      </w:pPr>
      <w:r>
        <w:rPr>
          <w:rFonts w:ascii="Arial" w:cs="Arial" w:eastAsia="Arial" w:hAnsi="Arial"/>
          <w:sz w:val="16"/>
          <w:szCs w:val="16"/>
          <w:color w:val="auto"/>
        </w:rPr>
        <w:t>As of November 8, 2023, there were 4,719,288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150495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6" w:right="68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gridSpan w:val="21"/>
          </w:tcPr>
          <w:p>
            <w:pPr>
              <w:ind w:left="20"/>
              <w:spacing w:after="0"/>
              <w:rPr>
                <w:sz w:val="20"/>
                <w:szCs w:val="20"/>
                <w:color w:val="auto"/>
              </w:rPr>
            </w:pPr>
            <w:r>
              <w:rPr>
                <w:rFonts w:ascii="Arial" w:cs="Arial" w:eastAsia="Arial" w:hAnsi="Arial"/>
                <w:sz w:val="18"/>
                <w:szCs w:val="18"/>
                <w:color w:val="auto"/>
              </w:rPr>
              <w:t>PART I - FINANCIAL INFORMATION</w:t>
            </w:r>
          </w:p>
        </w:tc>
        <w:tc>
          <w:tcPr>
            <w:tcW w:w="1300" w:type="dxa"/>
            <w:vAlign w:val="bottom"/>
          </w:tcPr>
          <w:p>
            <w:pPr>
              <w:jc w:val="right"/>
              <w:spacing w:after="0"/>
              <w:rPr>
                <w:sz w:val="20"/>
                <w:szCs w:val="20"/>
                <w:color w:val="auto"/>
              </w:rPr>
            </w:pPr>
            <w:r>
              <w:rPr>
                <w:rFonts w:ascii="Arial" w:cs="Arial" w:eastAsia="Arial" w:hAnsi="Arial"/>
                <w:sz w:val="18"/>
                <w:szCs w:val="18"/>
                <w:color w:val="auto"/>
              </w:rPr>
              <w:t>PAGE NO.</w:t>
            </w:r>
          </w:p>
        </w:tc>
      </w:tr>
      <w:tr>
        <w:trPr>
          <w:trHeight w:val="69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376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Financial Statements (Unaudited)</w:t>
              </w:r>
            </w:hyperlink>
          </w:p>
        </w:tc>
        <w:tc>
          <w:tcPr>
            <w:tcW w:w="462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Condition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Consolidated Statements of Income</w:t>
              </w:r>
            </w:hyperlink>
          </w:p>
        </w:tc>
        <w:tc>
          <w:tcPr>
            <w:tcW w:w="160" w:type="dxa"/>
            <w:vAlign w:val="bottom"/>
            <w:tcBorders>
              <w:top w:val="single" w:sz="8" w:color="0000FF"/>
            </w:tcBorders>
          </w:tcPr>
          <w:p>
            <w:pPr>
              <w:spacing w:after="0"/>
              <w:rPr>
                <w:sz w:val="19"/>
                <w:szCs w:val="19"/>
                <w:color w:val="auto"/>
              </w:rPr>
            </w:pPr>
          </w:p>
        </w:tc>
        <w:tc>
          <w:tcPr>
            <w:tcW w:w="5380" w:type="dxa"/>
            <w:vAlign w:val="bottom"/>
            <w:gridSpan w:val="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2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Comprehensive Income (Loss)</w:t>
              </w:r>
            </w:hyperlink>
          </w:p>
        </w:tc>
        <w:tc>
          <w:tcPr>
            <w:tcW w:w="3660" w:type="dxa"/>
            <w:vAlign w:val="bottom"/>
            <w:gridSpan w:val="4"/>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Changes in Shareholders' Equity</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60" w:type="dxa"/>
            <w:vAlign w:val="bottom"/>
            <w:tcBorders>
              <w:top w:val="single" w:sz="8" w:color="0000FF"/>
            </w:tcBorders>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Consolidated Statements of Cash Flows</w:t>
              </w:r>
            </w:hyperlink>
          </w:p>
        </w:tc>
        <w:tc>
          <w:tcPr>
            <w:tcW w:w="3520" w:type="dxa"/>
            <w:vAlign w:val="bottom"/>
            <w:gridSpan w:val="2"/>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8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38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Management's Discussion and Analysis of Financial Condition and Results of Operations (Unaudited)</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6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Quantitative and Qualitative Disclosures About Market Risk</w:t>
              </w:r>
            </w:hyperlink>
          </w:p>
        </w:tc>
        <w:tc>
          <w:tcPr>
            <w:tcW w:w="3340" w:type="dxa"/>
            <w:vAlign w:val="bottom"/>
            <w:tcBorders>
              <w:top w:val="single" w:sz="8" w:color="0000FF"/>
            </w:tcBorders>
            <w:gridSpan w:val="4"/>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6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7"/>
          </w:tcPr>
          <w:p>
            <w:pPr>
              <w:spacing w:after="0"/>
              <w:rPr>
                <w:rFonts w:ascii="Arial" w:cs="Arial" w:eastAsia="Arial" w:hAnsi="Arial"/>
                <w:sz w:val="18"/>
                <w:szCs w:val="18"/>
                <w:color w:val="0000FF"/>
                <w:w w:val="98"/>
              </w:rPr>
            </w:pPr>
            <w:hyperlink w:anchor="page69">
              <w:r>
                <w:rPr>
                  <w:rFonts w:ascii="Arial" w:cs="Arial" w:eastAsia="Arial" w:hAnsi="Arial"/>
                  <w:sz w:val="18"/>
                  <w:szCs w:val="18"/>
                  <w:color w:val="0000FF"/>
                  <w:w w:val="98"/>
                </w:rPr>
                <w:t>Controls and Procedures</w:t>
              </w:r>
            </w:hyperlink>
          </w:p>
        </w:tc>
        <w:tc>
          <w:tcPr>
            <w:tcW w:w="640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502"/>
        </w:trPr>
        <w:tc>
          <w:tcPr>
            <w:tcW w:w="9260" w:type="dxa"/>
            <w:vAlign w:val="bottom"/>
            <w:gridSpan w:val="21"/>
          </w:tcPr>
          <w:p>
            <w:pPr>
              <w:ind w:left="20"/>
              <w:spacing w:after="0"/>
              <w:rPr>
                <w:sz w:val="20"/>
                <w:szCs w:val="20"/>
                <w:color w:val="auto"/>
              </w:rPr>
            </w:pPr>
            <w:r>
              <w:rPr>
                <w:rFonts w:ascii="Arial" w:cs="Arial" w:eastAsia="Arial" w:hAnsi="Arial"/>
                <w:sz w:val="18"/>
                <w:szCs w:val="18"/>
                <w:color w:val="auto"/>
              </w:rPr>
              <w:t>PART II - OTHER INFORMATION</w:t>
            </w:r>
          </w:p>
        </w:tc>
        <w:tc>
          <w:tcPr>
            <w:tcW w:w="1300" w:type="dxa"/>
            <w:vAlign w:val="bottom"/>
          </w:tcPr>
          <w:p>
            <w:pPr>
              <w:spacing w:after="0"/>
              <w:rPr>
                <w:sz w:val="24"/>
                <w:szCs w:val="24"/>
                <w:color w:val="auto"/>
              </w:rPr>
            </w:pPr>
          </w:p>
        </w:tc>
      </w:tr>
      <w:tr>
        <w:trPr>
          <w:trHeight w:val="43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FF"/>
            </w:tcBorders>
            <w:gridSpan w:val="5"/>
          </w:tcPr>
          <w:p>
            <w:pPr>
              <w:spacing w:after="0"/>
              <w:rPr>
                <w:rFonts w:ascii="Arial" w:cs="Arial" w:eastAsia="Arial" w:hAnsi="Arial"/>
                <w:sz w:val="18"/>
                <w:szCs w:val="18"/>
                <w:color w:val="0000FF"/>
                <w:w w:val="97"/>
              </w:rPr>
            </w:pPr>
            <w:hyperlink w:anchor="page70">
              <w:r>
                <w:rPr>
                  <w:rFonts w:ascii="Arial" w:cs="Arial" w:eastAsia="Arial" w:hAnsi="Arial"/>
                  <w:sz w:val="18"/>
                  <w:szCs w:val="18"/>
                  <w:color w:val="0000FF"/>
                  <w:w w:val="97"/>
                </w:rPr>
                <w:t>Legal Proceedings</w:t>
              </w:r>
            </w:hyperlink>
          </w:p>
        </w:tc>
        <w:tc>
          <w:tcPr>
            <w:tcW w:w="690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Risk Factor</w:t>
              </w:r>
            </w:hyperlink>
          </w:p>
        </w:tc>
        <w:tc>
          <w:tcPr>
            <w:tcW w:w="7480" w:type="dxa"/>
            <w:vAlign w:val="bottom"/>
            <w:gridSpan w:val="16"/>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Unregistered Sales of Equity Securities and Use of Proceeds</w:t>
              </w:r>
            </w:hyperlink>
          </w:p>
        </w:tc>
        <w:tc>
          <w:tcPr>
            <w:tcW w:w="3540" w:type="dxa"/>
            <w:vAlign w:val="bottom"/>
            <w:gridSpan w:val="3"/>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52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Defaults upon Senior Securities</w:t>
              </w:r>
            </w:hyperlink>
          </w:p>
        </w:tc>
        <w:tc>
          <w:tcPr>
            <w:tcW w:w="5860" w:type="dxa"/>
            <w:vAlign w:val="bottom"/>
            <w:gridSpan w:val="11"/>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70">
              <w:r>
                <w:rPr>
                  <w:rFonts w:ascii="Arial" w:cs="Arial" w:eastAsia="Arial" w:hAnsi="Arial"/>
                  <w:sz w:val="18"/>
                  <w:szCs w:val="18"/>
                  <w:color w:val="0000FF"/>
                  <w:w w:val="98"/>
                </w:rPr>
                <w:t>Mine Safety Disclosures</w:t>
              </w:r>
            </w:hyperlink>
          </w:p>
        </w:tc>
        <w:tc>
          <w:tcPr>
            <w:tcW w:w="6460" w:type="dxa"/>
            <w:vAlign w:val="bottom"/>
            <w:gridSpan w:val="13"/>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38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70">
              <w:r>
                <w:rPr>
                  <w:rFonts w:ascii="Arial" w:cs="Arial" w:eastAsia="Arial" w:hAnsi="Arial"/>
                  <w:sz w:val="18"/>
                  <w:szCs w:val="18"/>
                  <w:color w:val="0000FF"/>
                  <w:w w:val="97"/>
                </w:rPr>
                <w:t>Other information</w:t>
              </w:r>
            </w:hyperlink>
          </w:p>
        </w:tc>
        <w:tc>
          <w:tcPr>
            <w:tcW w:w="7000" w:type="dxa"/>
            <w:vAlign w:val="bottom"/>
            <w:gridSpan w:val="15"/>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70">
              <w:r>
                <w:rPr>
                  <w:rFonts w:ascii="Arial" w:cs="Arial" w:eastAsia="Arial" w:hAnsi="Arial"/>
                  <w:sz w:val="18"/>
                  <w:szCs w:val="18"/>
                  <w:color w:val="0000FF"/>
                  <w:w w:val="95"/>
                </w:rPr>
                <w:t>Exhibits</w:t>
              </w:r>
            </w:hyperlink>
          </w:p>
        </w:tc>
        <w:tc>
          <w:tcPr>
            <w:tcW w:w="7760" w:type="dxa"/>
            <w:vAlign w:val="bottom"/>
            <w:gridSpan w:val="17"/>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60"/>
        </w:trPr>
        <w:tc>
          <w:tcPr>
            <w:tcW w:w="9260" w:type="dxa"/>
            <w:vAlign w:val="bottom"/>
            <w:gridSpan w:val="21"/>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544"/>
        </w:trPr>
        <w:tc>
          <w:tcPr>
            <w:tcW w:w="20" w:type="dxa"/>
            <w:vAlign w:val="bottom"/>
            <w:tcBorders>
              <w:bottom w:val="single" w:sz="8" w:color="EEEEEE"/>
            </w:tcBorders>
          </w:tcPr>
          <w:p>
            <w:pPr>
              <w:spacing w:after="0"/>
              <w:rPr>
                <w:sz w:val="24"/>
                <w:szCs w:val="24"/>
                <w:color w:val="auto"/>
              </w:rPr>
            </w:pPr>
          </w:p>
        </w:tc>
        <w:tc>
          <w:tcPr>
            <w:tcW w:w="860" w:type="dxa"/>
            <w:vAlign w:val="bottom"/>
            <w:tcBorders>
              <w:top w:val="single" w:sz="8" w:color="0000FF"/>
              <w:bottom w:val="single" w:sz="8" w:color="EEEEEE"/>
            </w:tcBorders>
          </w:tcPr>
          <w:p>
            <w:pPr>
              <w:spacing w:after="0"/>
              <w:rPr>
                <w:sz w:val="24"/>
                <w:szCs w:val="24"/>
                <w:color w:val="auto"/>
              </w:rPr>
            </w:pPr>
          </w:p>
        </w:tc>
        <w:tc>
          <w:tcPr>
            <w:tcW w:w="300" w:type="dxa"/>
            <w:vAlign w:val="bottom"/>
            <w:tcBorders>
              <w:top w:val="single" w:sz="8" w:color="0000FF"/>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1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r>
      <w:tr>
        <w:trPr>
          <w:trHeight w:val="192"/>
        </w:trPr>
        <w:tc>
          <w:tcPr>
            <w:tcW w:w="73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162"/>
        </w:trPr>
        <w:tc>
          <w:tcPr>
            <w:tcW w:w="73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20" w:type="dxa"/>
            <w:vAlign w:val="bottom"/>
            <w:shd w:val="clear" w:color="auto" w:fill="CFF0FC"/>
          </w:tcPr>
          <w:p>
            <w:pPr>
              <w:spacing w:after="0"/>
              <w:rPr>
                <w:sz w:val="17"/>
                <w:szCs w:val="17"/>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Cash and due from banks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12,822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13,939</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Interest-earning deposits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11,652</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21,343</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Total cash and cash equivalents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24,474</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35,282</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Available-for-sale securities, at fair value</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206,848</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191,726</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Held-to-maturity securities, at amortized cost (fair value of $170,575 and $181,491, respectively)</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185,589</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194,402</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Marketable equity securities, at fair value</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3,013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1,862</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Federal Home Loan Bank stock, at cost</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5,824</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5,982</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Loans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896,123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897,735</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Loans held-for-sale</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Less: Allowance for credit losses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15,767</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15,319</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Loans receivable, net</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880,356</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882,435</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Premises and equipment, net</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18,491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17,872</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Assets held-for-sale</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3,042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3,042</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Operating lease right-of-use assets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1,559</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2,098</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Finance lease right-of-use assets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4,108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4,213</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Accrued interest receivable</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6,594</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6,168</w:t>
            </w:r>
          </w:p>
        </w:tc>
      </w:tr>
      <w:tr>
        <w:trPr>
          <w:trHeight w:val="231"/>
        </w:trPr>
        <w:tc>
          <w:tcPr>
            <w:tcW w:w="20" w:type="dxa"/>
            <w:vAlign w:val="bottom"/>
            <w:shd w:val="clear" w:color="auto" w:fill="CFF0FC"/>
          </w:tcPr>
          <w:p>
            <w:pPr>
              <w:spacing w:after="0"/>
              <w:rPr>
                <w:sz w:val="20"/>
                <w:szCs w:val="20"/>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Foreclosed real estate</w:t>
            </w:r>
          </w:p>
        </w:tc>
        <w:tc>
          <w:tcPr>
            <w:tcW w:w="7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189</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221</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88</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101</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4,536</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4,536</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Bank owned life insurance</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24,479</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24,012</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Other assets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31,459</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25,969</w:t>
            </w:r>
          </w:p>
        </w:tc>
      </w:tr>
      <w:tr>
        <w:trPr>
          <w:trHeight w:val="189"/>
        </w:trPr>
        <w:tc>
          <w:tcPr>
            <w:tcW w:w="20" w:type="dxa"/>
            <w:vAlign w:val="bottom"/>
            <w:tcBorders>
              <w:bottom w:val="single" w:sz="8" w:color="auto"/>
            </w:tcBorders>
          </w:tcPr>
          <w:p>
            <w:pPr>
              <w:spacing w:after="0"/>
              <w:rPr>
                <w:sz w:val="16"/>
                <w:szCs w:val="16"/>
                <w:color w:val="auto"/>
              </w:rPr>
            </w:pPr>
          </w:p>
        </w:tc>
        <w:tc>
          <w:tcPr>
            <w:tcW w:w="73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1,400,649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1,399,921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60" w:type="dxa"/>
            <w:vAlign w:val="bottom"/>
            <w:shd w:val="clear" w:color="auto" w:fill="CFF0FC"/>
          </w:tcPr>
          <w:p>
            <w:pPr>
              <w:spacing w:after="0"/>
              <w:rPr>
                <w:sz w:val="14"/>
                <w:szCs w:val="14"/>
                <w:color w:val="auto"/>
              </w:rPr>
            </w:pPr>
          </w:p>
        </w:tc>
        <w:tc>
          <w:tcPr>
            <w:tcW w:w="4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164"/>
        </w:trPr>
        <w:tc>
          <w:tcPr>
            <w:tcW w:w="7340" w:type="dxa"/>
            <w:vAlign w:val="bottom"/>
            <w:gridSpan w:val="4"/>
          </w:tcPr>
          <w:p>
            <w:pPr>
              <w:ind w:left="20"/>
              <w:spacing w:after="0" w:line="156" w:lineRule="exact"/>
              <w:rPr>
                <w:sz w:val="20"/>
                <w:szCs w:val="20"/>
                <w:color w:val="auto"/>
              </w:rPr>
            </w:pPr>
            <w:r>
              <w:rPr>
                <w:rFonts w:ascii="Arial" w:cs="Arial" w:eastAsia="Arial" w:hAnsi="Arial"/>
                <w:sz w:val="14"/>
                <w:szCs w:val="14"/>
                <w:b w:val="1"/>
                <w:bCs w:val="1"/>
                <w:color w:val="auto"/>
              </w:rPr>
              <w:t>LIABILITIES AND SHAREHOLDERS' EQUITY:</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0"/>
        </w:trPr>
        <w:tc>
          <w:tcPr>
            <w:tcW w:w="20" w:type="dxa"/>
            <w:vAlign w:val="bottom"/>
            <w:shd w:val="clear" w:color="auto" w:fill="CFF0FC"/>
          </w:tcPr>
          <w:p>
            <w:pPr>
              <w:spacing w:after="0"/>
              <w:rPr>
                <w:sz w:val="17"/>
                <w:szCs w:val="17"/>
                <w:color w:val="auto"/>
              </w:rPr>
            </w:pPr>
          </w:p>
        </w:tc>
        <w:tc>
          <w:tcPr>
            <w:tcW w:w="308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4"/>
                <w:szCs w:val="14"/>
                <w:color w:val="auto"/>
              </w:rPr>
              <w:t>Deposits:</w:t>
            </w:r>
          </w:p>
        </w:tc>
        <w:tc>
          <w:tcPr>
            <w:tcW w:w="4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320" w:type="dxa"/>
            <w:vAlign w:val="bottom"/>
            <w:gridSpan w:val="3"/>
          </w:tcPr>
          <w:p>
            <w:pPr>
              <w:ind w:left="160"/>
              <w:spacing w:after="0"/>
              <w:rPr>
                <w:sz w:val="20"/>
                <w:szCs w:val="20"/>
                <w:color w:val="auto"/>
              </w:rPr>
            </w:pPr>
            <w:r>
              <w:rPr>
                <w:rFonts w:ascii="Arial" w:cs="Arial" w:eastAsia="Arial" w:hAnsi="Arial"/>
                <w:sz w:val="14"/>
                <w:szCs w:val="14"/>
                <w:color w:val="auto"/>
              </w:rPr>
              <w:t>Interest-bearing</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953,143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941,719</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Noninterest-bearing</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174,710</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183,711</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240"/>
              <w:spacing w:after="0"/>
              <w:rPr>
                <w:sz w:val="20"/>
                <w:szCs w:val="20"/>
                <w:color w:val="auto"/>
              </w:rPr>
            </w:pPr>
            <w:r>
              <w:rPr>
                <w:rFonts w:ascii="Arial" w:cs="Arial" w:eastAsia="Arial" w:hAnsi="Arial"/>
                <w:sz w:val="14"/>
                <w:szCs w:val="14"/>
                <w:color w:val="auto"/>
              </w:rPr>
              <w:t>Total deposits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1,127,853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1,125,430</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Short-term borrowings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56,698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60,333</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Long-term borrowings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53,915</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55,664</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Subordinated debt</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29,867</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29,733</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Accrued interest payable</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1,731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975</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Operating lease liabilities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1,739</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2,417</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Finance lease liabilities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4,391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4,422</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Other liabilities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10,013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9,365</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240"/>
              <w:spacing w:after="0"/>
              <w:rPr>
                <w:sz w:val="20"/>
                <w:szCs w:val="20"/>
                <w:color w:val="auto"/>
              </w:rPr>
            </w:pPr>
            <w:r>
              <w:rPr>
                <w:rFonts w:ascii="Arial" w:cs="Arial" w:eastAsia="Arial" w:hAnsi="Arial"/>
                <w:sz w:val="14"/>
                <w:szCs w:val="14"/>
                <w:color w:val="auto"/>
              </w:rPr>
              <w:t>Total liabilities</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1,286,207</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1,288,339</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Shareholders' equity:</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Voting common stock, par value $0.01; 25,000,000 authorized shares; 4,713,353 and 4,651,829 shares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7320" w:type="dxa"/>
            <w:vAlign w:val="bottom"/>
            <w:gridSpan w:val="3"/>
          </w:tcPr>
          <w:p>
            <w:pPr>
              <w:ind w:left="180"/>
              <w:spacing w:after="0"/>
              <w:rPr>
                <w:sz w:val="20"/>
                <w:szCs w:val="20"/>
                <w:color w:val="auto"/>
              </w:rPr>
            </w:pPr>
            <w:r>
              <w:rPr>
                <w:rFonts w:ascii="Arial" w:cs="Arial" w:eastAsia="Arial" w:hAnsi="Arial"/>
                <w:sz w:val="14"/>
                <w:szCs w:val="14"/>
                <w:color w:val="auto"/>
              </w:rPr>
              <w:t>issued and outstanding, respectively</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175"/>
        </w:trPr>
        <w:tc>
          <w:tcPr>
            <w:tcW w:w="20" w:type="dxa"/>
            <w:vAlign w:val="bottom"/>
            <w:shd w:val="clear" w:color="auto" w:fill="CFF0FC"/>
          </w:tcPr>
          <w:p>
            <w:pPr>
              <w:spacing w:after="0"/>
              <w:rPr>
                <w:sz w:val="15"/>
                <w:szCs w:val="15"/>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Non-Voting common stock, par value $0.01; 1,505,283 authorized shares; 1,380,283 shares</w:t>
            </w:r>
          </w:p>
        </w:tc>
        <w:tc>
          <w:tcPr>
            <w:tcW w:w="7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8"/>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issued and outstanding, respectively</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Additional paid in capital</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52,963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52,101</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Retained earnings</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74,282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71,322</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8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(13,356 )</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(12,172 )</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Unearned ESOP</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(180 )</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(315 )</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240"/>
              <w:spacing w:after="0"/>
              <w:rPr>
                <w:sz w:val="20"/>
                <w:szCs w:val="20"/>
                <w:color w:val="auto"/>
              </w:rPr>
            </w:pPr>
            <w:r>
              <w:rPr>
                <w:rFonts w:ascii="Arial" w:cs="Arial" w:eastAsia="Arial" w:hAnsi="Arial"/>
                <w:sz w:val="14"/>
                <w:szCs w:val="14"/>
                <w:color w:val="auto"/>
              </w:rPr>
              <w:t>Total Pathfinder Bancorp, Inc. shareholders' equity</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113,770</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110,997</w:t>
            </w:r>
          </w:p>
        </w:tc>
      </w:tr>
      <w:tr>
        <w:trPr>
          <w:trHeight w:val="195"/>
        </w:trPr>
        <w:tc>
          <w:tcPr>
            <w:tcW w:w="20" w:type="dxa"/>
            <w:vAlign w:val="bottom"/>
            <w:shd w:val="clear" w:color="auto" w:fill="CFF0FC"/>
          </w:tcPr>
          <w:p>
            <w:pPr>
              <w:spacing w:after="0"/>
              <w:rPr>
                <w:sz w:val="16"/>
                <w:szCs w:val="16"/>
                <w:color w:val="auto"/>
              </w:rPr>
            </w:pPr>
          </w:p>
        </w:tc>
        <w:tc>
          <w:tcPr>
            <w:tcW w:w="732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Noncontrolling interest</w:t>
            </w:r>
          </w:p>
        </w:tc>
        <w:tc>
          <w:tcPr>
            <w:tcW w:w="7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672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585</w:t>
            </w:r>
          </w:p>
        </w:tc>
      </w:tr>
      <w:tr>
        <w:trPr>
          <w:trHeight w:val="189"/>
        </w:trPr>
        <w:tc>
          <w:tcPr>
            <w:tcW w:w="20" w:type="dxa"/>
            <w:vAlign w:val="bottom"/>
          </w:tcPr>
          <w:p>
            <w:pPr>
              <w:spacing w:after="0"/>
              <w:rPr>
                <w:sz w:val="16"/>
                <w:szCs w:val="16"/>
                <w:color w:val="auto"/>
              </w:rPr>
            </w:pPr>
          </w:p>
        </w:tc>
        <w:tc>
          <w:tcPr>
            <w:tcW w:w="7320" w:type="dxa"/>
            <w:vAlign w:val="bottom"/>
            <w:gridSpan w:val="3"/>
          </w:tcPr>
          <w:p>
            <w:pPr>
              <w:ind w:left="240"/>
              <w:spacing w:after="0"/>
              <w:rPr>
                <w:sz w:val="20"/>
                <w:szCs w:val="20"/>
                <w:color w:val="auto"/>
              </w:rPr>
            </w:pPr>
            <w:r>
              <w:rPr>
                <w:rFonts w:ascii="Arial" w:cs="Arial" w:eastAsia="Arial" w:hAnsi="Arial"/>
                <w:sz w:val="14"/>
                <w:szCs w:val="14"/>
                <w:color w:val="auto"/>
              </w:rPr>
              <w:t>Total equity</w:t>
            </w:r>
          </w:p>
        </w:tc>
        <w:tc>
          <w:tcPr>
            <w:tcW w:w="7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114,442</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111,582</w:t>
            </w:r>
          </w:p>
        </w:tc>
      </w:tr>
      <w:tr>
        <w:trPr>
          <w:trHeight w:val="232"/>
        </w:trPr>
        <w:tc>
          <w:tcPr>
            <w:tcW w:w="20" w:type="dxa"/>
            <w:vAlign w:val="bottom"/>
            <w:tcBorders>
              <w:bottom w:val="single" w:sz="8" w:color="auto"/>
            </w:tcBorders>
            <w:shd w:val="clear" w:color="auto" w:fill="CFF0FC"/>
          </w:tcPr>
          <w:p>
            <w:pPr>
              <w:spacing w:after="0"/>
              <w:rPr>
                <w:sz w:val="20"/>
                <w:szCs w:val="20"/>
                <w:color w:val="auto"/>
              </w:rPr>
            </w:pPr>
          </w:p>
        </w:tc>
        <w:tc>
          <w:tcPr>
            <w:tcW w:w="7320" w:type="dxa"/>
            <w:vAlign w:val="bottom"/>
            <w:tcBorders>
              <w:bottom w:val="single" w:sz="8" w:color="auto"/>
            </w:tcBorders>
            <w:gridSpan w:val="3"/>
            <w:shd w:val="clear" w:color="auto" w:fill="CFF0FC"/>
          </w:tcPr>
          <w:p>
            <w:pPr>
              <w:ind w:left="240"/>
              <w:spacing w:after="0"/>
              <w:rPr>
                <w:sz w:val="20"/>
                <w:szCs w:val="20"/>
                <w:color w:val="auto"/>
              </w:rPr>
            </w:pPr>
            <w:r>
              <w:rPr>
                <w:rFonts w:ascii="Arial" w:cs="Arial" w:eastAsia="Arial" w:hAnsi="Arial"/>
                <w:sz w:val="14"/>
                <w:szCs w:val="14"/>
                <w:color w:val="auto"/>
              </w:rPr>
              <w:t>Total liabilities and shareholders' equity</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1,400,649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1,399,921</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gridSpan w:val="3"/>
          </w:tcPr>
          <w:p>
            <w:pPr>
              <w:jc w:val="right"/>
              <w:ind w:right="428"/>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5"/>
                <w:szCs w:val="15"/>
                <w:color w:val="auto"/>
              </w:rPr>
            </w:pPr>
          </w:p>
        </w:tc>
        <w:tc>
          <w:tcPr>
            <w:tcW w:w="2380" w:type="dxa"/>
            <w:vAlign w:val="bottom"/>
            <w:gridSpan w:val="3"/>
          </w:tcPr>
          <w:p>
            <w:pPr>
              <w:jc w:val="right"/>
              <w:ind w:right="348"/>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78"/>
        </w:trPr>
        <w:tc>
          <w:tcPr>
            <w:tcW w:w="5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6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5"/>
        </w:trPr>
        <w:tc>
          <w:tcPr>
            <w:tcW w:w="5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 and dividend income:</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Loans, including fees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12,470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9,895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34,919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27,561</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Debt securities: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4"/>
                <w:szCs w:val="14"/>
                <w:color w:val="auto"/>
              </w:rPr>
              <w:t>Taxable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4,488</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3,052</w:t>
            </w:r>
          </w:p>
        </w:tc>
        <w:tc>
          <w:tcPr>
            <w:tcW w:w="2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12,408</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7,695</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Tax-exempt</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507</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351</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1,441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Dividends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9"/>
        </w:trPr>
        <w:tc>
          <w:tcPr>
            <w:tcW w:w="50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Federal funds sold and interest earning deposits</w:t>
            </w:r>
          </w:p>
        </w:tc>
        <w:tc>
          <w:tcPr>
            <w:tcW w:w="46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226</w:t>
            </w:r>
          </w:p>
        </w:tc>
        <w:tc>
          <w:tcPr>
            <w:tcW w:w="2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26"/>
        </w:trPr>
        <w:tc>
          <w:tcPr>
            <w:tcW w:w="5020" w:type="dxa"/>
            <w:vAlign w:val="bottom"/>
            <w:vMerge w:val="continue"/>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4"/>
                <w:szCs w:val="14"/>
                <w:color w:val="auto"/>
              </w:rPr>
              <w:t>Total interest and dividend income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17,671</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13,383</w:t>
            </w:r>
          </w:p>
        </w:tc>
        <w:tc>
          <w:tcPr>
            <w:tcW w:w="2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49,335</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36,071</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 expense:</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Interest on deposits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6,223</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1,907</w:t>
            </w:r>
          </w:p>
        </w:tc>
        <w:tc>
          <w:tcPr>
            <w:tcW w:w="2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15,885</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on short-term borrowings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674</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123</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1,624</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Interest on long-term borrowings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222</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619</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on subordinated debt</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492</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442</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1,447</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4"/>
                <w:szCs w:val="14"/>
                <w:color w:val="auto"/>
              </w:rPr>
              <w:t>Total interest expense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7,611</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2,603</w:t>
            </w:r>
          </w:p>
        </w:tc>
        <w:tc>
          <w:tcPr>
            <w:tcW w:w="2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19,575</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5,847</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interest income</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10,060</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10,780</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29,760</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30,224</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Provision for credit losses:</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Loans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798</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710</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2,675</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4"/>
                <w:szCs w:val="14"/>
                <w:color w:val="auto"/>
              </w:rPr>
              <w:t>Held-to-maturity securities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(24 )</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Unfunded commitments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rPr>
                <w:sz w:val="20"/>
                <w:szCs w:val="20"/>
                <w:color w:val="auto"/>
              </w:rPr>
            </w:pPr>
            <w:r>
              <w:rPr>
                <w:rFonts w:ascii="Arial" w:cs="Arial" w:eastAsia="Arial" w:hAnsi="Arial"/>
                <w:sz w:val="14"/>
                <w:szCs w:val="14"/>
                <w:color w:val="auto"/>
              </w:rPr>
              <w:t>Total provision for credit losses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833</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710</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2,665</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Net interest income after provision for credit losses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9,227</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10,070</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27,095</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29,353</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charges on deposit accounts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343</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334</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913</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Earnings and gain on bank owned life insurance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165</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466</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Loan servicing fees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74</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(Losses) gains on sales and redemptions of investment securities</w:t>
            </w:r>
          </w:p>
        </w:tc>
        <w:tc>
          <w:tcPr>
            <w:tcW w:w="4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(13 )</w:t>
            </w:r>
          </w:p>
        </w:tc>
        <w:tc>
          <w:tcPr>
            <w:tcW w:w="2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(198 )</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(losses) gains on marketable equity securities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(39 )</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(208 )</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Gains on sales of loans and foreclosed real estate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Debit card interchange fees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180</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455</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Insurance agency revenue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1,001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charges, commissions &amp; fees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265</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310</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764</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9"/>
        </w:trPr>
        <w:tc>
          <w:tcPr>
            <w:tcW w:w="5020" w:type="dxa"/>
            <w:vAlign w:val="bottom"/>
          </w:tcPr>
          <w:p>
            <w:pPr>
              <w:ind w:left="340"/>
              <w:spacing w:after="0"/>
              <w:rPr>
                <w:sz w:val="20"/>
                <w:szCs w:val="20"/>
                <w:color w:val="auto"/>
              </w:rPr>
            </w:pPr>
            <w:r>
              <w:rPr>
                <w:rFonts w:ascii="Arial" w:cs="Arial" w:eastAsia="Arial" w:hAnsi="Arial"/>
                <w:sz w:val="14"/>
                <w:szCs w:val="14"/>
                <w:color w:val="auto"/>
              </w:rPr>
              <w:t>Total noninterest income</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1,193</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1,161</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3,872</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4,060</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Salaries and employee benefits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4,154</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4,196</w:t>
            </w:r>
          </w:p>
        </w:tc>
        <w:tc>
          <w:tcPr>
            <w:tcW w:w="2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12,243</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12,030</w:t>
            </w: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Building and occupancy</w:t>
            </w: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868</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835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2,699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Data processing</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483</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485</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1,519</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and other services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492</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267</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1,531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199</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516</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FDIC assessments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222</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162</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Audits and exams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159</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476</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Insurance agency expense</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273</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817</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Community service activities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Foreclosed real estate expenses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678</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1,660</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noninterest expense</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7,653</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7,267</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22,351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21,665</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2,767</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3,964</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8,616</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11,748</w:t>
            </w: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573</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772</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1,772</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64"/>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noncontrolling interest and</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140"/>
              <w:spacing w:after="0"/>
              <w:rPr>
                <w:sz w:val="20"/>
                <w:szCs w:val="20"/>
                <w:color w:val="auto"/>
              </w:rPr>
            </w:pPr>
            <w:r>
              <w:rPr>
                <w:rFonts w:ascii="Arial" w:cs="Arial" w:eastAsia="Arial" w:hAnsi="Arial"/>
                <w:sz w:val="14"/>
                <w:szCs w:val="14"/>
                <w:b w:val="1"/>
                <w:bCs w:val="1"/>
                <w:color w:val="auto"/>
              </w:rPr>
              <w:t>Pathfinder Bancorp, Inc.</w:t>
            </w:r>
          </w:p>
        </w:tc>
        <w:tc>
          <w:tcPr>
            <w:tcW w:w="4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2,194</w:t>
            </w:r>
          </w:p>
        </w:tc>
        <w:tc>
          <w:tcPr>
            <w:tcW w:w="20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3,192</w:t>
            </w:r>
          </w:p>
        </w:tc>
        <w:tc>
          <w:tcPr>
            <w:tcW w:w="2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6,844</w:t>
            </w:r>
          </w:p>
        </w:tc>
        <w:tc>
          <w:tcPr>
            <w:tcW w:w="2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9,475</w:t>
            </w:r>
          </w:p>
        </w:tc>
        <w:tc>
          <w:tcPr>
            <w:tcW w:w="0" w:type="dxa"/>
            <w:vAlign w:val="bottom"/>
          </w:tcPr>
          <w:p>
            <w:pPr>
              <w:spacing w:after="0"/>
              <w:rPr>
                <w:sz w:val="1"/>
                <w:szCs w:val="1"/>
                <w:color w:val="auto"/>
              </w:rPr>
            </w:pPr>
          </w:p>
        </w:tc>
      </w:tr>
      <w:tr>
        <w:trPr>
          <w:trHeight w:val="192"/>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4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87</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attributable to Pathfinder Bancorp Inc.</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9,402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Voting Earnings per common share - basic and diluted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Series A Non-Voting Earnings per common share- basic and diluted</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0.35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0.52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Dividends per common share (Voting and Series A Non-Voting)</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0.09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0.09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0.27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66"/>
        </w:trPr>
        <w:tc>
          <w:tcPr>
            <w:tcW w:w="502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40" w:type="dxa"/>
            <w:vAlign w:val="bottom"/>
          </w:tcPr>
          <w:p>
            <w:pPr>
              <w:spacing w:after="0"/>
              <w:rPr>
                <w:sz w:val="15"/>
                <w:szCs w:val="15"/>
                <w:color w:val="auto"/>
              </w:rPr>
            </w:pPr>
          </w:p>
        </w:tc>
        <w:tc>
          <w:tcPr>
            <w:tcW w:w="264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gridSpan w:val="6"/>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1500" w:type="dxa"/>
            <w:vAlign w:val="bottom"/>
            <w:gridSpan w:val="2"/>
          </w:tcPr>
          <w:p>
            <w:pPr>
              <w:ind w:left="100"/>
              <w:spacing w:after="0"/>
              <w:rPr>
                <w:sz w:val="20"/>
                <w:szCs w:val="20"/>
                <w:color w:val="auto"/>
              </w:rPr>
            </w:pPr>
            <w:r>
              <w:rPr>
                <w:rFonts w:ascii="Arial" w:cs="Arial" w:eastAsia="Arial" w:hAnsi="Arial"/>
                <w:sz w:val="14"/>
                <w:szCs w:val="14"/>
                <w:color w:val="auto"/>
              </w:rPr>
              <w:t>September 30, 2022</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2,194</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3,192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6,844</w:t>
            </w:r>
          </w:p>
        </w:tc>
        <w:tc>
          <w:tcPr>
            <w:tcW w:w="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9,475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b w:val="1"/>
                <w:bCs w:val="1"/>
                <w:i w:val="1"/>
                <w:iCs w:val="1"/>
                <w:color w:val="auto"/>
              </w:rPr>
              <w:t>Other Comprehensive Income (Loss)</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gridSpan w:val="6"/>
          </w:tcPr>
          <w:p>
            <w:pPr>
              <w:spacing w:after="0" w:line="156" w:lineRule="exact"/>
              <w:rPr>
                <w:sz w:val="20"/>
                <w:szCs w:val="20"/>
                <w:color w:val="auto"/>
              </w:rPr>
            </w:pPr>
            <w:r>
              <w:rPr>
                <w:rFonts w:ascii="Arial" w:cs="Arial" w:eastAsia="Arial" w:hAnsi="Arial"/>
                <w:sz w:val="14"/>
                <w:szCs w:val="14"/>
                <w:color w:val="auto"/>
              </w:rPr>
              <w:t>Retirement Plans:</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FF0FC"/>
          </w:tcPr>
          <w:p>
            <w:pPr>
              <w:spacing w:after="0"/>
              <w:rPr>
                <w:sz w:val="17"/>
                <w:szCs w:val="17"/>
                <w:color w:val="auto"/>
              </w:rPr>
            </w:pPr>
          </w:p>
        </w:tc>
        <w:tc>
          <w:tcPr>
            <w:tcW w:w="4840" w:type="dxa"/>
            <w:vAlign w:val="bottom"/>
            <w:gridSpan w:val="6"/>
            <w:shd w:val="clear" w:color="auto" w:fill="CFF0FC"/>
          </w:tcPr>
          <w:p>
            <w:pPr>
              <w:ind w:left="80"/>
              <w:spacing w:after="0"/>
              <w:rPr>
                <w:sz w:val="20"/>
                <w:szCs w:val="20"/>
                <w:color w:val="auto"/>
              </w:rPr>
            </w:pPr>
            <w:r>
              <w:rPr>
                <w:rFonts w:ascii="Arial" w:cs="Arial" w:eastAsia="Arial" w:hAnsi="Arial"/>
                <w:sz w:val="14"/>
                <w:szCs w:val="14"/>
                <w:color w:val="auto"/>
              </w:rPr>
              <w:t>Retirement plan net gains recognized in plan expenses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167</w:t>
            </w: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6"/>
          </w:tcPr>
          <w:p>
            <w:pPr>
              <w:spacing w:after="0"/>
              <w:rPr>
                <w:sz w:val="20"/>
                <w:szCs w:val="20"/>
                <w:color w:val="auto"/>
              </w:rPr>
            </w:pPr>
            <w:r>
              <w:rPr>
                <w:rFonts w:ascii="Arial" w:cs="Arial" w:eastAsia="Arial" w:hAnsi="Arial"/>
                <w:sz w:val="14"/>
                <w:szCs w:val="14"/>
                <w:color w:val="auto"/>
              </w:rPr>
              <w:t>Net unrealized gain on retirement plans</w:t>
            </w:r>
          </w:p>
        </w:tc>
        <w:tc>
          <w:tcPr>
            <w:tcW w:w="26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167</w:t>
            </w: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40" w:type="dxa"/>
            <w:vAlign w:val="bottom"/>
            <w:gridSpan w:val="6"/>
          </w:tcPr>
          <w:p>
            <w:pPr>
              <w:spacing w:after="0" w:line="156" w:lineRule="exact"/>
              <w:rPr>
                <w:sz w:val="20"/>
                <w:szCs w:val="20"/>
                <w:color w:val="auto"/>
              </w:rPr>
            </w:pPr>
            <w:r>
              <w:rPr>
                <w:rFonts w:ascii="Arial" w:cs="Arial" w:eastAsia="Arial" w:hAnsi="Arial"/>
                <w:sz w:val="14"/>
                <w:szCs w:val="14"/>
                <w:color w:val="auto"/>
              </w:rPr>
              <w:t>Unrealized holding gains (losses) on available-for-sale securities: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FF0FC"/>
          </w:tcPr>
          <w:p>
            <w:pPr>
              <w:spacing w:after="0"/>
              <w:rPr>
                <w:sz w:val="17"/>
                <w:szCs w:val="17"/>
                <w:color w:val="auto"/>
              </w:rPr>
            </w:pPr>
          </w:p>
        </w:tc>
        <w:tc>
          <w:tcPr>
            <w:tcW w:w="4140" w:type="dxa"/>
            <w:vAlign w:val="bottom"/>
            <w:tcBorders>
              <w:top w:val="single" w:sz="8" w:color="auto"/>
            </w:tcBorders>
            <w:gridSpan w:val="4"/>
            <w:shd w:val="clear" w:color="auto" w:fill="CFF0FC"/>
          </w:tcPr>
          <w:p>
            <w:pPr>
              <w:ind w:left="80"/>
              <w:spacing w:after="0"/>
              <w:rPr>
                <w:sz w:val="20"/>
                <w:szCs w:val="20"/>
                <w:color w:val="auto"/>
              </w:rPr>
            </w:pPr>
            <w:r>
              <w:rPr>
                <w:rFonts w:ascii="Arial" w:cs="Arial" w:eastAsia="Arial" w:hAnsi="Arial"/>
                <w:sz w:val="14"/>
                <w:szCs w:val="14"/>
                <w:color w:val="auto"/>
              </w:rPr>
              <w:t>Unrealized holding (losses) arising during the period</w:t>
            </w:r>
          </w:p>
        </w:tc>
        <w:tc>
          <w:tcPr>
            <w:tcW w:w="700" w:type="dxa"/>
            <w:vAlign w:val="bottom"/>
            <w:gridSpan w:val="2"/>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(3,016 )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(4,588 )</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(4,093 )</w:t>
            </w: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(16,542 )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6"/>
          </w:tcPr>
          <w:p>
            <w:pPr>
              <w:ind w:left="8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2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(1 )</w:t>
            </w:r>
          </w:p>
        </w:tc>
        <w:tc>
          <w:tcPr>
            <w:tcW w:w="22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186</w:t>
            </w:r>
          </w:p>
        </w:tc>
        <w:tc>
          <w:tcPr>
            <w:tcW w:w="2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1,932</w:t>
            </w: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Net unrealized (losses) on available-for-sale securities</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(3,017 )</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(4,402 )</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(2,161 )</w:t>
            </w: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(16,382 )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auto"/>
            </w:tcBorders>
            <w:gridSpan w:val="3"/>
            <w:shd w:val="clear" w:color="auto" w:fill="CFF0FC"/>
          </w:tcPr>
          <w:p>
            <w:pPr>
              <w:spacing w:after="0" w:line="156" w:lineRule="exact"/>
              <w:rPr>
                <w:sz w:val="20"/>
                <w:szCs w:val="20"/>
                <w:color w:val="auto"/>
              </w:rPr>
            </w:pPr>
            <w:r>
              <w:rPr>
                <w:rFonts w:ascii="Arial" w:cs="Arial" w:eastAsia="Arial" w:hAnsi="Arial"/>
                <w:sz w:val="14"/>
                <w:szCs w:val="14"/>
                <w:color w:val="auto"/>
              </w:rPr>
              <w:t>Derivatives and hedging activities:</w:t>
            </w:r>
          </w:p>
        </w:tc>
        <w:tc>
          <w:tcPr>
            <w:tcW w:w="2660" w:type="dxa"/>
            <w:vAlign w:val="bottom"/>
            <w:tcBorders>
              <w:bottom w:val="single" w:sz="8" w:color="CFF0FC"/>
            </w:tcBorders>
            <w:gridSpan w:val="3"/>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6"/>
          </w:tcPr>
          <w:p>
            <w:pPr>
              <w:ind w:left="80"/>
              <w:spacing w:after="0"/>
              <w:rPr>
                <w:sz w:val="20"/>
                <w:szCs w:val="20"/>
                <w:color w:val="auto"/>
              </w:rPr>
            </w:pPr>
            <w:r>
              <w:rPr>
                <w:rFonts w:ascii="Arial" w:cs="Arial" w:eastAsia="Arial" w:hAnsi="Arial"/>
                <w:sz w:val="14"/>
                <w:szCs w:val="14"/>
                <w:color w:val="auto"/>
              </w:rPr>
              <w:t>Unrealized holding gains arising during the period</w:t>
            </w:r>
          </w:p>
        </w:tc>
        <w:tc>
          <w:tcPr>
            <w:tcW w:w="26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273</w:t>
            </w:r>
          </w:p>
        </w:tc>
        <w:tc>
          <w:tcPr>
            <w:tcW w:w="22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391</w:t>
            </w: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Net unrealized gains on derivatives and hedging activities</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273</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116</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391</w:t>
            </w: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Other comprehensive (loss), before tax</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(2,688 )</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(4,285 )</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(1,603 )</w:t>
            </w: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(15,293 )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6"/>
          </w:tcPr>
          <w:p>
            <w:pPr>
              <w:spacing w:after="0"/>
              <w:rPr>
                <w:sz w:val="20"/>
                <w:szCs w:val="20"/>
                <w:color w:val="auto"/>
              </w:rPr>
            </w:pPr>
            <w:r>
              <w:rPr>
                <w:rFonts w:ascii="Arial" w:cs="Arial" w:eastAsia="Arial" w:hAnsi="Arial"/>
                <w:sz w:val="14"/>
                <w:szCs w:val="14"/>
                <w:color w:val="auto"/>
              </w:rPr>
              <w:t>Tax effect</w:t>
            </w:r>
          </w:p>
        </w:tc>
        <w:tc>
          <w:tcPr>
            <w:tcW w:w="26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702</w:t>
            </w:r>
          </w:p>
        </w:tc>
        <w:tc>
          <w:tcPr>
            <w:tcW w:w="22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1,119</w:t>
            </w:r>
          </w:p>
        </w:tc>
        <w:tc>
          <w:tcPr>
            <w:tcW w:w="2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419</w:t>
            </w: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3,996</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(1,986 )</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(3,166 )</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(1,184 )</w:t>
            </w: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6"/>
          </w:tcPr>
          <w:p>
            <w:pPr>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5,660</w:t>
            </w:r>
          </w:p>
        </w:tc>
        <w:tc>
          <w:tcPr>
            <w:tcW w:w="54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(1,822 )</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Comprehensive income, attributable to noncontrolling interest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87</w:t>
            </w:r>
          </w:p>
        </w:tc>
        <w:tc>
          <w:tcPr>
            <w:tcW w:w="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Comprehensive income (loss) attributable to Pathfinder Bancorp, Inc.</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5,573</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(1,895 )</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Borders>
              <w:bottom w:val="single" w:sz="8" w:color="auto"/>
            </w:tcBorders>
            <w:gridSpan w:val="5"/>
          </w:tcPr>
          <w:p>
            <w:pPr>
              <w:spacing w:after="0" w:line="156" w:lineRule="exact"/>
              <w:rPr>
                <w:sz w:val="20"/>
                <w:szCs w:val="20"/>
                <w:color w:val="auto"/>
              </w:rPr>
            </w:pPr>
            <w:r>
              <w:rPr>
                <w:rFonts w:ascii="Arial" w:cs="Arial" w:eastAsia="Arial" w:hAnsi="Arial"/>
                <w:sz w:val="14"/>
                <w:szCs w:val="14"/>
                <w:color w:val="auto"/>
              </w:rPr>
              <w:t>Tax Effect Allocated to Each Component of Other Comprehensive (Loss)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gridSpan w:val="6"/>
          </w:tcPr>
          <w:p>
            <w:pPr>
              <w:spacing w:after="0" w:line="148" w:lineRule="exact"/>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FF0FC"/>
          </w:tcPr>
          <w:p>
            <w:pPr>
              <w:spacing w:after="0"/>
              <w:rPr>
                <w:sz w:val="17"/>
                <w:szCs w:val="17"/>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Retirement plan net losses recognized in plan expenses</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(15 )</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(44 )</w:t>
            </w:r>
          </w:p>
        </w:tc>
        <w:tc>
          <w:tcPr>
            <w:tcW w:w="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gridSpan w:val="6"/>
          </w:tcPr>
          <w:p>
            <w:pPr>
              <w:spacing w:after="0"/>
              <w:rPr>
                <w:sz w:val="20"/>
                <w:szCs w:val="20"/>
                <w:color w:val="auto"/>
              </w:rPr>
            </w:pPr>
            <w:r>
              <w:rPr>
                <w:rFonts w:ascii="Arial" w:cs="Arial" w:eastAsia="Arial" w:hAnsi="Arial"/>
                <w:sz w:val="14"/>
                <w:szCs w:val="14"/>
                <w:color w:val="auto"/>
              </w:rPr>
              <w:t>Unrealized holding gains on available-for-sale securities arising during the</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gridSpan w:val="6"/>
          </w:tcPr>
          <w:p>
            <w:pPr>
              <w:spacing w:after="0"/>
              <w:rPr>
                <w:sz w:val="20"/>
                <w:szCs w:val="20"/>
                <w:color w:val="auto"/>
              </w:rPr>
            </w:pPr>
            <w:r>
              <w:rPr>
                <w:rFonts w:ascii="Arial" w:cs="Arial" w:eastAsia="Arial" w:hAnsi="Arial"/>
                <w:sz w:val="14"/>
                <w:szCs w:val="14"/>
                <w:color w:val="auto"/>
              </w:rPr>
              <w:t>period</w:t>
            </w:r>
          </w:p>
        </w:tc>
        <w:tc>
          <w:tcPr>
            <w:tcW w:w="26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788</w:t>
            </w:r>
          </w:p>
        </w:tc>
        <w:tc>
          <w:tcPr>
            <w:tcW w:w="22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1,199</w:t>
            </w:r>
          </w:p>
        </w:tc>
        <w:tc>
          <w:tcPr>
            <w:tcW w:w="2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1,070</w:t>
            </w: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4,324</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484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Reclassification adjustment for net (gains) included in net income</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(50 )</w:t>
            </w: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(506 )</w:t>
            </w: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6"/>
          </w:tcPr>
          <w:p>
            <w:pPr>
              <w:spacing w:after="0"/>
              <w:rPr>
                <w:sz w:val="20"/>
                <w:szCs w:val="20"/>
                <w:color w:val="auto"/>
              </w:rPr>
            </w:pPr>
            <w:r>
              <w:rPr>
                <w:rFonts w:ascii="Arial" w:cs="Arial" w:eastAsia="Arial" w:hAnsi="Arial"/>
                <w:sz w:val="14"/>
                <w:szCs w:val="14"/>
                <w:color w:val="auto"/>
              </w:rPr>
              <w:t>Unrealized (gains) on derivatives and hedging arising during the period</w:t>
            </w:r>
          </w:p>
        </w:tc>
        <w:tc>
          <w:tcPr>
            <w:tcW w:w="2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(71 )</w:t>
            </w:r>
          </w:p>
        </w:tc>
        <w:tc>
          <w:tcPr>
            <w:tcW w:w="22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(30 )</w:t>
            </w:r>
          </w:p>
        </w:tc>
        <w:tc>
          <w:tcPr>
            <w:tcW w:w="2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(101 )</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232"/>
        </w:trPr>
        <w:tc>
          <w:tcPr>
            <w:tcW w:w="20" w:type="dxa"/>
            <w:vAlign w:val="bottom"/>
            <w:tcBorders>
              <w:bottom w:val="single" w:sz="8" w:color="auto"/>
            </w:tcBorders>
            <w:shd w:val="clear" w:color="auto" w:fill="CFF0FC"/>
          </w:tcPr>
          <w:p>
            <w:pPr>
              <w:spacing w:after="0"/>
              <w:rPr>
                <w:sz w:val="20"/>
                <w:szCs w:val="20"/>
                <w:color w:val="auto"/>
              </w:rPr>
            </w:pPr>
          </w:p>
        </w:tc>
        <w:tc>
          <w:tcPr>
            <w:tcW w:w="4840" w:type="dxa"/>
            <w:vAlign w:val="bottom"/>
            <w:tcBorders>
              <w:bottom w:val="single" w:sz="8" w:color="auto"/>
            </w:tcBorders>
            <w:gridSpan w:val="6"/>
            <w:shd w:val="clear" w:color="auto" w:fill="CFF0FC"/>
          </w:tcPr>
          <w:p>
            <w:pPr>
              <w:spacing w:after="0"/>
              <w:rPr>
                <w:sz w:val="20"/>
                <w:szCs w:val="20"/>
                <w:color w:val="auto"/>
              </w:rPr>
            </w:pPr>
            <w:r>
              <w:rPr>
                <w:rFonts w:ascii="Arial" w:cs="Arial" w:eastAsia="Arial" w:hAnsi="Arial"/>
                <w:sz w:val="14"/>
                <w:szCs w:val="14"/>
                <w:color w:val="auto"/>
              </w:rPr>
              <w:t>Income tax effect related to other comprehensive income</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702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1,119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419</w:t>
            </w:r>
          </w:p>
        </w:tc>
        <w:tc>
          <w:tcPr>
            <w:tcW w:w="5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3,996</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5" w:name="page6"/>
    <w:bookmarkEnd w:id="5"/>
    <w:p>
      <w:pPr>
        <w:jc w:val="center"/>
        <w:ind w:right="80"/>
        <w:spacing w:after="0"/>
        <w:rPr>
          <w:sz w:val="20"/>
          <w:szCs w:val="20"/>
          <w:color w:val="auto"/>
        </w:rPr>
      </w:pPr>
      <w:r>
        <w:rPr>
          <w:rFonts w:ascii="Arial" w:cs="Arial" w:eastAsia="Arial" w:hAnsi="Arial"/>
          <w:sz w:val="18"/>
          <w:szCs w:val="18"/>
          <w:b w:val="1"/>
          <w:bCs w:val="1"/>
          <w:color w:val="auto"/>
        </w:rPr>
        <w:t>Pathfinder Bancorp, Inc.</w:t>
      </w:r>
    </w:p>
    <w:p>
      <w:pPr>
        <w:spacing w:after="0" w:line="44" w:lineRule="exact"/>
        <w:rPr>
          <w:sz w:val="20"/>
          <w:szCs w:val="20"/>
          <w:color w:val="auto"/>
        </w:rPr>
      </w:pPr>
    </w:p>
    <w:p>
      <w:pPr>
        <w:jc w:val="center"/>
        <w:ind w:right="80"/>
        <w:spacing w:after="0" w:line="297" w:lineRule="auto"/>
        <w:rPr>
          <w:sz w:val="20"/>
          <w:szCs w:val="20"/>
          <w:color w:val="auto"/>
        </w:rPr>
      </w:pPr>
      <w:r>
        <w:rPr>
          <w:rFonts w:ascii="Arial" w:cs="Arial" w:eastAsia="Arial" w:hAnsi="Arial"/>
          <w:sz w:val="18"/>
          <w:szCs w:val="18"/>
          <w:b w:val="1"/>
          <w:bCs w:val="1"/>
          <w:color w:val="auto"/>
        </w:rPr>
        <w:t>Consolidated Statements of Changes in Shareholders' Equity Three months ended September 30, 2023 and September 30, 2022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Arial" w:cs="Arial" w:eastAsia="Arial" w:hAnsi="Arial"/>
                <w:sz w:val="14"/>
                <w:szCs w:val="14"/>
                <w:color w:val="auto"/>
              </w:rPr>
              <w:t>Accumul</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ated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center"/>
              <w:ind w:right="148"/>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8"/>
              <w:spacing w:after="0" w:line="144" w:lineRule="exact"/>
              <w:rPr>
                <w:sz w:val="20"/>
                <w:szCs w:val="20"/>
                <w:color w:val="auto"/>
              </w:rPr>
            </w:pPr>
            <w:r>
              <w:rPr>
                <w:rFonts w:ascii="Arial" w:cs="Arial" w:eastAsia="Arial" w:hAnsi="Arial"/>
                <w:sz w:val="14"/>
                <w:szCs w:val="14"/>
                <w:color w:val="auto"/>
              </w:rPr>
              <w:t>Compreh</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Voting</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Additional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ensive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Non-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Common</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Paid in</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Loss</w:t>
            </w: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Unearne</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controllin</w:t>
            </w: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3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16"/>
                <w:szCs w:val="16"/>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Capital</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d ESOP</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g Interest</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52,645</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72,664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(11,370 )</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(225 )</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654</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$ 114,429</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2,176</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(1,986 )</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(1,986 )</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ESOP shares earned (6,111 shares)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Common stock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(422 )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($0.09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(124 )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Warrant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74,282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(13,356 )</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$ 114,442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51,388</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66,077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(9,399 )</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(405 )</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407</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$ 108,128</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3,180</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3,192</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(3,166 )</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(3,166 )</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ESOP shares earned (6,111 shares)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Common stock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(411 )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($0.09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(125 )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89"/>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Warrant dividends declared ($0.09 per share)</w:t>
            </w:r>
          </w:p>
        </w:tc>
        <w:tc>
          <w:tcPr>
            <w:tcW w:w="24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(11 )</w:t>
            </w:r>
          </w:p>
        </w:tc>
        <w:tc>
          <w:tcPr>
            <w:tcW w:w="18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66"/>
        </w:trPr>
        <w:tc>
          <w:tcPr>
            <w:tcW w:w="35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20" w:type="dxa"/>
            <w:vAlign w:val="bottom"/>
            <w:vMerge w:val="continue"/>
            <w:shd w:val="clear" w:color="auto" w:fill="CFF0FC"/>
          </w:tcPr>
          <w:p>
            <w:pPr>
              <w:spacing w:after="0"/>
              <w:rPr>
                <w:sz w:val="5"/>
                <w:szCs w:val="5"/>
                <w:color w:val="auto"/>
              </w:rPr>
            </w:pPr>
          </w:p>
        </w:tc>
        <w:tc>
          <w:tcPr>
            <w:tcW w:w="8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Cumulative effect of affiliate capital allocation</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(147 )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Distributions from affiliates</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68,563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(12,565 )</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$ 107,795</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3" w:right="680"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8"/>
          <w:szCs w:val="18"/>
          <w:b w:val="1"/>
          <w:bCs w:val="1"/>
          <w:color w:val="auto"/>
        </w:rPr>
        <w:t>Pathfinder Bancorp, Inc.</w:t>
      </w:r>
    </w:p>
    <w:p>
      <w:pPr>
        <w:spacing w:after="0" w:line="44" w:lineRule="exact"/>
        <w:rPr>
          <w:sz w:val="20"/>
          <w:szCs w:val="20"/>
          <w:color w:val="auto"/>
        </w:rPr>
      </w:pPr>
    </w:p>
    <w:p>
      <w:pPr>
        <w:jc w:val="center"/>
        <w:ind w:right="80"/>
        <w:spacing w:after="0" w:line="297" w:lineRule="auto"/>
        <w:rPr>
          <w:sz w:val="20"/>
          <w:szCs w:val="20"/>
          <w:color w:val="auto"/>
        </w:rPr>
      </w:pPr>
      <w:r>
        <w:rPr>
          <w:rFonts w:ascii="Arial" w:cs="Arial" w:eastAsia="Arial" w:hAnsi="Arial"/>
          <w:sz w:val="18"/>
          <w:szCs w:val="18"/>
          <w:b w:val="1"/>
          <w:bCs w:val="1"/>
          <w:color w:val="auto"/>
        </w:rPr>
        <w:t>Consolidated Statements of Changes in Shareholders' Equity Nine months ended September 30, 2023 and September 30, 2022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Arial" w:cs="Arial" w:eastAsia="Arial" w:hAnsi="Arial"/>
                <w:sz w:val="14"/>
                <w:szCs w:val="14"/>
                <w:color w:val="auto"/>
              </w:rPr>
              <w:t>Accumul</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ated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Voting</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Additional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Arial" w:cs="Arial" w:eastAsia="Arial" w:hAnsi="Arial"/>
                <w:sz w:val="14"/>
                <w:szCs w:val="14"/>
                <w:color w:val="auto"/>
              </w:rPr>
              <w:t>Compreh</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Non-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Common</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Paid in</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ensive</w:t>
            </w: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Unearne</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controllin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Pr>
          <w:p>
            <w:pPr>
              <w:spacing w:after="0"/>
              <w:rPr>
                <w:sz w:val="18"/>
                <w:szCs w:val="18"/>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18"/>
                <w:szCs w:val="18"/>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Capital</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8"/>
                <w:szCs w:val="18"/>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Loss</w:t>
            </w: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d ESOP</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g Interest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52,101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71,322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(12,172 )</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(315 )</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585</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$ 111,582</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6,757</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6,844</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(1,184 )</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(1,184 )</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ESOP shares earned (18,332 shares)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86</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623</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Common stock dividends declared ($0.27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(1,256 )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($0.27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(373 )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(373 )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Warrant dividends declared ($0.27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Adoption of ASU 2016-13 Current Expected Credit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(2,134 )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(2,134 )</w:t>
            </w:r>
          </w:p>
        </w:tc>
        <w:tc>
          <w:tcPr>
            <w:tcW w:w="0" w:type="dxa"/>
            <w:vAlign w:val="bottom"/>
          </w:tcPr>
          <w:p>
            <w:pPr>
              <w:spacing w:after="0"/>
              <w:rPr>
                <w:sz w:val="1"/>
                <w:szCs w:val="1"/>
                <w:color w:val="auto"/>
              </w:rPr>
            </w:pPr>
          </w:p>
        </w:tc>
      </w:tr>
      <w:tr>
        <w:trPr>
          <w:trHeight w:val="283"/>
        </w:trPr>
        <w:tc>
          <w:tcPr>
            <w:tcW w:w="3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52,963</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74,282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(13,356 )</w:t>
            </w: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(180 )</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672</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$ 114,442</w:t>
            </w:r>
          </w:p>
        </w:tc>
        <w:tc>
          <w:tcPr>
            <w:tcW w:w="0" w:type="dxa"/>
            <w:vAlign w:val="bottom"/>
          </w:tcPr>
          <w:p>
            <w:pPr>
              <w:spacing w:after="0"/>
              <w:rPr>
                <w:sz w:val="1"/>
                <w:szCs w:val="1"/>
                <w:color w:val="auto"/>
              </w:rPr>
            </w:pPr>
          </w:p>
        </w:tc>
      </w:tr>
      <w:tr>
        <w:trPr>
          <w:trHeight w:val="360"/>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January 1, 2022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51,044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60,946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(1,268 )</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(495 )</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$ 110,633</w:t>
            </w:r>
          </w:p>
        </w:tc>
        <w:tc>
          <w:tcPr>
            <w:tcW w:w="0" w:type="dxa"/>
            <w:vAlign w:val="bottom"/>
          </w:tcPr>
          <w:p>
            <w:pPr>
              <w:spacing w:after="0"/>
              <w:rPr>
                <w:sz w:val="1"/>
                <w:szCs w:val="1"/>
                <w:color w:val="auto"/>
              </w:rPr>
            </w:pPr>
          </w:p>
        </w:tc>
      </w:tr>
      <w:tr>
        <w:trPr>
          <w:trHeight w:val="192"/>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9,402</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9,475</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(11,297 )</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(11,297 )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ESOP shares earned (18,332 shares)</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217</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Common stock dividends declared ($0.27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(1,231 )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(1,231 )</w:t>
            </w: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($0.27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(373 )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(373 )</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Warrant dividends declared ($0.27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(34 )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Cumulative effect of affiliate capital allocation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(147 )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71</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Distributions from affiliates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3"/>
        </w:trPr>
        <w:tc>
          <w:tcPr>
            <w:tcW w:w="35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35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51,603</w:t>
            </w: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68,563</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(12,565</w:t>
            </w:r>
          </w:p>
        </w:tc>
        <w:tc>
          <w:tcPr>
            <w:tcW w:w="2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(360</w:t>
            </w: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494</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107,795</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3"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Pathfinder Bancorp,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60" w:type="dxa"/>
            <w:vAlign w:val="bottom"/>
            <w:gridSpan w:val="3"/>
          </w:tcPr>
          <w:p>
            <w:pPr>
              <w:jc w:val="right"/>
              <w:ind w:right="202"/>
              <w:spacing w:after="0"/>
              <w:rPr>
                <w:sz w:val="20"/>
                <w:szCs w:val="20"/>
                <w:color w:val="auto"/>
              </w:rPr>
            </w:pPr>
            <w:r>
              <w:rPr>
                <w:rFonts w:ascii="Arial" w:cs="Arial" w:eastAsia="Arial" w:hAnsi="Arial"/>
                <w:sz w:val="16"/>
                <w:szCs w:val="16"/>
                <w:color w:val="auto"/>
                <w:w w:val="98"/>
              </w:rPr>
              <w:t>For the nine months ended September 30,</w:t>
            </w:r>
          </w:p>
        </w:tc>
        <w:tc>
          <w:tcPr>
            <w:tcW w:w="0" w:type="dxa"/>
            <w:vAlign w:val="bottom"/>
          </w:tcPr>
          <w:p>
            <w:pPr>
              <w:spacing w:after="0"/>
              <w:rPr>
                <w:sz w:val="1"/>
                <w:szCs w:val="1"/>
                <w:color w:val="auto"/>
              </w:rPr>
            </w:pPr>
          </w:p>
        </w:tc>
      </w:tr>
      <w:tr>
        <w:trPr>
          <w:trHeight w:val="205"/>
        </w:trPr>
        <w:tc>
          <w:tcPr>
            <w:tcW w:w="63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Net income attributable to Pathfinder Bancorp, Inc.</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6,757</w:t>
            </w:r>
          </w:p>
        </w:tc>
        <w:tc>
          <w:tcPr>
            <w:tcW w:w="5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9,402</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Provision for credit losses</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2,665</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sales of loans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4,244</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Originations of loans held-for-sale</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(4,013)</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(6,429)</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Realized (gains) losses on sales, redemptions and calls of:</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40"/>
              <w:spacing w:after="0"/>
              <w:rPr>
                <w:sz w:val="20"/>
                <w:szCs w:val="20"/>
                <w:color w:val="auto"/>
              </w:rPr>
            </w:pPr>
            <w:r>
              <w:rPr>
                <w:rFonts w:ascii="Arial" w:cs="Arial" w:eastAsia="Arial" w:hAnsi="Arial"/>
                <w:sz w:val="16"/>
                <w:szCs w:val="16"/>
                <w:color w:val="auto"/>
              </w:rPr>
              <w:t>Real estate acquired through foreclosure</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29</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Loans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(212 )</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03"/>
        </w:trPr>
        <w:tc>
          <w:tcPr>
            <w:tcW w:w="6300" w:type="dxa"/>
            <w:vAlign w:val="bottom"/>
          </w:tcPr>
          <w:p>
            <w:pPr>
              <w:ind w:left="340"/>
              <w:spacing w:after="0"/>
              <w:rPr>
                <w:sz w:val="20"/>
                <w:szCs w:val="20"/>
                <w:color w:val="auto"/>
              </w:rPr>
            </w:pPr>
            <w:r>
              <w:rPr>
                <w:rFonts w:ascii="Arial" w:cs="Arial" w:eastAsia="Arial" w:hAnsi="Arial"/>
                <w:sz w:val="16"/>
                <w:szCs w:val="16"/>
                <w:color w:val="auto"/>
              </w:rPr>
              <w:t>Available-for-sale investment securities</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(79)</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Held-to-maturity investment securities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19</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63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208</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1,051</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Amortization of mortgage servicing rights</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deferred loan fees and costs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(183 )</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Amortization of operating leases</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deferred financing from subordinated debt</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134</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Earnings on bank owned life insurance</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(466 )</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(441 )</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amortization of premiums and discounts on investment securities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1,633</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based compensation and ESOP expense</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374</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Net change in accrued interest receivable</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(426 )</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(652 )</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other assets and liabilities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(4,645)</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04"/>
        </w:trPr>
        <w:tc>
          <w:tcPr>
            <w:tcW w:w="6300" w:type="dxa"/>
            <w:vAlign w:val="bottom"/>
          </w:tcPr>
          <w:p>
            <w:pPr>
              <w:ind w:left="420"/>
              <w:spacing w:after="0"/>
              <w:rPr>
                <w:sz w:val="20"/>
                <w:szCs w:val="20"/>
                <w:color w:val="auto"/>
              </w:rPr>
            </w:pPr>
            <w:r>
              <w:rPr>
                <w:rFonts w:ascii="Arial" w:cs="Arial" w:eastAsia="Arial" w:hAnsi="Arial"/>
                <w:sz w:val="16"/>
                <w:szCs w:val="16"/>
                <w:b w:val="1"/>
                <w:bCs w:val="1"/>
                <w:color w:val="auto"/>
              </w:rPr>
              <w:t>Net cash flows from operating activities</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7,003</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12,152</w:t>
            </w:r>
          </w:p>
        </w:tc>
        <w:tc>
          <w:tcPr>
            <w:tcW w:w="0" w:type="dxa"/>
            <w:vAlign w:val="bottom"/>
          </w:tcPr>
          <w:p>
            <w:pPr>
              <w:spacing w:after="0"/>
              <w:rPr>
                <w:sz w:val="1"/>
                <w:szCs w:val="1"/>
                <w:color w:val="auto"/>
              </w:rPr>
            </w:pPr>
          </w:p>
        </w:tc>
      </w:tr>
      <w:tr>
        <w:trPr>
          <w:trHeight w:val="204"/>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Purchase of investment securities available-for-sale</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(49,256 )</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(51,411 )</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investment securities held-to-maturity</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(12,787 )</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(60,253 )</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Purchase of Federal Home Loan Bank stock</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(13,415 )</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(9,769)</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redemption of Federal Home Loan Bank stock</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13,573</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10,243</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Purchase of marketable securities</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(1,359)</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186"/>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and principal reductions of investment securities</w:t>
            </w:r>
          </w:p>
        </w:tc>
        <w:tc>
          <w:tcPr>
            <w:tcW w:w="100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available-for-sale</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12,921</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16,449</w:t>
            </w:r>
          </w:p>
        </w:tc>
        <w:tc>
          <w:tcPr>
            <w:tcW w:w="0" w:type="dxa"/>
            <w:vAlign w:val="bottom"/>
          </w:tcPr>
          <w:p>
            <w:pPr>
              <w:spacing w:after="0"/>
              <w:rPr>
                <w:sz w:val="1"/>
                <w:szCs w:val="1"/>
                <w:color w:val="auto"/>
              </w:rPr>
            </w:pPr>
          </w:p>
        </w:tc>
      </w:tr>
      <w:tr>
        <w:trPr>
          <w:trHeight w:val="185"/>
        </w:trPr>
        <w:tc>
          <w:tcPr>
            <w:tcW w:w="6300" w:type="dxa"/>
            <w:vAlign w:val="bottom"/>
          </w:tcPr>
          <w:p>
            <w:pPr>
              <w:ind w:left="20"/>
              <w:spacing w:after="0"/>
              <w:rPr>
                <w:sz w:val="20"/>
                <w:szCs w:val="20"/>
                <w:color w:val="auto"/>
              </w:rPr>
            </w:pPr>
            <w:r>
              <w:rPr>
                <w:rFonts w:ascii="Arial" w:cs="Arial" w:eastAsia="Arial" w:hAnsi="Arial"/>
                <w:sz w:val="16"/>
                <w:szCs w:val="16"/>
                <w:color w:val="auto"/>
              </w:rPr>
              <w:t>Proceeds from maturities and principal reductions of investment securities</w:t>
            </w: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00" w:type="dxa"/>
            <w:vAlign w:val="bottom"/>
          </w:tcPr>
          <w:p>
            <w:pPr>
              <w:ind w:left="140"/>
              <w:spacing w:after="0"/>
              <w:rPr>
                <w:sz w:val="20"/>
                <w:szCs w:val="20"/>
                <w:color w:val="auto"/>
              </w:rPr>
            </w:pPr>
            <w:r>
              <w:rPr>
                <w:rFonts w:ascii="Arial" w:cs="Arial" w:eastAsia="Arial" w:hAnsi="Arial"/>
                <w:sz w:val="16"/>
                <w:szCs w:val="16"/>
                <w:color w:val="auto"/>
              </w:rPr>
              <w:t>held-to-maturity</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20,878</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23,322</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redemptions and calls of:</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Available-for-sale investment securities</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17,396</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8,358</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Held-to-maturity investment securities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278</w:t>
            </w:r>
          </w:p>
        </w:tc>
        <w:tc>
          <w:tcPr>
            <w:tcW w:w="58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74"/>
        </w:trPr>
        <w:tc>
          <w:tcPr>
            <w:tcW w:w="630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58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10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Real estate acquired through foreclosure</w:t>
            </w:r>
          </w:p>
        </w:tc>
        <w:tc>
          <w:tcPr>
            <w:tcW w:w="1000" w:type="dxa"/>
            <w:vAlign w:val="bottom"/>
          </w:tcPr>
          <w:p>
            <w:pPr>
              <w:spacing w:after="0"/>
              <w:rPr>
                <w:sz w:val="17"/>
                <w:szCs w:val="17"/>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color w:val="auto"/>
              </w:rPr>
              <w:t>288</w:t>
            </w:r>
          </w:p>
        </w:tc>
        <w:tc>
          <w:tcPr>
            <w:tcW w:w="5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Marketable securities</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3"/>
        </w:trPr>
        <w:tc>
          <w:tcPr>
            <w:tcW w:w="6300" w:type="dxa"/>
            <w:vAlign w:val="bottom"/>
          </w:tcPr>
          <w:p>
            <w:pPr>
              <w:ind w:left="20"/>
              <w:spacing w:after="0"/>
              <w:rPr>
                <w:sz w:val="20"/>
                <w:szCs w:val="20"/>
                <w:color w:val="auto"/>
              </w:rPr>
            </w:pPr>
            <w:r>
              <w:rPr>
                <w:rFonts w:ascii="Arial" w:cs="Arial" w:eastAsia="Arial" w:hAnsi="Arial"/>
                <w:sz w:val="16"/>
                <w:szCs w:val="16"/>
                <w:color w:val="auto"/>
              </w:rPr>
              <w:t>Net change in loans</w:t>
            </w:r>
          </w:p>
        </w:tc>
        <w:tc>
          <w:tcPr>
            <w:tcW w:w="1000" w:type="dxa"/>
            <w:vAlign w:val="bottom"/>
          </w:tcPr>
          <w:p>
            <w:pPr>
              <w:spacing w:after="0"/>
              <w:rPr>
                <w:sz w:val="17"/>
                <w:szCs w:val="17"/>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(736 )</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(54,562 )</w:t>
            </w:r>
          </w:p>
        </w:tc>
        <w:tc>
          <w:tcPr>
            <w:tcW w:w="0" w:type="dxa"/>
            <w:vAlign w:val="bottom"/>
          </w:tcPr>
          <w:p>
            <w:pPr>
              <w:spacing w:after="0"/>
              <w:rPr>
                <w:sz w:val="1"/>
                <w:szCs w:val="1"/>
                <w:color w:val="auto"/>
              </w:rPr>
            </w:pPr>
          </w:p>
        </w:tc>
      </w:tr>
      <w:tr>
        <w:trPr>
          <w:trHeight w:val="205"/>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premises and equipment</w:t>
            </w:r>
          </w:p>
        </w:tc>
        <w:tc>
          <w:tcPr>
            <w:tcW w:w="10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(1,670)</w:t>
            </w:r>
          </w:p>
        </w:tc>
        <w:tc>
          <w:tcPr>
            <w:tcW w:w="5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7"/>
        </w:trPr>
        <w:tc>
          <w:tcPr>
            <w:tcW w:w="6300" w:type="dxa"/>
            <w:vAlign w:val="bottom"/>
          </w:tcPr>
          <w:p>
            <w:pPr>
              <w:ind w:left="420"/>
              <w:spacing w:after="0"/>
              <w:rPr>
                <w:sz w:val="20"/>
                <w:szCs w:val="20"/>
                <w:color w:val="auto"/>
              </w:rPr>
            </w:pPr>
            <w:r>
              <w:rPr>
                <w:rFonts w:ascii="Arial" w:cs="Arial" w:eastAsia="Arial" w:hAnsi="Arial"/>
                <w:sz w:val="16"/>
                <w:szCs w:val="16"/>
                <w:b w:val="1"/>
                <w:bCs w:val="1"/>
                <w:color w:val="auto"/>
              </w:rPr>
              <w:t>Net cash outflows (inflows) from investing activities</w:t>
            </w:r>
          </w:p>
        </w:tc>
        <w:tc>
          <w:tcPr>
            <w:tcW w:w="1000" w:type="dxa"/>
            <w:vAlign w:val="bottom"/>
          </w:tcPr>
          <w:p>
            <w:pPr>
              <w:spacing w:after="0"/>
              <w:rPr>
                <w:sz w:val="18"/>
                <w:szCs w:val="18"/>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(13,889 )</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(117,358 )</w:t>
            </w:r>
          </w:p>
        </w:tc>
        <w:tc>
          <w:tcPr>
            <w:tcW w:w="0" w:type="dxa"/>
            <w:vAlign w:val="bottom"/>
          </w:tcPr>
          <w:p>
            <w:pPr>
              <w:spacing w:after="0"/>
              <w:rPr>
                <w:sz w:val="1"/>
                <w:szCs w:val="1"/>
                <w:color w:val="auto"/>
              </w:rPr>
            </w:pPr>
          </w:p>
        </w:tc>
      </w:tr>
      <w:tr>
        <w:trPr>
          <w:trHeight w:val="369"/>
        </w:trPr>
        <w:tc>
          <w:tcPr>
            <w:tcW w:w="6300" w:type="dxa"/>
            <w:vAlign w:val="bottom"/>
          </w:tcPr>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8</w:t>
            </w:r>
            <w:r>
              <w:rPr>
                <w:rFonts w:ascii="Arial" w:cs="Arial" w:eastAsia="Arial" w:hAnsi="Arial"/>
                <w:sz w:val="16"/>
                <w:szCs w:val="16"/>
                <w:color w:val="auto"/>
              </w:rPr>
              <w:t xml:space="preserve"> -</w:t>
            </w: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300" w:type="dxa"/>
            <w:vAlign w:val="bottom"/>
            <w:tcBorders>
              <w:bottom w:val="single" w:sz="8" w:color="EEEEEE"/>
            </w:tcBorders>
          </w:tcPr>
          <w:p>
            <w:pPr>
              <w:spacing w:after="0"/>
              <w:rPr>
                <w:sz w:val="7"/>
                <w:szCs w:val="7"/>
                <w:color w:val="auto"/>
              </w:rPr>
            </w:pPr>
          </w:p>
        </w:tc>
        <w:tc>
          <w:tcPr>
            <w:tcW w:w="1000" w:type="dxa"/>
            <w:vAlign w:val="bottom"/>
            <w:tcBorders>
              <w:bottom w:val="single" w:sz="8" w:color="EEEEEE"/>
            </w:tcBorders>
          </w:tcPr>
          <w:p>
            <w:pPr>
              <w:spacing w:after="0"/>
              <w:rPr>
                <w:sz w:val="7"/>
                <w:szCs w:val="7"/>
                <w:color w:val="auto"/>
              </w:rPr>
            </w:pPr>
          </w:p>
        </w:tc>
        <w:tc>
          <w:tcPr>
            <w:tcW w:w="1580" w:type="dxa"/>
            <w:vAlign w:val="bottom"/>
            <w:tcBorders>
              <w:bottom w:val="single" w:sz="8" w:color="EEEEEE"/>
            </w:tcBorders>
          </w:tcPr>
          <w:p>
            <w:pPr>
              <w:spacing w:after="0"/>
              <w:rPr>
                <w:sz w:val="7"/>
                <w:szCs w:val="7"/>
                <w:color w:val="auto"/>
              </w:rPr>
            </w:pPr>
          </w:p>
        </w:tc>
        <w:tc>
          <w:tcPr>
            <w:tcW w:w="580" w:type="dxa"/>
            <w:vAlign w:val="bottom"/>
            <w:tcBorders>
              <w:bottom w:val="single" w:sz="8" w:color="EEEEEE"/>
            </w:tcBorders>
          </w:tcPr>
          <w:p>
            <w:pPr>
              <w:spacing w:after="0"/>
              <w:rPr>
                <w:sz w:val="7"/>
                <w:szCs w:val="7"/>
                <w:color w:val="auto"/>
              </w:rPr>
            </w:pPr>
          </w:p>
        </w:tc>
        <w:tc>
          <w:tcPr>
            <w:tcW w:w="110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8" w:right="6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85"/>
        </w:trPr>
        <w:tc>
          <w:tcPr>
            <w:tcW w:w="6680" w:type="dxa"/>
            <w:vAlign w:val="bottom"/>
          </w:tcPr>
          <w:p>
            <w:pPr>
              <w:ind w:left="20"/>
              <w:spacing w:after="0"/>
              <w:rPr>
                <w:sz w:val="20"/>
                <w:szCs w:val="20"/>
                <w:color w:val="auto"/>
              </w:rPr>
            </w:pPr>
            <w:r>
              <w:rPr>
                <w:rFonts w:ascii="Arial" w:cs="Arial" w:eastAsia="Arial" w:hAnsi="Arial"/>
                <w:sz w:val="16"/>
                <w:szCs w:val="16"/>
                <w:color w:val="auto"/>
              </w:rPr>
              <w:t>Net change in demand deposits, NOW accounts, savings accounts, money management</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6680" w:type="dxa"/>
            <w:vAlign w:val="bottom"/>
          </w:tcPr>
          <w:p>
            <w:pPr>
              <w:ind w:left="140"/>
              <w:spacing w:after="0"/>
              <w:rPr>
                <w:sz w:val="20"/>
                <w:szCs w:val="20"/>
                <w:color w:val="auto"/>
              </w:rPr>
            </w:pPr>
            <w:r>
              <w:rPr>
                <w:rFonts w:ascii="Arial" w:cs="Arial" w:eastAsia="Arial" w:hAnsi="Arial"/>
                <w:sz w:val="16"/>
                <w:szCs w:val="16"/>
                <w:color w:val="auto"/>
              </w:rPr>
              <w:t>deposit accounts, MMDA accounts and escrow deposits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(67,468 )</w:t>
            </w:r>
          </w:p>
        </w:tc>
        <w:tc>
          <w:tcPr>
            <w:tcW w:w="5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848</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time deposits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74,902</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(20,707 )</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Net change in brokered deposits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(5,011)</w:t>
            </w:r>
          </w:p>
        </w:tc>
        <w:tc>
          <w:tcPr>
            <w:tcW w:w="5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145,096</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short-term borrowings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(3,635)</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Payments on long-term borrowings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(6,525)</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(12,227 )</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long-term borrowings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4,776</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1,750</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623</w:t>
            </w:r>
          </w:p>
        </w:tc>
        <w:tc>
          <w:tcPr>
            <w:tcW w:w="5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131</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dividends paid to common voting shareholders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(1,264)</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Cash dividends paid to common non-voting shareholders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(373 )</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(345 )</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dividends paid on warrants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Change in noncontrolling interest, net</w:t>
            </w:r>
          </w:p>
        </w:tc>
        <w:tc>
          <w:tcPr>
            <w:tcW w:w="10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87</w:t>
            </w:r>
          </w:p>
        </w:tc>
        <w:tc>
          <w:tcPr>
            <w:tcW w:w="5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148</w:t>
            </w:r>
          </w:p>
        </w:tc>
      </w:tr>
      <w:tr>
        <w:trPr>
          <w:trHeight w:val="205"/>
        </w:trPr>
        <w:tc>
          <w:tcPr>
            <w:tcW w:w="6680" w:type="dxa"/>
            <w:vAlign w:val="bottom"/>
            <w:shd w:val="clear" w:color="auto" w:fill="CFF0FC"/>
          </w:tcPr>
          <w:p>
            <w:pPr>
              <w:ind w:left="420"/>
              <w:spacing w:after="0"/>
              <w:rPr>
                <w:sz w:val="20"/>
                <w:szCs w:val="20"/>
                <w:color w:val="auto"/>
              </w:rPr>
            </w:pPr>
            <w:r>
              <w:rPr>
                <w:rFonts w:ascii="Arial" w:cs="Arial" w:eastAsia="Arial" w:hAnsi="Arial"/>
                <w:sz w:val="16"/>
                <w:szCs w:val="16"/>
                <w:b w:val="1"/>
                <w:bCs w:val="1"/>
                <w:color w:val="auto"/>
              </w:rPr>
              <w:t>Net cash (outflows) inflows from financing activities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(3,922)</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112,511</w:t>
            </w:r>
          </w:p>
        </w:tc>
      </w:tr>
      <w:tr>
        <w:trPr>
          <w:trHeight w:val="204"/>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Change in cash and cash equivalents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(10,808 )</w:t>
            </w:r>
          </w:p>
        </w:tc>
        <w:tc>
          <w:tcPr>
            <w:tcW w:w="5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7,305</w:t>
            </w:r>
          </w:p>
        </w:tc>
      </w:tr>
      <w:tr>
        <w:trPr>
          <w:trHeight w:val="204"/>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35,282</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37,149</w:t>
            </w:r>
          </w:p>
        </w:tc>
      </w:tr>
      <w:tr>
        <w:trPr>
          <w:trHeight w:val="20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24,474</w:t>
            </w:r>
          </w:p>
        </w:tc>
        <w:tc>
          <w:tcPr>
            <w:tcW w:w="5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44,454</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0"/>
        </w:trPr>
        <w:tc>
          <w:tcPr>
            <w:tcW w:w="66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CASH PAID DURING THE PERIOD FOR:</w:t>
            </w:r>
          </w:p>
        </w:tc>
        <w:tc>
          <w:tcPr>
            <w:tcW w:w="10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203"/>
        </w:trPr>
        <w:tc>
          <w:tcPr>
            <w:tcW w:w="668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0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18,819</w:t>
            </w:r>
          </w:p>
        </w:tc>
        <w:tc>
          <w:tcPr>
            <w:tcW w:w="5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1,452</w:t>
            </w:r>
          </w:p>
        </w:tc>
      </w:tr>
      <w:tr>
        <w:trPr>
          <w:trHeight w:val="205"/>
        </w:trPr>
        <w:tc>
          <w:tcPr>
            <w:tcW w:w="6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Income taxes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2,500</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2,518</w:t>
            </w:r>
          </w:p>
        </w:tc>
      </w:tr>
      <w:tr>
        <w:trPr>
          <w:trHeight w:val="204"/>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ACTIVITY</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6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 acquired in exchange for loans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333</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252</w:t>
            </w:r>
          </w:p>
        </w:tc>
      </w:tr>
      <w:tr>
        <w:trPr>
          <w:trHeight w:val="204"/>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6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Collateral deposits for hedge position included in cash and due from banks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8"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8" w:right="68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w:t>
      </w:r>
    </w:p>
    <w:p>
      <w:pPr>
        <w:spacing w:after="0" w:line="252" w:lineRule="auto"/>
        <w:rPr>
          <w:sz w:val="20"/>
          <w:szCs w:val="20"/>
          <w:color w:val="auto"/>
        </w:rPr>
      </w:pPr>
      <w:r>
        <w:rPr>
          <w:rFonts w:ascii="Arial" w:cs="Arial" w:eastAsia="Arial" w:hAnsi="Arial"/>
          <w:sz w:val="18"/>
          <w:szCs w:val="18"/>
          <w:color w:val="auto"/>
        </w:rPr>
        <w:t>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2022 consolidated financial statements may have been reclassified to conform to the current period presentation. These reclassifications had no effect on net income or comprehensive income as previously reported. Operating results for the three and nine months ended September 30, 2023 are not necessarily indicative of the results that may be expected for the full year ending December 31, 2023 or any other interim period.</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 party sources, when available. When third party information is not available, valuation adjustments are estimated in good faith by management.</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Company owns, through its subsidiary Pathfinder Risk Management Company, Inc., 51% of the membership interest in FitzGibbons Agency, LLC (“Agency”), the Company is required to consolidate 100% of the Agency within the consolidated financial statements. The 49% of which the Company does not own is accounted for separately as noncontrolling interests within the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ectPr>
          <w:pgSz w:w="11900" w:h="16840" w:orient="portrait"/>
          <w:cols w:equalWidth="0" w:num="1">
            <w:col w:w="10560"/>
          </w:cols>
          <w:pgMar w:left="660" w:top="877" w:right="68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Standards Not Yet Adopted as of September 30, 2023</w:t>
      </w:r>
    </w:p>
    <w:p>
      <w:pPr>
        <w:spacing w:after="0" w:line="56" w:lineRule="exact"/>
        <w:rPr>
          <w:sz w:val="20"/>
          <w:szCs w:val="20"/>
          <w:color w:val="auto"/>
        </w:rPr>
      </w:pPr>
    </w:p>
    <w:p>
      <w:pPr>
        <w:ind w:left="20"/>
        <w:spacing w:after="0"/>
        <w:tabs>
          <w:tab w:leader="none" w:pos="1640" w:val="left"/>
        </w:tabs>
        <w:rPr>
          <w:sz w:val="20"/>
          <w:szCs w:val="20"/>
          <w:color w:val="auto"/>
        </w:rPr>
      </w:pPr>
      <w:r>
        <w:rPr>
          <w:rFonts w:ascii="Arial" w:cs="Arial" w:eastAsia="Arial" w:hAnsi="Arial"/>
          <w:sz w:val="16"/>
          <w:szCs w:val="16"/>
          <w:b w:val="1"/>
          <w:bCs w:val="1"/>
          <w:color w:val="auto"/>
        </w:rPr>
        <w:t>Standard</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-114300</wp:posOffset>
            </wp:positionV>
            <wp:extent cx="6707505" cy="243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of Implementation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auto"/>
        </w:rPr>
        <w:t>Effect on Consolidated Financial Statements</w:t>
      </w:r>
    </w:p>
    <w:p>
      <w:pPr>
        <w:spacing w:after="0" w:line="1" w:lineRule="exact"/>
        <w:rPr>
          <w:sz w:val="20"/>
          <w:szCs w:val="20"/>
          <w:color w:val="auto"/>
        </w:rPr>
      </w:pPr>
    </w:p>
    <w:p>
      <w:pPr>
        <w:sectPr>
          <w:pgSz w:w="11900" w:h="16840" w:orient="portrait"/>
          <w:cols w:equalWidth="0" w:num="3">
            <w:col w:w="5520" w:space="720"/>
            <w:col w:w="1340" w:space="440"/>
            <w:col w:w="2540"/>
          </w:cols>
          <w:pgMar w:left="660" w:top="877" w:right="680" w:bottom="1440" w:gutter="0" w:footer="0" w:header="0"/>
          <w:type w:val="continuous"/>
        </w:sectPr>
      </w:pPr>
    </w:p>
    <w:p>
      <w:pPr>
        <w:ind w:left="20"/>
        <w:spacing w:after="0" w:line="252" w:lineRule="auto"/>
        <w:rPr>
          <w:sz w:val="20"/>
          <w:szCs w:val="20"/>
          <w:color w:val="auto"/>
        </w:rPr>
      </w:pPr>
      <w:r>
        <w:rPr>
          <w:rFonts w:ascii="Arial" w:cs="Arial" w:eastAsia="Arial" w:hAnsi="Arial"/>
          <w:sz w:val="13"/>
          <w:szCs w:val="13"/>
          <w:color w:val="auto"/>
        </w:rPr>
        <w:t xml:space="preserve">Reference Rate Reform </w:t>
      </w:r>
      <w:r>
        <w:rPr>
          <w:rFonts w:ascii="Arial" w:cs="Arial" w:eastAsia="Arial" w:hAnsi="Arial"/>
          <w:sz w:val="13"/>
          <w:szCs w:val="13"/>
          <w:i w:val="1"/>
          <w:iCs w:val="1"/>
          <w:color w:val="auto"/>
        </w:rPr>
        <w:t>(ASU 2020 -04: Facilitation of the Effects of Reference Rate Reform on Financial Reporting [Topic 848]: Deferral of the Sunset Date of Topic 848)</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3"/>
          <w:szCs w:val="13"/>
          <w:color w:val="auto"/>
        </w:rPr>
        <w:t>The amendments provide optional expedients and exceptions for applying generally accepted accounting principles (GAAP) to contracts, hedging relationships, and other transactions affected by reference rate reform. The amendments apply only to contracts, hedging relationships, and other transactions that reference LIBOR or another reference rate expected to be discontinued because of reference rate reform. The amendments (1) apply to contract modifications that replace a reference rate affected by reference rate reform, (2) provide exceptions to existing guidance related to changes to the critical terms of a hedging relationship due to reference rate reform (3) provide optional expedients for fair value hedging relationships, cash flow hedging relationships, and net investment hedging relationships, and (4) provide a onetime election to sell, transfer, or both sell and transfer debt securities classified as held-to -maturity that reference a rate affected by reference rate reform and that are classified as held-to-maturity before January 1, 2020. In January 2021, the FASB issued ASU 2021-01, Reference Rate Reform (Topic 848): Scope. ASU 2021 -01 clarifies that certain optional expedients and exceptions in ASC 848 for contract modifications and hedge accounting apply to derivatives that are affected by the discounting transition. ASU 2021-01 also amends the expedients and exceptions in ASC 848 to capture the incremental consequences of the scope clarification and to tailor the existing guidance to derivative instruments affected by the discounting transition.</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3"/>
          <w:szCs w:val="13"/>
          <w:color w:val="auto"/>
        </w:rPr>
        <w:t>Upon issuance, January 7, 2021, through December 31, 2024, as amended by ASU 2022-06.</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3"/>
          <w:szCs w:val="13"/>
          <w:color w:val="auto"/>
        </w:rPr>
        <w:t>The adoption of this ASU is not expected to have a material impact to the Company's consolidated statements of condition or income.</w:t>
      </w:r>
    </w:p>
    <w:p>
      <w:pPr>
        <w:spacing w:after="0" w:line="3001" w:lineRule="exact"/>
        <w:rPr>
          <w:sz w:val="20"/>
          <w:szCs w:val="20"/>
          <w:color w:val="auto"/>
        </w:rPr>
      </w:pPr>
    </w:p>
    <w:p>
      <w:pPr>
        <w:sectPr>
          <w:pgSz w:w="11900" w:h="16840" w:orient="portrait"/>
          <w:cols w:equalWidth="0" w:num="4">
            <w:col w:w="1460" w:space="200"/>
            <w:col w:w="4460" w:space="120"/>
            <w:col w:w="1680" w:space="100"/>
            <w:col w:w="2540"/>
          </w:cols>
          <w:pgMar w:left="660" w:top="877" w:right="680" w:bottom="144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11</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Earnings per Common Share</w:t>
      </w:r>
    </w:p>
    <w:p>
      <w:pPr>
        <w:spacing w:after="0" w:line="19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Following shareholder approval received on June 4, 2021, the Company converted 1,380,283 shares of its Series B Convertible Perpetual Preferred Stock ("Convertible Perpetual Preferred Stock") to an equal number of shares of its newly -created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Anti-dilutive shares are common stock equivalents with average exercise prices in excess of the weighted average market price for the period presented. Anti-dilutive stock options, not included in the computation below, were - 0- for the three and nine months ended September 30, 2023, and -0- for the three and nine months ended September 30, 2022,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earnings per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gridSpan w:val="2"/>
          </w:tcPr>
          <w:p>
            <w:pPr>
              <w:jc w:val="right"/>
              <w:ind w:right="88"/>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00" w:type="dxa"/>
            <w:vAlign w:val="bottom"/>
            <w:gridSpan w:val="2"/>
          </w:tcPr>
          <w:p>
            <w:pPr>
              <w:jc w:val="right"/>
              <w:ind w:right="88"/>
              <w:spacing w:after="0"/>
              <w:rPr>
                <w:sz w:val="20"/>
                <w:szCs w:val="20"/>
                <w:color w:val="auto"/>
              </w:rPr>
            </w:pPr>
            <w:r>
              <w:rPr>
                <w:rFonts w:ascii="Arial" w:cs="Arial" w:eastAsia="Arial" w:hAnsi="Arial"/>
                <w:sz w:val="14"/>
                <w:szCs w:val="14"/>
                <w:color w:val="auto"/>
              </w:rPr>
              <w:t>Nine months ended</w:t>
            </w:r>
          </w:p>
        </w:tc>
        <w:tc>
          <w:tcPr>
            <w:tcW w:w="600" w:type="dxa"/>
            <w:vAlign w:val="bottom"/>
          </w:tcPr>
          <w:p>
            <w:pPr>
              <w:spacing w:after="0"/>
              <w:rPr>
                <w:sz w:val="15"/>
                <w:szCs w:val="15"/>
                <w:color w:val="auto"/>
              </w:rPr>
            </w:pPr>
          </w:p>
        </w:tc>
      </w:tr>
      <w:tr>
        <w:trPr>
          <w:trHeight w:val="192"/>
        </w:trPr>
        <w:tc>
          <w:tcPr>
            <w:tcW w:w="4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2"/>
          </w:tcPr>
          <w:p>
            <w:pPr>
              <w:jc w:val="right"/>
              <w:ind w:right="268"/>
              <w:spacing w:after="0"/>
              <w:rPr>
                <w:sz w:val="20"/>
                <w:szCs w:val="20"/>
                <w:color w:val="auto"/>
              </w:rPr>
            </w:pPr>
            <w:r>
              <w:rPr>
                <w:rFonts w:ascii="Arial" w:cs="Arial" w:eastAsia="Arial" w:hAnsi="Arial"/>
                <w:sz w:val="14"/>
                <w:szCs w:val="14"/>
                <w:color w:val="auto"/>
              </w:rPr>
              <w:t>September 30,</w:t>
            </w: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gridSpan w:val="2"/>
          </w:tcPr>
          <w:p>
            <w:pPr>
              <w:jc w:val="right"/>
              <w:ind w:right="248"/>
              <w:spacing w:after="0"/>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6"/>
                <w:szCs w:val="16"/>
                <w:color w:val="auto"/>
              </w:rPr>
            </w:pPr>
          </w:p>
        </w:tc>
      </w:tr>
      <w:tr>
        <w:trPr>
          <w:trHeight w:val="195"/>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44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2023</w:t>
            </w:r>
          </w:p>
        </w:tc>
        <w:tc>
          <w:tcPr>
            <w:tcW w:w="80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2022</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2023</w:t>
            </w:r>
          </w:p>
        </w:tc>
        <w:tc>
          <w:tcPr>
            <w:tcW w:w="7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Pathfinder Bancorp, Inc.</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2,176</w:t>
            </w:r>
          </w:p>
        </w:tc>
        <w:tc>
          <w:tcPr>
            <w:tcW w:w="8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3,180</w:t>
            </w:r>
          </w:p>
        </w:tc>
        <w:tc>
          <w:tcPr>
            <w:tcW w:w="6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6,757</w:t>
            </w:r>
          </w:p>
        </w:tc>
        <w:tc>
          <w:tcPr>
            <w:tcW w:w="78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9,402</w:t>
            </w: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Series A Non-Voting Common Stock dividends</w:t>
            </w:r>
          </w:p>
        </w:tc>
        <w:tc>
          <w:tcPr>
            <w:tcW w:w="440" w:type="dxa"/>
            <w:vAlign w:val="bottom"/>
          </w:tcPr>
          <w:p>
            <w:pPr>
              <w:spacing w:after="0"/>
              <w:rPr>
                <w:sz w:val="17"/>
                <w:szCs w:val="17"/>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124</w:t>
            </w:r>
          </w:p>
        </w:tc>
        <w:tc>
          <w:tcPr>
            <w:tcW w:w="80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125</w:t>
            </w:r>
          </w:p>
        </w:tc>
        <w:tc>
          <w:tcPr>
            <w:tcW w:w="62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373</w:t>
            </w:r>
          </w:p>
        </w:tc>
        <w:tc>
          <w:tcPr>
            <w:tcW w:w="78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 dividends</w:t>
            </w:r>
          </w:p>
        </w:tc>
        <w:tc>
          <w:tcPr>
            <w:tcW w:w="4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11</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34</w:t>
            </w:r>
          </w:p>
        </w:tc>
        <w:tc>
          <w:tcPr>
            <w:tcW w:w="7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Undistributed earnings allocated to participating securities</w:t>
            </w:r>
          </w:p>
        </w:tc>
        <w:tc>
          <w:tcPr>
            <w:tcW w:w="44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395</w:t>
            </w:r>
          </w:p>
        </w:tc>
        <w:tc>
          <w:tcPr>
            <w:tcW w:w="80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653</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1,248</w:t>
            </w:r>
          </w:p>
        </w:tc>
        <w:tc>
          <w:tcPr>
            <w:tcW w:w="7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1,930</w:t>
            </w:r>
          </w:p>
        </w:tc>
      </w:tr>
      <w:tr>
        <w:trPr>
          <w:trHeight w:val="232"/>
        </w:trPr>
        <w:tc>
          <w:tcPr>
            <w:tcW w:w="4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Net income available to common shareholders-Voting</w:t>
            </w:r>
          </w:p>
        </w:tc>
        <w:tc>
          <w:tcPr>
            <w:tcW w:w="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1,645</w:t>
            </w:r>
          </w:p>
        </w:tc>
        <w:tc>
          <w:tcPr>
            <w:tcW w:w="80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2,391</w:t>
            </w:r>
          </w:p>
        </w:tc>
        <w:tc>
          <w:tcPr>
            <w:tcW w:w="62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5,102</w:t>
            </w:r>
          </w:p>
        </w:tc>
        <w:tc>
          <w:tcPr>
            <w:tcW w:w="78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7,065</w:t>
            </w:r>
          </w:p>
        </w:tc>
      </w:t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2"/>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Pathfinder Bancorp, Inc.</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2,176</w:t>
            </w:r>
          </w:p>
        </w:tc>
        <w:tc>
          <w:tcPr>
            <w:tcW w:w="8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3,180</w:t>
            </w:r>
          </w:p>
        </w:tc>
        <w:tc>
          <w:tcPr>
            <w:tcW w:w="6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6,757</w:t>
            </w:r>
          </w:p>
        </w:tc>
        <w:tc>
          <w:tcPr>
            <w:tcW w:w="78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9,402</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Voting Common Stock dividends</w:t>
            </w:r>
          </w:p>
        </w:tc>
        <w:tc>
          <w:tcPr>
            <w:tcW w:w="44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422</w:t>
            </w:r>
          </w:p>
        </w:tc>
        <w:tc>
          <w:tcPr>
            <w:tcW w:w="80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411</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1,256</w:t>
            </w:r>
          </w:p>
        </w:tc>
        <w:tc>
          <w:tcPr>
            <w:tcW w:w="7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1,231</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 dividends</w:t>
            </w:r>
          </w:p>
        </w:tc>
        <w:tc>
          <w:tcPr>
            <w:tcW w:w="4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11</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34</w:t>
            </w:r>
          </w:p>
        </w:tc>
        <w:tc>
          <w:tcPr>
            <w:tcW w:w="7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Undistributed earnings allocated to participating securities</w:t>
            </w:r>
          </w:p>
        </w:tc>
        <w:tc>
          <w:tcPr>
            <w:tcW w:w="44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1,257</w:t>
            </w:r>
          </w:p>
        </w:tc>
        <w:tc>
          <w:tcPr>
            <w:tcW w:w="80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2,034</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3,950</w:t>
            </w:r>
          </w:p>
        </w:tc>
        <w:tc>
          <w:tcPr>
            <w:tcW w:w="7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5,994</w:t>
            </w:r>
          </w:p>
        </w:tc>
      </w:tr>
      <w:tr>
        <w:trPr>
          <w:trHeight w:val="232"/>
        </w:trPr>
        <w:tc>
          <w:tcPr>
            <w:tcW w:w="4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Net income available to common shareholders-Series A Non-Voting</w:t>
            </w:r>
          </w:p>
        </w:tc>
        <w:tc>
          <w:tcPr>
            <w:tcW w:w="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485</w:t>
            </w:r>
          </w:p>
        </w:tc>
        <w:tc>
          <w:tcPr>
            <w:tcW w:w="80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724</w:t>
            </w:r>
          </w:p>
        </w:tc>
        <w:tc>
          <w:tcPr>
            <w:tcW w:w="62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1,517</w:t>
            </w:r>
          </w:p>
        </w:tc>
        <w:tc>
          <w:tcPr>
            <w:tcW w:w="78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2,143</w:t>
            </w:r>
          </w:p>
        </w:tc>
      </w:t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 weighted average common shares outstanding-</w:t>
            </w:r>
          </w:p>
        </w:tc>
        <w:tc>
          <w:tcPr>
            <w:tcW w:w="4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r>
      <w:tr>
        <w:trPr>
          <w:trHeight w:val="188"/>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Voting</w:t>
            </w:r>
          </w:p>
        </w:tc>
        <w:tc>
          <w:tcPr>
            <w:tcW w:w="4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4,671</w:t>
            </w:r>
          </w:p>
        </w:tc>
        <w:tc>
          <w:tcPr>
            <w:tcW w:w="8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4,564</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4,640</w:t>
            </w:r>
          </w:p>
        </w:tc>
        <w:tc>
          <w:tcPr>
            <w:tcW w:w="78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4,550</w:t>
            </w:r>
          </w:p>
        </w:tc>
      </w:tr>
      <w:tr>
        <w:trPr>
          <w:trHeight w:val="172"/>
        </w:trPr>
        <w:tc>
          <w:tcPr>
            <w:tcW w:w="4540" w:type="dxa"/>
            <w:vAlign w:val="bottom"/>
          </w:tcPr>
          <w:p>
            <w:pPr>
              <w:ind w:left="20"/>
              <w:spacing w:after="0"/>
              <w:rPr>
                <w:sz w:val="20"/>
                <w:szCs w:val="20"/>
                <w:color w:val="auto"/>
              </w:rPr>
            </w:pPr>
            <w:r>
              <w:rPr>
                <w:rFonts w:ascii="Arial" w:cs="Arial" w:eastAsia="Arial" w:hAnsi="Arial"/>
                <w:sz w:val="14"/>
                <w:szCs w:val="14"/>
                <w:color w:val="auto"/>
              </w:rPr>
              <w:t>Basic and diluted weighted average common shares outstanding-</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5"/>
        </w:trPr>
        <w:tc>
          <w:tcPr>
            <w:tcW w:w="4540" w:type="dxa"/>
            <w:vAlign w:val="bottom"/>
          </w:tcPr>
          <w:p>
            <w:pPr>
              <w:ind w:left="20"/>
              <w:spacing w:after="0"/>
              <w:rPr>
                <w:sz w:val="20"/>
                <w:szCs w:val="20"/>
                <w:color w:val="auto"/>
              </w:rPr>
            </w:pPr>
            <w:r>
              <w:rPr>
                <w:rFonts w:ascii="Arial" w:cs="Arial" w:eastAsia="Arial" w:hAnsi="Arial"/>
                <w:sz w:val="14"/>
                <w:szCs w:val="14"/>
                <w:color w:val="auto"/>
              </w:rPr>
              <w:t>Series A Non-Voting</w:t>
            </w:r>
          </w:p>
        </w:tc>
        <w:tc>
          <w:tcPr>
            <w:tcW w:w="44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1,380</w:t>
            </w:r>
          </w:p>
        </w:tc>
        <w:tc>
          <w:tcPr>
            <w:tcW w:w="80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1,380</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1,380</w:t>
            </w:r>
          </w:p>
        </w:tc>
        <w:tc>
          <w:tcPr>
            <w:tcW w:w="7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1,380</w:t>
            </w:r>
          </w:p>
        </w:tc>
      </w:tr>
      <w:tr>
        <w:trPr>
          <w:trHeight w:val="195"/>
        </w:trPr>
        <w:tc>
          <w:tcPr>
            <w:tcW w:w="4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Basic and diluted earnings per common share-Voting</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0.35</w:t>
            </w:r>
          </w:p>
        </w:tc>
        <w:tc>
          <w:tcPr>
            <w:tcW w:w="8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0.52</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1.10</w:t>
            </w:r>
          </w:p>
        </w:tc>
        <w:tc>
          <w:tcPr>
            <w:tcW w:w="7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 earnings per common share-Series A Non-Voting</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0.35</w:t>
            </w:r>
          </w:p>
        </w:tc>
        <w:tc>
          <w:tcPr>
            <w:tcW w:w="8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0.52</w:t>
            </w:r>
          </w:p>
        </w:tc>
        <w:tc>
          <w:tcPr>
            <w:tcW w:w="6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1.10</w:t>
            </w:r>
          </w:p>
        </w:tc>
        <w:tc>
          <w:tcPr>
            <w:tcW w:w="78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1.55</w:t>
            </w:r>
          </w:p>
        </w:tc>
      </w:tr>
      <w:tr>
        <w:trPr>
          <w:trHeight w:val="382"/>
        </w:trPr>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548"/>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12</w:t>
            </w:r>
            <w:r>
              <w:rPr>
                <w:rFonts w:ascii="Arial" w:cs="Arial" w:eastAsia="Arial" w:hAnsi="Arial"/>
                <w:sz w:val="16"/>
                <w:szCs w:val="16"/>
                <w:color w:val="auto"/>
              </w:rPr>
              <w:t xml:space="preserve">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6"/>
        </w:trPr>
        <w:tc>
          <w:tcPr>
            <w:tcW w:w="4540" w:type="dxa"/>
            <w:vAlign w:val="bottom"/>
            <w:tcBorders>
              <w:bottom w:val="single" w:sz="8" w:color="EEEEEE"/>
            </w:tcBorders>
          </w:tcPr>
          <w:p>
            <w:pPr>
              <w:spacing w:after="0"/>
              <w:rPr>
                <w:sz w:val="7"/>
                <w:szCs w:val="7"/>
                <w:color w:val="auto"/>
              </w:rPr>
            </w:pPr>
          </w:p>
        </w:tc>
        <w:tc>
          <w:tcPr>
            <w:tcW w:w="440" w:type="dxa"/>
            <w:vAlign w:val="bottom"/>
            <w:tcBorders>
              <w:bottom w:val="single" w:sz="8" w:color="EEEEEE"/>
            </w:tcBorders>
          </w:tcPr>
          <w:p>
            <w:pPr>
              <w:spacing w:after="0"/>
              <w:rPr>
                <w:sz w:val="7"/>
                <w:szCs w:val="7"/>
                <w:color w:val="auto"/>
              </w:rPr>
            </w:pPr>
          </w:p>
        </w:tc>
        <w:tc>
          <w:tcPr>
            <w:tcW w:w="110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77" w:right="66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Investment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are summarized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September 30, 2023</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Gross</w:t>
            </w:r>
          </w:p>
        </w:tc>
        <w:tc>
          <w:tcPr>
            <w:tcW w:w="70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Gross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Estimated</w:t>
            </w: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Amortized</w:t>
            </w: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Unrealized</w:t>
            </w:r>
          </w:p>
        </w:tc>
        <w:tc>
          <w:tcPr>
            <w:tcW w:w="70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Unrealized</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Fair</w:t>
            </w:r>
          </w:p>
        </w:tc>
      </w:tr>
      <w:tr>
        <w:trPr>
          <w:trHeight w:val="205"/>
        </w:trPr>
        <w:tc>
          <w:tcPr>
            <w:tcW w:w="3900" w:type="dxa"/>
            <w:vAlign w:val="bottom"/>
            <w:gridSpan w:val="4"/>
          </w:tcPr>
          <w:p>
            <w:pPr>
              <w:ind w:left="2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Cost</w:t>
            </w: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Gains</w:t>
            </w:r>
          </w:p>
        </w:tc>
        <w:tc>
          <w:tcPr>
            <w:tcW w:w="70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Losses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90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8"/>
        </w:trPr>
        <w:tc>
          <w:tcPr>
            <w:tcW w:w="390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42,034</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295</w:t>
            </w:r>
          </w:p>
        </w:tc>
        <w:tc>
          <w:tcPr>
            <w:tcW w:w="70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(4,183)</w:t>
            </w:r>
          </w:p>
        </w:tc>
        <w:tc>
          <w:tcPr>
            <w:tcW w:w="4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38,146</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33,157</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(4,014)</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29,143</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11,519</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389</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(501 )</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11,407</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17,751</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(377 )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17,374</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21,826</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(1,474)</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20,352</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13,534</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(1,343)</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12,191</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82,692</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105</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(4,768)</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78,029</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222,513</w:t>
            </w: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789</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(16,660 )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206,642</w:t>
            </w:r>
          </w:p>
        </w:tc>
      </w:tr>
      <w:tr>
        <w:trPr>
          <w:trHeight w:val="169"/>
        </w:trPr>
        <w:tc>
          <w:tcPr>
            <w:tcW w:w="3900" w:type="dxa"/>
            <w:vAlign w:val="bottom"/>
            <w:gridSpan w:val="4"/>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8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tcPr>
          <w:p>
            <w:pPr>
              <w:ind w:left="240"/>
              <w:spacing w:after="0"/>
              <w:rPr>
                <w:sz w:val="20"/>
                <w:szCs w:val="20"/>
                <w:color w:val="auto"/>
              </w:rPr>
            </w:pPr>
            <w:r>
              <w:rPr>
                <w:rFonts w:ascii="Arial" w:cs="Arial" w:eastAsia="Arial" w:hAnsi="Arial"/>
                <w:sz w:val="16"/>
                <w:szCs w:val="16"/>
                <w:color w:val="auto"/>
              </w:rPr>
              <w:t>Common stock - financial services industry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206</w:t>
            </w:r>
          </w:p>
        </w:tc>
      </w:tr>
      <w:tr>
        <w:trPr>
          <w:trHeight w:val="203"/>
        </w:trPr>
        <w:tc>
          <w:tcPr>
            <w:tcW w:w="39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Total available-for-sale</w:t>
            </w: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222,719</w:t>
            </w:r>
          </w:p>
        </w:tc>
        <w:tc>
          <w:tcPr>
            <w:tcW w:w="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789</w:t>
            </w:r>
          </w:p>
        </w:tc>
        <w:tc>
          <w:tcPr>
            <w:tcW w:w="7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(16,660 )</w:t>
            </w:r>
          </w:p>
        </w:tc>
        <w:tc>
          <w:tcPr>
            <w:tcW w:w="4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206,848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390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Held-to-Maturity Portfolio</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8"/>
        </w:trPr>
        <w:tc>
          <w:tcPr>
            <w:tcW w:w="390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3,770</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(415 )</w:t>
            </w:r>
          </w:p>
        </w:tc>
        <w:tc>
          <w:tcPr>
            <w:tcW w:w="4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3,355</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15,698</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(2,562)</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13,136</w:t>
            </w:r>
          </w:p>
        </w:tc>
      </w:tr>
      <w:tr>
        <w:trPr>
          <w:trHeight w:val="229"/>
        </w:trPr>
        <w:tc>
          <w:tcPr>
            <w:tcW w:w="20" w:type="dxa"/>
            <w:vAlign w:val="bottom"/>
            <w:shd w:val="clear" w:color="auto" w:fill="CFF0FC"/>
          </w:tcPr>
          <w:p>
            <w:pPr>
              <w:spacing w:after="0"/>
              <w:rPr>
                <w:sz w:val="19"/>
                <w:szCs w:val="19"/>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45,436</w:t>
            </w: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22</w:t>
            </w:r>
          </w:p>
        </w:tc>
        <w:tc>
          <w:tcPr>
            <w:tcW w:w="7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(4,004)</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41,454</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17,609</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(1,277)</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16,332</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7,206</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(893 )</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6,313</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13,339</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(1,691)</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11,648</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82,957</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31</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(4,651)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78,337</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186,015</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53</w:t>
            </w:r>
          </w:p>
        </w:tc>
        <w:tc>
          <w:tcPr>
            <w:tcW w:w="7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(15,493 )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170,575</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Less: Allowance for credit losses</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426</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9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Total held-to-maturity</w:t>
            </w: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185,589</w:t>
            </w:r>
          </w:p>
        </w:tc>
        <w:tc>
          <w:tcPr>
            <w:tcW w:w="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53</w:t>
            </w:r>
          </w:p>
        </w:tc>
        <w:tc>
          <w:tcPr>
            <w:tcW w:w="7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(15,493 )</w:t>
            </w:r>
          </w:p>
        </w:tc>
        <w:tc>
          <w:tcPr>
            <w:tcW w:w="4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170,575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13</w:t>
            </w:r>
            <w:r>
              <w:rPr>
                <w:rFonts w:ascii="Arial" w:cs="Arial" w:eastAsia="Arial" w:hAnsi="Arial"/>
                <w:sz w:val="16"/>
                <w:szCs w:val="16"/>
                <w:color w:val="auto"/>
              </w:rPr>
              <w:t xml:space="preserve"> -</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6"/>
        </w:trPr>
        <w:tc>
          <w:tcPr>
            <w:tcW w:w="20" w:type="dxa"/>
            <w:vAlign w:val="bottom"/>
            <w:tcBorders>
              <w:bottom w:val="single" w:sz="8" w:color="EEEEEE"/>
            </w:tcBorders>
          </w:tcPr>
          <w:p>
            <w:pPr>
              <w:spacing w:after="0"/>
              <w:rPr>
                <w:sz w:val="7"/>
                <w:szCs w:val="7"/>
                <w:color w:val="auto"/>
              </w:rPr>
            </w:pPr>
          </w:p>
        </w:tc>
        <w:tc>
          <w:tcPr>
            <w:tcW w:w="18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90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1140" w:type="dxa"/>
            <w:vAlign w:val="bottom"/>
            <w:tcBorders>
              <w:bottom w:val="single" w:sz="8" w:color="EEEEEE"/>
            </w:tcBorders>
          </w:tcPr>
          <w:p>
            <w:pPr>
              <w:spacing w:after="0"/>
              <w:rPr>
                <w:sz w:val="7"/>
                <w:szCs w:val="7"/>
                <w:color w:val="auto"/>
              </w:rPr>
            </w:pPr>
          </w:p>
        </w:tc>
        <w:tc>
          <w:tcPr>
            <w:tcW w:w="500" w:type="dxa"/>
            <w:vAlign w:val="bottom"/>
            <w:tcBorders>
              <w:bottom w:val="single" w:sz="8" w:color="EEEEEE"/>
            </w:tcBorders>
          </w:tcPr>
          <w:p>
            <w:pPr>
              <w:spacing w:after="0"/>
              <w:rPr>
                <w:sz w:val="7"/>
                <w:szCs w:val="7"/>
                <w:color w:val="auto"/>
              </w:rPr>
            </w:pPr>
          </w:p>
        </w:tc>
        <w:tc>
          <w:tcPr>
            <w:tcW w:w="1160" w:type="dxa"/>
            <w:vAlign w:val="bottom"/>
            <w:tcBorders>
              <w:bottom w:val="single" w:sz="8" w:color="EEEEEE"/>
            </w:tcBorders>
          </w:tcPr>
          <w:p>
            <w:pPr>
              <w:spacing w:after="0"/>
              <w:rPr>
                <w:sz w:val="7"/>
                <w:szCs w:val="7"/>
                <w:color w:val="auto"/>
              </w:rPr>
            </w:pPr>
          </w:p>
        </w:tc>
        <w:tc>
          <w:tcPr>
            <w:tcW w:w="700" w:type="dxa"/>
            <w:vAlign w:val="bottom"/>
            <w:tcBorders>
              <w:bottom w:val="single" w:sz="8" w:color="EEEEEE"/>
            </w:tcBorders>
          </w:tcPr>
          <w:p>
            <w:pPr>
              <w:spacing w:after="0"/>
              <w:rPr>
                <w:sz w:val="7"/>
                <w:szCs w:val="7"/>
                <w:color w:val="auto"/>
              </w:rPr>
            </w:pPr>
          </w:p>
        </w:tc>
        <w:tc>
          <w:tcPr>
            <w:tcW w:w="960" w:type="dxa"/>
            <w:vAlign w:val="bottom"/>
            <w:tcBorders>
              <w:bottom w:val="single" w:sz="8" w:color="EEEEEE"/>
            </w:tcBorders>
          </w:tcPr>
          <w:p>
            <w:pPr>
              <w:spacing w:after="0"/>
              <w:rPr>
                <w:sz w:val="7"/>
                <w:szCs w:val="7"/>
                <w:color w:val="auto"/>
              </w:rPr>
            </w:pPr>
          </w:p>
        </w:tc>
        <w:tc>
          <w:tcPr>
            <w:tcW w:w="46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December 31, 2022</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Gross</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Gross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Estimated</w:t>
            </w: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Amortized</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Unrealized</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w w:val="99"/>
              </w:rPr>
              <w:t>Unrealized</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Fair</w:t>
            </w:r>
          </w:p>
        </w:tc>
      </w:tr>
      <w:tr>
        <w:trPr>
          <w:trHeight w:val="205"/>
        </w:trPr>
        <w:tc>
          <w:tcPr>
            <w:tcW w:w="3900" w:type="dxa"/>
            <w:vAlign w:val="bottom"/>
            <w:gridSpan w:val="4"/>
          </w:tcPr>
          <w:p>
            <w:pPr>
              <w:ind w:left="2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Cost</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Gains</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Losses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90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8"/>
        </w:trPr>
        <w:tc>
          <w:tcPr>
            <w:tcW w:w="390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32,533</w:t>
            </w:r>
          </w:p>
        </w:tc>
        <w:tc>
          <w:tcPr>
            <w:tcW w:w="4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w:t>
            </w:r>
          </w:p>
        </w:tc>
        <w:tc>
          <w:tcPr>
            <w:tcW w:w="72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(3,206)</w:t>
            </w:r>
          </w:p>
        </w:tc>
        <w:tc>
          <w:tcPr>
            <w:tcW w:w="4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29,364</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48,002</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384</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(3,001)</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45,385</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11,803</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676</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(650 )</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11,829</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16,059</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(659 )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15,400</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17,982</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(1,582)</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16,400</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13,070</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(1,362)</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11,708</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65,781</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(4,355)</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61,434</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205,230</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1,105</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(14,815 )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191,520</w:t>
            </w:r>
          </w:p>
        </w:tc>
      </w:tr>
      <w:tr>
        <w:trPr>
          <w:trHeight w:val="169"/>
        </w:trPr>
        <w:tc>
          <w:tcPr>
            <w:tcW w:w="3900" w:type="dxa"/>
            <w:vAlign w:val="bottom"/>
            <w:gridSpan w:val="4"/>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8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Common stock - financial services industry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206</w:t>
            </w:r>
          </w:p>
        </w:tc>
      </w:tr>
      <w:tr>
        <w:trPr>
          <w:trHeight w:val="203"/>
        </w:trPr>
        <w:tc>
          <w:tcPr>
            <w:tcW w:w="39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Total available-for-sale</w:t>
            </w: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205,436</w:t>
            </w:r>
          </w:p>
        </w:tc>
        <w:tc>
          <w:tcPr>
            <w:tcW w:w="4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1,105</w:t>
            </w: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(14,815 )</w:t>
            </w:r>
          </w:p>
        </w:tc>
        <w:tc>
          <w:tcPr>
            <w:tcW w:w="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191,726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204"/>
        </w:trPr>
        <w:tc>
          <w:tcPr>
            <w:tcW w:w="390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Held-to-Maturity Portfolio</w:t>
            </w: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8"/>
        </w:trPr>
        <w:tc>
          <w:tcPr>
            <w:tcW w:w="3900" w:type="dxa"/>
            <w:vAlign w:val="bottom"/>
            <w:gridSpan w:val="4"/>
            <w:shd w:val="clear" w:color="auto" w:fill="CFF0FC"/>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88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3,852</w:t>
            </w:r>
          </w:p>
        </w:tc>
        <w:tc>
          <w:tcPr>
            <w:tcW w:w="4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(280 )</w:t>
            </w:r>
          </w:p>
        </w:tc>
        <w:tc>
          <w:tcPr>
            <w:tcW w:w="4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3,572</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15,211</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(2,340)</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12,871</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45,086</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(2,586)</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42,502</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19,158</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(1,291)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17,867</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7,489</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(739 )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6,750</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15,109</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(1,251)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13,858</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88,497</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(4,430)</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84,071</w:t>
            </w:r>
          </w:p>
        </w:tc>
      </w:tr>
      <w:tr>
        <w:trPr>
          <w:trHeight w:val="244"/>
        </w:trPr>
        <w:tc>
          <w:tcPr>
            <w:tcW w:w="3900" w:type="dxa"/>
            <w:vAlign w:val="bottom"/>
            <w:tcBorders>
              <w:bottom w:val="single" w:sz="8" w:color="auto"/>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held-to-maturity</w:t>
            </w:r>
          </w:p>
        </w:tc>
        <w:tc>
          <w:tcPr>
            <w:tcW w:w="66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194,402</w:t>
            </w:r>
          </w:p>
        </w:tc>
        <w:tc>
          <w:tcPr>
            <w:tcW w:w="48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w:t>
            </w:r>
          </w:p>
        </w:tc>
        <w:tc>
          <w:tcPr>
            <w:tcW w:w="720" w:type="dxa"/>
            <w:vAlign w:val="bottom"/>
            <w:tcBorders>
              <w:bottom w:val="single" w:sz="8" w:color="auto"/>
            </w:tcBorders>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(12,917 )</w:t>
            </w:r>
          </w:p>
        </w:tc>
        <w:tc>
          <w:tcPr>
            <w:tcW w:w="46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181,491</w:t>
            </w:r>
          </w:p>
        </w:tc>
      </w:tr>
    </w:tbl>
    <w:p>
      <w:pPr>
        <w:spacing w:after="0" w:line="2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amortized cost and estimated fair value of debt investments at September 30, 2023 by contractual maturity are shown below. Expected maturities may differ from contractual maturities because borrowers may have the right to call or prepay obligations with or without penalties.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Available-for-Sale</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Amortized</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Estimated</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Amortized</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Estimated</w:t>
            </w:r>
          </w:p>
        </w:tc>
        <w:tc>
          <w:tcPr>
            <w:tcW w:w="0" w:type="dxa"/>
            <w:vAlign w:val="bottom"/>
          </w:tcPr>
          <w:p>
            <w:pPr>
              <w:spacing w:after="0"/>
              <w:rPr>
                <w:sz w:val="1"/>
                <w:szCs w:val="1"/>
                <w:color w:val="auto"/>
              </w:rPr>
            </w:pP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Cost</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w w:val="98"/>
              </w:rPr>
              <w:t>Fair Value</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Cost</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05"/>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in one year or less</w:t>
            </w:r>
          </w:p>
        </w:tc>
        <w:tc>
          <w:tcPr>
            <w:tcW w:w="88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8,603</w:t>
            </w:r>
          </w:p>
        </w:tc>
        <w:tc>
          <w:tcPr>
            <w:tcW w:w="68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8,953</w:t>
            </w:r>
          </w:p>
        </w:tc>
        <w:tc>
          <w:tcPr>
            <w:tcW w:w="46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1,136</w:t>
            </w:r>
          </w:p>
        </w:tc>
        <w:tc>
          <w:tcPr>
            <w:tcW w:w="620" w:type="dxa"/>
            <w:vAlign w:val="bottom"/>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11,254</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10,604</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19,536</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18,879</w:t>
            </w:r>
          </w:p>
        </w:tc>
        <w:tc>
          <w:tcPr>
            <w:tcW w:w="0" w:type="dxa"/>
            <w:vAlign w:val="bottom"/>
          </w:tcPr>
          <w:p>
            <w:pPr>
              <w:spacing w:after="0"/>
              <w:rPr>
                <w:sz w:val="1"/>
                <w:szCs w:val="1"/>
                <w:color w:val="auto"/>
              </w:rPr>
            </w:pPr>
          </w:p>
        </w:tc>
      </w:tr>
      <w:tr>
        <w:trPr>
          <w:trHeight w:val="205"/>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five years through ten years</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36,174</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32,090</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43,469</w:t>
            </w:r>
          </w:p>
        </w:tc>
        <w:tc>
          <w:tcPr>
            <w:tcW w:w="6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38,405</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Due after ten years</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48,430</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44,423</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18,372</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15,864</w:t>
            </w:r>
          </w:p>
        </w:tc>
        <w:tc>
          <w:tcPr>
            <w:tcW w:w="0" w:type="dxa"/>
            <w:vAlign w:val="bottom"/>
          </w:tcPr>
          <w:p>
            <w:pPr>
              <w:spacing w:after="0"/>
              <w:rPr>
                <w:sz w:val="1"/>
                <w:szCs w:val="1"/>
                <w:color w:val="auto"/>
              </w:rPr>
            </w:pPr>
          </w:p>
        </w:tc>
      </w:tr>
      <w:tr>
        <w:trPr>
          <w:trHeight w:val="205"/>
        </w:trPr>
        <w:tc>
          <w:tcPr>
            <w:tcW w:w="39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Sub-total</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104,461</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96,070</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82,513</w:t>
            </w:r>
          </w:p>
        </w:tc>
        <w:tc>
          <w:tcPr>
            <w:tcW w:w="6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74,277</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Residential mortgage-backed - US agency</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21,826</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20,352</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7,206</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6,313</w:t>
            </w:r>
          </w:p>
        </w:tc>
        <w:tc>
          <w:tcPr>
            <w:tcW w:w="0" w:type="dxa"/>
            <w:vAlign w:val="bottom"/>
          </w:tcPr>
          <w:p>
            <w:pPr>
              <w:spacing w:after="0"/>
              <w:rPr>
                <w:sz w:val="1"/>
                <w:szCs w:val="1"/>
                <w:color w:val="auto"/>
              </w:rPr>
            </w:pPr>
          </w:p>
        </w:tc>
      </w:tr>
      <w:tr>
        <w:trPr>
          <w:trHeight w:val="203"/>
        </w:trPr>
        <w:tc>
          <w:tcPr>
            <w:tcW w:w="39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Collateralized mortgage obligations - US agency</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13,534</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12,191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13,339</w:t>
            </w:r>
          </w:p>
        </w:tc>
        <w:tc>
          <w:tcPr>
            <w:tcW w:w="6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11,648</w:t>
            </w:r>
          </w:p>
        </w:tc>
        <w:tc>
          <w:tcPr>
            <w:tcW w:w="0" w:type="dxa"/>
            <w:vAlign w:val="bottom"/>
          </w:tcPr>
          <w:p>
            <w:pPr>
              <w:spacing w:after="0"/>
              <w:rPr>
                <w:sz w:val="1"/>
                <w:szCs w:val="1"/>
                <w:color w:val="auto"/>
              </w:rPr>
            </w:pPr>
          </w:p>
        </w:tc>
      </w:tr>
      <w:tr>
        <w:trPr>
          <w:trHeight w:val="146"/>
        </w:trPr>
        <w:tc>
          <w:tcPr>
            <w:tcW w:w="3980" w:type="dxa"/>
            <w:vAlign w:val="bottom"/>
            <w:vMerge w:val="continue"/>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Collateralized mortgage obligations - Private label</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82,692</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78,029</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82,957</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78,337</w:t>
            </w:r>
          </w:p>
        </w:tc>
        <w:tc>
          <w:tcPr>
            <w:tcW w:w="0" w:type="dxa"/>
            <w:vAlign w:val="bottom"/>
          </w:tcPr>
          <w:p>
            <w:pPr>
              <w:spacing w:after="0"/>
              <w:rPr>
                <w:sz w:val="1"/>
                <w:szCs w:val="1"/>
                <w:color w:val="auto"/>
              </w:rPr>
            </w:pPr>
          </w:p>
        </w:tc>
      </w:tr>
      <w:tr>
        <w:trPr>
          <w:trHeight w:val="244"/>
        </w:trPr>
        <w:tc>
          <w:tcPr>
            <w:tcW w:w="39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Totals</w:t>
            </w:r>
          </w:p>
        </w:tc>
        <w:tc>
          <w:tcPr>
            <w:tcW w:w="88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222,513</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206,642</w:t>
            </w:r>
          </w:p>
        </w:tc>
        <w:tc>
          <w:tcPr>
            <w:tcW w:w="46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186,015</w:t>
            </w:r>
          </w:p>
        </w:tc>
        <w:tc>
          <w:tcPr>
            <w:tcW w:w="62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170,575</w:t>
            </w:r>
          </w:p>
        </w:tc>
        <w:tc>
          <w:tcPr>
            <w:tcW w:w="0" w:type="dxa"/>
            <w:vAlign w:val="bottom"/>
          </w:tcPr>
          <w:p>
            <w:pPr>
              <w:spacing w:after="0"/>
              <w:rPr>
                <w:sz w:val="1"/>
                <w:szCs w:val="1"/>
                <w:color w:val="auto"/>
              </w:rPr>
            </w:pPr>
          </w:p>
        </w:tc>
      </w:tr>
      <w:tr>
        <w:trPr>
          <w:trHeight w:val="359"/>
        </w:trPr>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42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14</w:t>
            </w:r>
            <w:r>
              <w:rPr>
                <w:rFonts w:ascii="Arial" w:cs="Arial" w:eastAsia="Arial" w:hAnsi="Arial"/>
                <w:sz w:val="16"/>
                <w:szCs w:val="16"/>
                <w:color w:val="auto"/>
              </w:rPr>
              <w:t xml:space="preserve"> -</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98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110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900" w:type="dxa"/>
            <w:vAlign w:val="bottom"/>
            <w:tcBorders>
              <w:bottom w:val="single" w:sz="8" w:color="EEEEEE"/>
            </w:tcBorders>
          </w:tcPr>
          <w:p>
            <w:pPr>
              <w:spacing w:after="0"/>
              <w:rPr>
                <w:sz w:val="7"/>
                <w:szCs w:val="7"/>
                <w:color w:val="auto"/>
              </w:rPr>
            </w:pPr>
          </w:p>
        </w:tc>
        <w:tc>
          <w:tcPr>
            <w:tcW w:w="46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8" w:right="680" w:bottom="1440" w:gutter="0" w:footer="0" w:header="0"/>
        </w:sectPr>
      </w:pPr>
    </w:p>
    <w:bookmarkStart w:id="14" w:name="page15"/>
    <w:bookmarkEnd w:id="14"/>
    <w:p>
      <w:pPr>
        <w:ind w:right="80"/>
        <w:spacing w:after="0" w:line="275" w:lineRule="auto"/>
        <w:rPr>
          <w:sz w:val="20"/>
          <w:szCs w:val="20"/>
          <w:color w:val="auto"/>
        </w:rPr>
      </w:pPr>
      <w:r>
        <w:rPr>
          <w:rFonts w:ascii="Arial" w:cs="Arial" w:eastAsia="Arial" w:hAnsi="Arial"/>
          <w:sz w:val="18"/>
          <w:szCs w:val="18"/>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rPr>
              <w:t>September 30, 2023</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Less than Twelve Months</w:t>
            </w:r>
          </w:p>
        </w:tc>
        <w:tc>
          <w:tcPr>
            <w:tcW w:w="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Twelve Months or More</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74"/>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Number of</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Individual</w:t>
            </w:r>
          </w:p>
        </w:tc>
        <w:tc>
          <w:tcPr>
            <w:tcW w:w="940" w:type="dxa"/>
            <w:vAlign w:val="bottom"/>
            <w:gridSpan w:val="2"/>
          </w:tcPr>
          <w:p>
            <w:pPr>
              <w:jc w:val="right"/>
              <w:ind w:right="94"/>
              <w:spacing w:after="0"/>
              <w:rPr>
                <w:sz w:val="20"/>
                <w:szCs w:val="20"/>
                <w:color w:val="auto"/>
              </w:rPr>
            </w:pPr>
            <w:r>
              <w:rPr>
                <w:rFonts w:ascii="Arial" w:cs="Arial" w:eastAsia="Arial" w:hAnsi="Arial"/>
                <w:sz w:val="13"/>
                <w:szCs w:val="13"/>
                <w:color w:val="auto"/>
              </w:rPr>
              <w:t>Unrealized</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Individual</w:t>
            </w:r>
          </w:p>
        </w:tc>
        <w:tc>
          <w:tcPr>
            <w:tcW w:w="1000" w:type="dxa"/>
            <w:vAlign w:val="bottom"/>
            <w:gridSpan w:val="2"/>
          </w:tcPr>
          <w:p>
            <w:pPr>
              <w:jc w:val="right"/>
              <w:ind w:right="154"/>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Individual</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Unrealized</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Fair</w:t>
            </w:r>
          </w:p>
        </w:tc>
        <w:tc>
          <w:tcPr>
            <w:tcW w:w="0" w:type="dxa"/>
            <w:vAlign w:val="bottom"/>
          </w:tcPr>
          <w:p>
            <w:pPr>
              <w:spacing w:after="0"/>
              <w:rPr>
                <w:sz w:val="1"/>
                <w:szCs w:val="1"/>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Securities</w:t>
            </w:r>
          </w:p>
        </w:tc>
        <w:tc>
          <w:tcPr>
            <w:tcW w:w="280" w:type="dxa"/>
            <w:vAlign w:val="bottom"/>
          </w:tcPr>
          <w:p>
            <w:pPr>
              <w:spacing w:after="0"/>
              <w:rPr>
                <w:sz w:val="16"/>
                <w:szCs w:val="16"/>
                <w:color w:val="auto"/>
              </w:rPr>
            </w:pP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Value</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Securities</w:t>
            </w:r>
          </w:p>
        </w:tc>
        <w:tc>
          <w:tcPr>
            <w:tcW w:w="260" w:type="dxa"/>
            <w:vAlign w:val="bottom"/>
          </w:tcPr>
          <w:p>
            <w:pPr>
              <w:spacing w:after="0"/>
              <w:rPr>
                <w:sz w:val="16"/>
                <w:szCs w:val="16"/>
                <w:color w:val="auto"/>
              </w:rPr>
            </w:pP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Losses</w:t>
            </w:r>
          </w:p>
        </w:tc>
        <w:tc>
          <w:tcPr>
            <w:tcW w:w="12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Value</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Securities</w:t>
            </w:r>
          </w:p>
        </w:tc>
        <w:tc>
          <w:tcPr>
            <w:tcW w:w="22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180" w:type="dxa"/>
            <w:vAlign w:val="bottom"/>
          </w:tcPr>
          <w:p>
            <w:pPr>
              <w:spacing w:after="0"/>
              <w:rPr>
                <w:sz w:val="16"/>
                <w:szCs w:val="16"/>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24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Available-for-Sale Portfolio</w:t>
            </w: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(42 )</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5,963</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(4,141 )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24,819</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6</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(4,183 )</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30,782</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(25 )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1,387</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(3,989 )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27,756</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(4,014 )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29,143</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1,500</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(500 )</w:t>
            </w:r>
          </w:p>
        </w:tc>
        <w:tc>
          <w:tcPr>
            <w:tcW w:w="12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4,221</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(501 )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5,721</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(14 )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954</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(363 )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14,404</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(377 )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15,358</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5,372</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(1,473 )</w:t>
            </w:r>
          </w:p>
        </w:tc>
        <w:tc>
          <w:tcPr>
            <w:tcW w:w="1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14,981</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(1,474 )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20,353</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(59 )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3,920</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(1,284 )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8,271</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(1,343 )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12,191</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(293 )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23,505</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(4,475 )</w:t>
            </w:r>
          </w:p>
        </w:tc>
        <w:tc>
          <w:tcPr>
            <w:tcW w:w="1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46,483</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(4,768 )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69,988</w:t>
            </w: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rPr>
              <w:t>22</w:t>
            </w:r>
          </w:p>
        </w:tc>
        <w:tc>
          <w:tcPr>
            <w:tcW w:w="2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(435 )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rPr>
              <w:t>42,601</w:t>
            </w: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rPr>
              <w:t>100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rPr>
              <w:t>(16,225 )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rPr>
              <w:t>140,935</w:t>
            </w: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122</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(16,660 )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183,536</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Held-to-Maturity Portfolio</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(415 )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3,355</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(415 )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3,355</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1,052</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(2,521 )</w:t>
            </w:r>
          </w:p>
        </w:tc>
        <w:tc>
          <w:tcPr>
            <w:tcW w:w="1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12,083</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(2,562 )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13,135</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(142 )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858</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38</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(3,862 )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32,397</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(4,004 )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33,255</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2,938</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8</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(1,266 )</w:t>
            </w:r>
          </w:p>
        </w:tc>
        <w:tc>
          <w:tcPr>
            <w:tcW w:w="1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11,163</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(1,277 )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14,101</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1,452</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9</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(890 )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4,861</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(893 )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6,313</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(1,691 )</w:t>
            </w:r>
          </w:p>
        </w:tc>
        <w:tc>
          <w:tcPr>
            <w:tcW w:w="1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11,648</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(1,691 )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11,648</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(417 )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13,068</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42</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(4,234 )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58,610</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(4,651 )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71,678</w:t>
            </w:r>
          </w:p>
        </w:tc>
        <w:tc>
          <w:tcPr>
            <w:tcW w:w="0" w:type="dxa"/>
            <w:vAlign w:val="bottom"/>
          </w:tcPr>
          <w:p>
            <w:pPr>
              <w:spacing w:after="0"/>
              <w:rPr>
                <w:sz w:val="1"/>
                <w:szCs w:val="1"/>
                <w:color w:val="auto"/>
              </w:rPr>
            </w:pPr>
          </w:p>
        </w:tc>
      </w:tr>
      <w:tr>
        <w:trPr>
          <w:trHeight w:val="17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(614 )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19,368</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(14,879 )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134,117</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(15,493 )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153,485</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rPr>
              <w:t>December 31, 2022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Less than Twelve Months</w:t>
            </w:r>
          </w:p>
        </w:tc>
        <w:tc>
          <w:tcPr>
            <w:tcW w:w="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Twelve Months or More</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74"/>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Number of</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Individual</w:t>
            </w:r>
          </w:p>
        </w:tc>
        <w:tc>
          <w:tcPr>
            <w:tcW w:w="940" w:type="dxa"/>
            <w:vAlign w:val="bottom"/>
            <w:gridSpan w:val="2"/>
          </w:tcPr>
          <w:p>
            <w:pPr>
              <w:jc w:val="right"/>
              <w:ind w:right="94"/>
              <w:spacing w:after="0"/>
              <w:rPr>
                <w:sz w:val="20"/>
                <w:szCs w:val="20"/>
                <w:color w:val="auto"/>
              </w:rPr>
            </w:pPr>
            <w:r>
              <w:rPr>
                <w:rFonts w:ascii="Arial" w:cs="Arial" w:eastAsia="Arial" w:hAnsi="Arial"/>
                <w:sz w:val="13"/>
                <w:szCs w:val="13"/>
                <w:color w:val="auto"/>
              </w:rPr>
              <w:t>Unrealized</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Individual</w:t>
            </w:r>
          </w:p>
        </w:tc>
        <w:tc>
          <w:tcPr>
            <w:tcW w:w="1000" w:type="dxa"/>
            <w:vAlign w:val="bottom"/>
            <w:gridSpan w:val="2"/>
          </w:tcPr>
          <w:p>
            <w:pPr>
              <w:jc w:val="right"/>
              <w:ind w:right="154"/>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Individual</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Unrealized</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Fair</w:t>
            </w:r>
          </w:p>
        </w:tc>
        <w:tc>
          <w:tcPr>
            <w:tcW w:w="0" w:type="dxa"/>
            <w:vAlign w:val="bottom"/>
          </w:tcPr>
          <w:p>
            <w:pPr>
              <w:spacing w:after="0"/>
              <w:rPr>
                <w:sz w:val="1"/>
                <w:szCs w:val="1"/>
                <w:color w:val="auto"/>
              </w:rPr>
            </w:pPr>
          </w:p>
        </w:tc>
      </w:tr>
      <w:tr>
        <w:trPr>
          <w:trHeight w:val="180"/>
        </w:trPr>
        <w:tc>
          <w:tcPr>
            <w:tcW w:w="26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Securities</w:t>
            </w:r>
          </w:p>
        </w:tc>
        <w:tc>
          <w:tcPr>
            <w:tcW w:w="280" w:type="dxa"/>
            <w:vAlign w:val="bottom"/>
          </w:tcPr>
          <w:p>
            <w:pPr>
              <w:spacing w:after="0"/>
              <w:rPr>
                <w:sz w:val="15"/>
                <w:szCs w:val="15"/>
                <w:color w:val="auto"/>
              </w:rPr>
            </w:pP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5"/>
                <w:szCs w:val="15"/>
                <w:color w:val="auto"/>
              </w:rPr>
            </w:pPr>
          </w:p>
        </w:tc>
        <w:tc>
          <w:tcPr>
            <w:tcW w:w="640" w:type="dxa"/>
            <w:vAlign w:val="bottom"/>
            <w:vMerge w:val="restart"/>
          </w:tcPr>
          <w:p>
            <w:pPr>
              <w:jc w:val="right"/>
              <w:ind w:right="94"/>
              <w:spacing w:after="0"/>
              <w:rPr>
                <w:sz w:val="20"/>
                <w:szCs w:val="20"/>
                <w:color w:val="auto"/>
              </w:rPr>
            </w:pPr>
            <w:r>
              <w:rPr>
                <w:rFonts w:ascii="Arial" w:cs="Arial" w:eastAsia="Arial" w:hAnsi="Arial"/>
                <w:sz w:val="13"/>
                <w:szCs w:val="13"/>
                <w:color w:val="auto"/>
              </w:rPr>
              <w:t>Value</w:t>
            </w:r>
          </w:p>
        </w:tc>
        <w:tc>
          <w:tcPr>
            <w:tcW w:w="900" w:type="dxa"/>
            <w:vAlign w:val="bottom"/>
            <w:vMerge w:val="restart"/>
          </w:tcPr>
          <w:p>
            <w:pPr>
              <w:jc w:val="right"/>
              <w:ind w:right="54"/>
              <w:spacing w:after="0"/>
              <w:rPr>
                <w:sz w:val="20"/>
                <w:szCs w:val="20"/>
                <w:color w:val="auto"/>
              </w:rPr>
            </w:pPr>
            <w:r>
              <w:rPr>
                <w:rFonts w:ascii="Arial" w:cs="Arial" w:eastAsia="Arial" w:hAnsi="Arial"/>
                <w:sz w:val="13"/>
                <w:szCs w:val="13"/>
                <w:color w:val="auto"/>
              </w:rPr>
              <w:t>Securities</w:t>
            </w:r>
          </w:p>
        </w:tc>
        <w:tc>
          <w:tcPr>
            <w:tcW w:w="26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Losses</w:t>
            </w:r>
          </w:p>
        </w:tc>
        <w:tc>
          <w:tcPr>
            <w:tcW w:w="120" w:type="dxa"/>
            <w:vAlign w:val="bottom"/>
          </w:tcPr>
          <w:p>
            <w:pPr>
              <w:spacing w:after="0"/>
              <w:rPr>
                <w:sz w:val="15"/>
                <w:szCs w:val="15"/>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3"/>
                <w:szCs w:val="13"/>
                <w:color w:val="auto"/>
              </w:rPr>
              <w:t>Value</w:t>
            </w:r>
          </w:p>
        </w:tc>
        <w:tc>
          <w:tcPr>
            <w:tcW w:w="860" w:type="dxa"/>
            <w:vAlign w:val="bottom"/>
            <w:vMerge w:val="restart"/>
          </w:tcPr>
          <w:p>
            <w:pPr>
              <w:jc w:val="right"/>
              <w:ind w:right="34"/>
              <w:spacing w:after="0"/>
              <w:rPr>
                <w:sz w:val="20"/>
                <w:szCs w:val="20"/>
                <w:color w:val="auto"/>
              </w:rPr>
            </w:pPr>
            <w:r>
              <w:rPr>
                <w:rFonts w:ascii="Arial" w:cs="Arial" w:eastAsia="Arial" w:hAnsi="Arial"/>
                <w:sz w:val="13"/>
                <w:szCs w:val="13"/>
                <w:color w:val="auto"/>
              </w:rPr>
              <w:t>Securities</w:t>
            </w:r>
          </w:p>
        </w:tc>
        <w:tc>
          <w:tcPr>
            <w:tcW w:w="22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180" w:type="dxa"/>
            <w:vAlign w:val="bottom"/>
          </w:tcPr>
          <w:p>
            <w:pPr>
              <w:spacing w:after="0"/>
              <w:rPr>
                <w:sz w:val="15"/>
                <w:szCs w:val="15"/>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01"/>
        </w:trPr>
        <w:tc>
          <w:tcPr>
            <w:tcW w:w="2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Available-for-Sale Portfolio</w:t>
            </w: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(3,206 )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26,167</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(3,206 )</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26,167</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(830 )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12,601</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(2,171 )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20,128</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27</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(3,001 )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32,729</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(269 )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5,720</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(381 )</w:t>
            </w:r>
          </w:p>
        </w:tc>
        <w:tc>
          <w:tcPr>
            <w:tcW w:w="12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1,319</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(650 )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7,039</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(148 )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5,473</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(511 )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9,926</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(659 )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15,399</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(131 )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2,747</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(1,451 )</w:t>
            </w:r>
          </w:p>
        </w:tc>
        <w:tc>
          <w:tcPr>
            <w:tcW w:w="1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13,653</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(1,582 )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(238 )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4,009</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(1,124 )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7,700</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(1,362 )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11,709</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(1,684 )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20,429</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19</w:t>
            </w:r>
          </w:p>
        </w:tc>
        <w:tc>
          <w:tcPr>
            <w:tcW w:w="2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(2,671 )</w:t>
            </w:r>
          </w:p>
        </w:tc>
        <w:tc>
          <w:tcPr>
            <w:tcW w:w="1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33,707</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34</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(4,355 )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54,136</w:t>
            </w: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rPr>
              <w:t>53</w:t>
            </w:r>
          </w:p>
        </w:tc>
        <w:tc>
          <w:tcPr>
            <w:tcW w:w="2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(3,300 )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rPr>
              <w:t>50,979</w:t>
            </w: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rPr>
              <w:t>57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rPr>
              <w:t>(11,515 )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rPr>
              <w:t>112,600</w:t>
            </w: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110</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(14,815 )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163,579</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Held-to-Maturity Portfolio</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(280 )</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3,573</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(280 )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3,573</w:t>
            </w: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14"/>
                <w:szCs w:val="14"/>
                <w:color w:val="auto"/>
              </w:rPr>
            </w:pPr>
          </w:p>
        </w:tc>
        <w:tc>
          <w:tcPr>
            <w:tcW w:w="660" w:type="dxa"/>
            <w:vAlign w:val="bottom"/>
            <w:vMerge w:val="restart"/>
          </w:tcPr>
          <w:p>
            <w:pPr>
              <w:jc w:val="right"/>
              <w:ind w:right="14"/>
              <w:spacing w:after="0"/>
              <w:rPr>
                <w:sz w:val="20"/>
                <w:szCs w:val="20"/>
                <w:color w:val="auto"/>
              </w:rPr>
            </w:pPr>
            <w:r>
              <w:rPr>
                <w:rFonts w:ascii="Arial" w:cs="Arial" w:eastAsia="Arial" w:hAnsi="Arial"/>
                <w:sz w:val="13"/>
                <w:szCs w:val="13"/>
                <w:color w:val="auto"/>
              </w:rPr>
              <w:t>(871 )</w:t>
            </w:r>
          </w:p>
        </w:tc>
        <w:tc>
          <w:tcPr>
            <w:tcW w:w="220" w:type="dxa"/>
            <w:vAlign w:val="bottom"/>
          </w:tcPr>
          <w:p>
            <w:pPr>
              <w:spacing w:after="0"/>
              <w:rPr>
                <w:sz w:val="14"/>
                <w:szCs w:val="14"/>
                <w:color w:val="auto"/>
              </w:rPr>
            </w:pPr>
          </w:p>
        </w:tc>
        <w:tc>
          <w:tcPr>
            <w:tcW w:w="640" w:type="dxa"/>
            <w:vAlign w:val="bottom"/>
            <w:vMerge w:val="restart"/>
          </w:tcPr>
          <w:p>
            <w:pPr>
              <w:jc w:val="right"/>
              <w:ind w:right="94"/>
              <w:spacing w:after="0"/>
              <w:rPr>
                <w:sz w:val="20"/>
                <w:szCs w:val="20"/>
                <w:color w:val="auto"/>
              </w:rPr>
            </w:pPr>
            <w:r>
              <w:rPr>
                <w:rFonts w:ascii="Arial" w:cs="Arial" w:eastAsia="Arial" w:hAnsi="Arial"/>
                <w:sz w:val="13"/>
                <w:szCs w:val="13"/>
                <w:color w:val="auto"/>
              </w:rPr>
              <w:t>7,277</w:t>
            </w:r>
          </w:p>
        </w:tc>
        <w:tc>
          <w:tcPr>
            <w:tcW w:w="900" w:type="dxa"/>
            <w:vAlign w:val="bottom"/>
            <w:vMerge w:val="restart"/>
          </w:tcPr>
          <w:p>
            <w:pPr>
              <w:jc w:val="right"/>
              <w:ind w:right="54"/>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3"/>
                <w:szCs w:val="13"/>
                <w:color w:val="auto"/>
              </w:rPr>
              <w:t>(1,469 )</w:t>
            </w:r>
          </w:p>
        </w:tc>
        <w:tc>
          <w:tcPr>
            <w:tcW w:w="120" w:type="dxa"/>
            <w:vAlign w:val="bottom"/>
          </w:tcPr>
          <w:p>
            <w:pPr>
              <w:spacing w:after="0"/>
              <w:rPr>
                <w:sz w:val="14"/>
                <w:szCs w:val="14"/>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3"/>
                <w:szCs w:val="13"/>
                <w:color w:val="auto"/>
              </w:rPr>
              <w:t>5,077</w:t>
            </w:r>
          </w:p>
        </w:tc>
        <w:tc>
          <w:tcPr>
            <w:tcW w:w="860" w:type="dxa"/>
            <w:vAlign w:val="bottom"/>
            <w:vMerge w:val="restart"/>
          </w:tcPr>
          <w:p>
            <w:pPr>
              <w:jc w:val="right"/>
              <w:ind w:right="34"/>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4"/>
                <w:szCs w:val="14"/>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3"/>
                <w:szCs w:val="13"/>
                <w:color w:val="auto"/>
              </w:rPr>
              <w:t>(2,340 )</w:t>
            </w:r>
          </w:p>
        </w:tc>
        <w:tc>
          <w:tcPr>
            <w:tcW w:w="180" w:type="dxa"/>
            <w:vAlign w:val="bottom"/>
          </w:tcPr>
          <w:p>
            <w:pPr>
              <w:spacing w:after="0"/>
              <w:rPr>
                <w:sz w:val="14"/>
                <w:szCs w:val="14"/>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3"/>
                <w:szCs w:val="13"/>
                <w:color w:val="auto"/>
              </w:rPr>
              <w:t>12,354</w:t>
            </w:r>
          </w:p>
        </w:tc>
        <w:tc>
          <w:tcPr>
            <w:tcW w:w="0" w:type="dxa"/>
            <w:vAlign w:val="bottom"/>
          </w:tcPr>
          <w:p>
            <w:pPr>
              <w:spacing w:after="0"/>
              <w:rPr>
                <w:sz w:val="1"/>
                <w:szCs w:val="1"/>
                <w:color w:val="auto"/>
              </w:rPr>
            </w:pPr>
          </w:p>
        </w:tc>
      </w:tr>
      <w:tr>
        <w:trPr>
          <w:trHeight w:val="65"/>
        </w:trPr>
        <w:tc>
          <w:tcPr>
            <w:tcW w:w="26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(1,786 )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29,213</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9</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(800 )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6,803</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(2,586 )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36,016</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(625 )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9,742</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(666 )</w:t>
            </w:r>
          </w:p>
        </w:tc>
        <w:tc>
          <w:tcPr>
            <w:tcW w:w="12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3,674</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(1,291 )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13,416</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(736 )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6,577</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107</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(739 )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6,684</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(1,236 )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12,965</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(15 )</w:t>
            </w:r>
          </w:p>
        </w:tc>
        <w:tc>
          <w:tcPr>
            <w:tcW w:w="12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892</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(1,251 )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13,857</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38</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(2,719 )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58,061</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(1,711 )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12,532</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46</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(4,430 )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70,593</w:t>
            </w:r>
          </w:p>
        </w:tc>
        <w:tc>
          <w:tcPr>
            <w:tcW w:w="0" w:type="dxa"/>
            <w:vAlign w:val="bottom"/>
          </w:tcPr>
          <w:p>
            <w:pPr>
              <w:spacing w:after="0"/>
              <w:rPr>
                <w:sz w:val="1"/>
                <w:szCs w:val="1"/>
                <w:color w:val="auto"/>
              </w:rPr>
            </w:pPr>
          </w:p>
        </w:tc>
      </w:tr>
      <w:tr>
        <w:trPr>
          <w:trHeight w:val="17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104</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(8,253 )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97"/>
              </w:rPr>
              <w:t>127,408</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(4,664 )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29,085</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(12,917 )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156,493</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15" w:name="page16"/>
    <w:bookmarkEnd w:id="15"/>
    <w:p>
      <w:pPr>
        <w:ind w:right="40" w:firstLine="6"/>
        <w:spacing w:after="0" w:line="253"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26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When the fair value of any individual security categorized as available-for-sale ("AFS") or held-to-maturity ("HTM") is less than its amortized cost basis, an assessment is made as to whether or not a charge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w:t>
      </w:r>
    </w:p>
    <w:p>
      <w:pPr>
        <w:spacing w:after="0" w:line="1" w:lineRule="exact"/>
        <w:rPr>
          <w:sz w:val="20"/>
          <w:szCs w:val="20"/>
          <w:color w:val="auto"/>
        </w:rPr>
      </w:pPr>
    </w:p>
    <w:p>
      <w:pPr>
        <w:ind w:right="200" w:firstLine="6"/>
        <w:spacing w:after="0" w:line="254"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impairment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 portion of the investment securities portfolio, categorized as AFS, with an aggregate amortized historical cost of $222.7 million, had an aggregate fair value that was less than its aggregate amortized historical cost by $16.7 million </w:t>
      </w:r>
      <w:r>
        <w:rPr>
          <w:rFonts w:ascii="Arial" w:cs="Arial" w:eastAsia="Arial" w:hAnsi="Arial"/>
          <w:sz w:val="18"/>
          <w:szCs w:val="18"/>
          <w:color w:val="404040"/>
        </w:rPr>
        <w:t>,</w:t>
      </w:r>
      <w:r>
        <w:rPr>
          <w:rFonts w:ascii="Arial" w:cs="Arial" w:eastAsia="Arial" w:hAnsi="Arial"/>
          <w:sz w:val="18"/>
          <w:szCs w:val="18"/>
          <w:color w:val="auto"/>
        </w:rPr>
        <w:t xml:space="preserve"> or -7.5%, at September 30, 2023. The AFS securities portfolio, with an aggregate amortized historical cost of $205.4 million, had an aggregate fair value that was less than its aggregate amortized historical cost by $14.8 million, or -7.2%, at December 31, 2022. The resultant $1.9 million total decline in the fair value of the AFS investment portfolio's aggregate fair value relative to its aggregate amortized historical cost, in the nine months ended September 30, 2023,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nine months ended September 30, 2023 did not represent any changes in credit loss estimations within the portfolio. Management evaluated the individual securities within the AFS securities portfolio and determined that there was no material credit loss in that portfolio at the adoption date of the CECL methodology on January 1, 2023 or at the reporting date of September 30, 2023. Accordingly, no transition adjustment related to the adoption of ASU 2016-13 was recorded on January 1, 2023 and no impairment charges related to this portfolio were taken in the three and nine months ended September 30, 2023.</w:t>
      </w: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portion of the investment securities portfolio, categorized as HTM, with an aggregate amortized historical cost of $185.6 million, had an aggregate fair value that was less than its aggregate amortized historical cost by $15.5 million, or -8.3%, at September 30, 2023. The portion of the investment securities portfolio, categorized as HTM, with an aggregate amortized historical cost of $194.4 million, had an aggregate fair value that was less than its aggregate amortized historical cost by $12.9 million, or -6.6%, at December 31, 2022. The resultant $2.6 million reduction in the aggregate fair value of the HTM investment portfolio, relative to its aggregate amortized historical cost, during the nine months ended September 30, 2023, was primarily due to changes in the interest rate environment (the general interest rate level and the relationships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87" w:right="660"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t>between shorter-term and longer-term interest rates, known as the 'yield curve') that occurred in that period. These changes in aggregate fair value relative to aggregate amortized historical cost that occurred in the nine months ended September 30, 2023 did not represent any changes in credit loss estimations within the portfolio. The Company does not intend to sell these securities, nor is it more likely than not that the Company will be required to sell these securities prior to the recovery of the amortized cost.</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Company's adoption of ASU 2016-13, the Company established a reserve against the recorded aggregate value of the HTM investment securities portfolio in the amount of $450,000 at January 1, 2023. The reserve was determined using a discounted probability of default ("PD") - loss given default ("LGD") model consistent with the methodologies used to calculate the Company's allowance for credit losses ("ACL"). This calculation, applied in the third quarter of 2023, resulted in a $5,000 increase to the allowance for credit losses to $426,000 at September 30, 2023, reflected as an increase to the total periodic provision for credit losses recorded in the third quarter of 2023, related to the portion of the investment securities portfolio categorized as HTM.</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following table depicts a rollforward of the allowance for credit losses on investment securities classified as held-to-maturity for the three months ended September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Government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8"/>
                <w:szCs w:val="18"/>
                <w:color w:val="auto"/>
              </w:rPr>
              <w:t>Issued By</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and Government</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Mortgage and</w:t>
            </w:r>
          </w:p>
        </w:tc>
        <w:tc>
          <w:tcPr>
            <w:tcW w:w="20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8"/>
                <w:szCs w:val="18"/>
                <w:color w:val="auto"/>
                <w:w w:val="98"/>
              </w:rPr>
              <w:t>State and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Sponsored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9"/>
              <w:spacing w:after="0"/>
              <w:rPr>
                <w:sz w:val="20"/>
                <w:szCs w:val="20"/>
                <w:color w:val="auto"/>
              </w:rPr>
            </w:pPr>
            <w:r>
              <w:rPr>
                <w:rFonts w:ascii="Arial" w:cs="Arial" w:eastAsia="Arial" w:hAnsi="Arial"/>
                <w:sz w:val="18"/>
                <w:szCs w:val="18"/>
                <w:color w:val="auto"/>
              </w:rPr>
              <w:t>Asset-backed</w:t>
            </w:r>
          </w:p>
        </w:tc>
        <w:tc>
          <w:tcPr>
            <w:tcW w:w="200" w:type="dxa"/>
            <w:vAlign w:val="bottom"/>
          </w:tcPr>
          <w:p>
            <w:pPr>
              <w:spacing w:after="0"/>
              <w:rPr>
                <w:sz w:val="18"/>
                <w:szCs w:val="18"/>
                <w:color w:val="auto"/>
              </w:rPr>
            </w:pPr>
          </w:p>
        </w:tc>
        <w:tc>
          <w:tcPr>
            <w:tcW w:w="1080" w:type="dxa"/>
            <w:vAlign w:val="bottom"/>
          </w:tcPr>
          <w:p>
            <w:pPr>
              <w:jc w:val="center"/>
              <w:ind w:right="137"/>
              <w:spacing w:after="0"/>
              <w:rPr>
                <w:sz w:val="20"/>
                <w:szCs w:val="20"/>
                <w:color w:val="auto"/>
              </w:rPr>
            </w:pPr>
            <w:r>
              <w:rPr>
                <w:rFonts w:ascii="Arial" w:cs="Arial" w:eastAsia="Arial" w:hAnsi="Arial"/>
                <w:sz w:val="18"/>
                <w:szCs w:val="18"/>
                <w:color w:val="auto"/>
                <w:w w:val="99"/>
              </w:rPr>
              <w:t>Political</w:t>
            </w:r>
          </w:p>
        </w:tc>
        <w:tc>
          <w:tcPr>
            <w:tcW w:w="26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Enterprise Securities</w:t>
            </w:r>
          </w:p>
        </w:tc>
        <w:tc>
          <w:tcPr>
            <w:tcW w:w="140" w:type="dxa"/>
            <w:vAlign w:val="bottom"/>
          </w:tcPr>
          <w:p>
            <w:pPr>
              <w:spacing w:after="0"/>
              <w:rPr>
                <w:sz w:val="20"/>
                <w:szCs w:val="20"/>
                <w:color w:val="auto"/>
              </w:rPr>
            </w:pPr>
          </w:p>
        </w:tc>
        <w:tc>
          <w:tcPr>
            <w:tcW w:w="1260" w:type="dxa"/>
            <w:vAlign w:val="bottom"/>
          </w:tcPr>
          <w:p>
            <w:pPr>
              <w:jc w:val="center"/>
              <w:ind w:right="79"/>
              <w:spacing w:after="0"/>
              <w:rPr>
                <w:sz w:val="20"/>
                <w:szCs w:val="20"/>
                <w:color w:val="auto"/>
              </w:rPr>
            </w:pPr>
            <w:r>
              <w:rPr>
                <w:rFonts w:ascii="Arial" w:cs="Arial" w:eastAsia="Arial" w:hAnsi="Arial"/>
                <w:sz w:val="18"/>
                <w:szCs w:val="18"/>
                <w:color w:val="auto"/>
                <w:w w:val="98"/>
              </w:rPr>
              <w:t>Securities</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8"/>
              </w:rPr>
              <w:t>Subdivisions</w:t>
            </w:r>
          </w:p>
        </w:tc>
        <w:tc>
          <w:tcPr>
            <w:tcW w:w="26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Securities</w:t>
            </w:r>
          </w:p>
        </w:tc>
        <w:tc>
          <w:tcPr>
            <w:tcW w:w="320" w:type="dxa"/>
            <w:vAlign w:val="bottom"/>
          </w:tcPr>
          <w:p>
            <w:pPr>
              <w:spacing w:after="0"/>
              <w:rPr>
                <w:sz w:val="20"/>
                <w:szCs w:val="20"/>
                <w:color w:val="auto"/>
              </w:rPr>
            </w:pPr>
          </w:p>
        </w:tc>
        <w:tc>
          <w:tcPr>
            <w:tcW w:w="1100" w:type="dxa"/>
            <w:vAlign w:val="bottom"/>
          </w:tcPr>
          <w:p>
            <w:pPr>
              <w:jc w:val="right"/>
              <w:ind w:right="460"/>
              <w:spacing w:after="0"/>
              <w:rPr>
                <w:sz w:val="20"/>
                <w:szCs w:val="20"/>
                <w:color w:val="auto"/>
              </w:rPr>
            </w:pPr>
            <w:r>
              <w:rPr>
                <w:rFonts w:ascii="Arial" w:cs="Arial" w:eastAsia="Arial" w:hAnsi="Arial"/>
                <w:sz w:val="18"/>
                <w:szCs w:val="18"/>
                <w:color w:val="auto"/>
              </w:rPr>
              <w:t>Total</w:t>
            </w: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color w:val="auto"/>
              </w:rPr>
              <w:t>Balance, June 30, 2023</w:t>
            </w:r>
          </w:p>
        </w:tc>
        <w:tc>
          <w:tcPr>
            <w:tcW w:w="1660" w:type="dxa"/>
            <w:vAlign w:val="bottom"/>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397</w:t>
            </w:r>
          </w:p>
        </w:tc>
        <w:tc>
          <w:tcPr>
            <w:tcW w:w="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421</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r>
      <w:tr>
        <w:trPr>
          <w:trHeight w:val="185"/>
        </w:trPr>
        <w:tc>
          <w:tcPr>
            <w:tcW w:w="3160" w:type="dxa"/>
            <w:vAlign w:val="bottom"/>
          </w:tcPr>
          <w:p>
            <w:pPr>
              <w:ind w:left="20"/>
              <w:spacing w:after="0"/>
              <w:rPr>
                <w:sz w:val="20"/>
                <w:szCs w:val="20"/>
                <w:color w:val="auto"/>
              </w:rPr>
            </w:pPr>
            <w:r>
              <w:rPr>
                <w:rFonts w:ascii="Arial" w:cs="Arial" w:eastAsia="Arial" w:hAnsi="Arial"/>
                <w:sz w:val="16"/>
                <w:szCs w:val="16"/>
                <w:color w:val="auto"/>
                <w:w w:val="97"/>
              </w:rPr>
              <w:t>Allowance on purchased financial assets with</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credit deterioration</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Charge-offs of securities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3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September 30, 2023</w:t>
            </w:r>
          </w:p>
        </w:tc>
        <w:tc>
          <w:tcPr>
            <w:tcW w:w="1660" w:type="dxa"/>
            <w:vAlign w:val="bottom"/>
            <w:tcBorders>
              <w:bottom w:val="single" w:sz="8" w:color="auto"/>
            </w:tcBorders>
            <w:shd w:val="clear" w:color="auto" w:fill="CFF0FC"/>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32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426</w:t>
            </w:r>
          </w:p>
        </w:tc>
      </w:tr>
    </w:tbl>
    <w:p>
      <w:pPr>
        <w:spacing w:after="0" w:line="20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following table depicts a rollforward of the allowance for credit losses on investment securities classified as held-to-maturity for the nine months ended September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Government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Arial" w:cs="Arial" w:eastAsia="Arial" w:hAnsi="Arial"/>
                <w:sz w:val="18"/>
                <w:szCs w:val="18"/>
                <w:color w:val="auto"/>
              </w:rPr>
              <w:t>Issued By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and Government</w:t>
            </w:r>
          </w:p>
        </w:tc>
        <w:tc>
          <w:tcPr>
            <w:tcW w:w="1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rPr>
              <w:t>Mortgage and</w:t>
            </w:r>
          </w:p>
        </w:tc>
        <w:tc>
          <w:tcPr>
            <w:tcW w:w="16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Arial" w:cs="Arial" w:eastAsia="Arial" w:hAnsi="Arial"/>
                <w:sz w:val="18"/>
                <w:szCs w:val="18"/>
                <w:color w:val="auto"/>
                <w:w w:val="98"/>
              </w:rPr>
              <w:t>State and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Sponsored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19"/>
              <w:spacing w:after="0"/>
              <w:rPr>
                <w:sz w:val="20"/>
                <w:szCs w:val="20"/>
                <w:color w:val="auto"/>
              </w:rPr>
            </w:pPr>
            <w:r>
              <w:rPr>
                <w:rFonts w:ascii="Arial" w:cs="Arial" w:eastAsia="Arial" w:hAnsi="Arial"/>
                <w:sz w:val="18"/>
                <w:szCs w:val="18"/>
                <w:color w:val="auto"/>
              </w:rPr>
              <w:t>Asset-backed</w:t>
            </w:r>
          </w:p>
        </w:tc>
        <w:tc>
          <w:tcPr>
            <w:tcW w:w="160" w:type="dxa"/>
            <w:vAlign w:val="bottom"/>
          </w:tcPr>
          <w:p>
            <w:pPr>
              <w:spacing w:after="0"/>
              <w:rPr>
                <w:sz w:val="18"/>
                <w:szCs w:val="18"/>
                <w:color w:val="auto"/>
              </w:rPr>
            </w:pPr>
          </w:p>
        </w:tc>
        <w:tc>
          <w:tcPr>
            <w:tcW w:w="1080" w:type="dxa"/>
            <w:vAlign w:val="bottom"/>
          </w:tcPr>
          <w:p>
            <w:pPr>
              <w:jc w:val="center"/>
              <w:ind w:right="138"/>
              <w:spacing w:after="0"/>
              <w:rPr>
                <w:sz w:val="20"/>
                <w:szCs w:val="20"/>
                <w:color w:val="auto"/>
              </w:rPr>
            </w:pPr>
            <w:r>
              <w:rPr>
                <w:rFonts w:ascii="Arial" w:cs="Arial" w:eastAsia="Arial" w:hAnsi="Arial"/>
                <w:sz w:val="18"/>
                <w:szCs w:val="18"/>
                <w:color w:val="auto"/>
                <w:w w:val="99"/>
              </w:rPr>
              <w:t>Political</w:t>
            </w:r>
          </w:p>
        </w:tc>
        <w:tc>
          <w:tcPr>
            <w:tcW w:w="26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Enterprise Securities</w:t>
            </w:r>
          </w:p>
        </w:tc>
        <w:tc>
          <w:tcPr>
            <w:tcW w:w="140" w:type="dxa"/>
            <w:vAlign w:val="bottom"/>
          </w:tcPr>
          <w:p>
            <w:pPr>
              <w:spacing w:after="0"/>
              <w:rPr>
                <w:sz w:val="20"/>
                <w:szCs w:val="20"/>
                <w:color w:val="auto"/>
              </w:rPr>
            </w:pPr>
          </w:p>
        </w:tc>
        <w:tc>
          <w:tcPr>
            <w:tcW w:w="1300" w:type="dxa"/>
            <w:vAlign w:val="bottom"/>
          </w:tcPr>
          <w:p>
            <w:pPr>
              <w:jc w:val="center"/>
              <w:ind w:right="119"/>
              <w:spacing w:after="0"/>
              <w:rPr>
                <w:sz w:val="20"/>
                <w:szCs w:val="20"/>
                <w:color w:val="auto"/>
              </w:rPr>
            </w:pPr>
            <w:r>
              <w:rPr>
                <w:rFonts w:ascii="Arial" w:cs="Arial" w:eastAsia="Arial" w:hAnsi="Arial"/>
                <w:sz w:val="18"/>
                <w:szCs w:val="18"/>
                <w:color w:val="auto"/>
                <w:w w:val="98"/>
              </w:rPr>
              <w:t>Securities</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Subdivisions</w:t>
            </w:r>
          </w:p>
        </w:tc>
        <w:tc>
          <w:tcPr>
            <w:tcW w:w="260" w:type="dxa"/>
            <w:vAlign w:val="bottom"/>
          </w:tcPr>
          <w:p>
            <w:pPr>
              <w:spacing w:after="0"/>
              <w:rPr>
                <w:sz w:val="20"/>
                <w:szCs w:val="20"/>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Securities</w:t>
            </w:r>
          </w:p>
        </w:tc>
        <w:tc>
          <w:tcPr>
            <w:tcW w:w="300" w:type="dxa"/>
            <w:vAlign w:val="bottom"/>
          </w:tcPr>
          <w:p>
            <w:pPr>
              <w:spacing w:after="0"/>
              <w:rPr>
                <w:sz w:val="20"/>
                <w:szCs w:val="20"/>
                <w:color w:val="auto"/>
              </w:rPr>
            </w:pPr>
          </w:p>
        </w:tc>
        <w:tc>
          <w:tcPr>
            <w:tcW w:w="1100" w:type="dxa"/>
            <w:vAlign w:val="bottom"/>
          </w:tcPr>
          <w:p>
            <w:pPr>
              <w:jc w:val="right"/>
              <w:ind w:right="460"/>
              <w:spacing w:after="0"/>
              <w:rPr>
                <w:sz w:val="20"/>
                <w:szCs w:val="20"/>
                <w:color w:val="auto"/>
              </w:rPr>
            </w:pPr>
            <w:r>
              <w:rPr>
                <w:rFonts w:ascii="Arial" w:cs="Arial" w:eastAsia="Arial" w:hAnsi="Arial"/>
                <w:sz w:val="18"/>
                <w:szCs w:val="18"/>
                <w:color w:val="auto"/>
              </w:rPr>
              <w:t>Total</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2022</w:t>
            </w:r>
          </w:p>
        </w:tc>
        <w:tc>
          <w:tcPr>
            <w:tcW w:w="1660" w:type="dxa"/>
            <w:vAlign w:val="bottom"/>
            <w:shd w:val="clear" w:color="auto" w:fill="CFF0FC"/>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w w:val="99"/>
              </w:rPr>
              <w:t>Adjustment for the adoption of ASU 2016-13</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450</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r>
      <w:tr>
        <w:trPr>
          <w:trHeight w:val="185"/>
        </w:trPr>
        <w:tc>
          <w:tcPr>
            <w:tcW w:w="3160" w:type="dxa"/>
            <w:vAlign w:val="bottom"/>
          </w:tcPr>
          <w:p>
            <w:pPr>
              <w:ind w:left="20"/>
              <w:spacing w:after="0"/>
              <w:rPr>
                <w:sz w:val="20"/>
                <w:szCs w:val="20"/>
                <w:color w:val="auto"/>
              </w:rPr>
            </w:pPr>
            <w:r>
              <w:rPr>
                <w:rFonts w:ascii="Arial" w:cs="Arial" w:eastAsia="Arial" w:hAnsi="Arial"/>
                <w:sz w:val="16"/>
                <w:szCs w:val="16"/>
                <w:color w:val="auto"/>
                <w:w w:val="97"/>
              </w:rPr>
              <w:t>Allowance on purchased financial assets with</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credit deterioration</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Charge-offs of securities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3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September 30, 2023</w:t>
            </w:r>
          </w:p>
        </w:tc>
        <w:tc>
          <w:tcPr>
            <w:tcW w:w="1660" w:type="dxa"/>
            <w:vAlign w:val="bottom"/>
            <w:tcBorders>
              <w:bottom w:val="single" w:sz="8" w:color="auto"/>
            </w:tcBorders>
            <w:shd w:val="clear" w:color="auto" w:fill="CFF0FC"/>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402</w:t>
            </w: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426</w:t>
            </w:r>
          </w:p>
        </w:tc>
      </w:tr>
    </w:tbl>
    <w:p>
      <w:pPr>
        <w:spacing w:after="0" w:line="3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monitors the credit quality of the debt securities categorized as HTM primarily through the use of NRSRO credit ratings. These assessments are made on a quarterly basis. The following table summarizes the amortized cost of debt securities categorized as HTM at September 30, 2023, aggregated by credit quality indicators: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6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5"/>
        </w:trPr>
        <w:tc>
          <w:tcPr>
            <w:tcW w:w="6620" w:type="dxa"/>
            <w:vAlign w:val="bottom"/>
          </w:tcPr>
          <w:p>
            <w:pPr>
              <w:ind w:left="20"/>
              <w:spacing w:after="0"/>
              <w:rPr>
                <w:sz w:val="20"/>
                <w:szCs w:val="20"/>
                <w:color w:val="auto"/>
              </w:rPr>
            </w:pPr>
            <w:r>
              <w:rPr>
                <w:rFonts w:ascii="Arial" w:cs="Arial" w:eastAsia="Arial" w:hAnsi="Arial"/>
                <w:sz w:val="16"/>
                <w:szCs w:val="16"/>
                <w:color w:val="auto"/>
              </w:rPr>
              <w:t>AAA or equivalent</w:t>
            </w:r>
          </w:p>
        </w:tc>
        <w:tc>
          <w:tcPr>
            <w:tcW w:w="1760" w:type="dxa"/>
            <w:vAlign w:val="bottom"/>
          </w:tcPr>
          <w:p>
            <w:pPr>
              <w:jc w:val="right"/>
              <w:ind w:right="1442"/>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22"/>
              <w:spacing w:after="0"/>
              <w:rPr>
                <w:sz w:val="20"/>
                <w:szCs w:val="20"/>
                <w:color w:val="auto"/>
              </w:rPr>
            </w:pPr>
            <w:r>
              <w:rPr>
                <w:rFonts w:ascii="Arial" w:cs="Arial" w:eastAsia="Arial" w:hAnsi="Arial"/>
                <w:sz w:val="16"/>
                <w:szCs w:val="16"/>
                <w:color w:val="auto"/>
              </w:rPr>
              <w:t>43,298</w:t>
            </w:r>
          </w:p>
        </w:tc>
      </w:tr>
      <w:tr>
        <w:trPr>
          <w:trHeight w:val="18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AA or equivalent, including securities issued by the United States Government or Government</w:t>
            </w:r>
          </w:p>
        </w:tc>
        <w:tc>
          <w:tcPr>
            <w:tcW w:w="176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r>
      <w:tr>
        <w:trPr>
          <w:trHeight w:val="19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Sponsored Enterprises</w:t>
            </w:r>
          </w:p>
        </w:tc>
        <w:tc>
          <w:tcPr>
            <w:tcW w:w="176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48,032</w:t>
            </w:r>
          </w:p>
        </w:tc>
      </w:tr>
      <w:tr>
        <w:trPr>
          <w:trHeight w:val="203"/>
        </w:trPr>
        <w:tc>
          <w:tcPr>
            <w:tcW w:w="6620" w:type="dxa"/>
            <w:vAlign w:val="bottom"/>
          </w:tcPr>
          <w:p>
            <w:pPr>
              <w:ind w:left="20"/>
              <w:spacing w:after="0"/>
              <w:rPr>
                <w:sz w:val="20"/>
                <w:szCs w:val="20"/>
                <w:color w:val="auto"/>
              </w:rPr>
            </w:pPr>
            <w:r>
              <w:rPr>
                <w:rFonts w:ascii="Arial" w:cs="Arial" w:eastAsia="Arial" w:hAnsi="Arial"/>
                <w:sz w:val="16"/>
                <w:szCs w:val="16"/>
                <w:color w:val="auto"/>
              </w:rPr>
              <w:t>A or equivalent</w:t>
            </w:r>
          </w:p>
        </w:tc>
        <w:tc>
          <w:tcPr>
            <w:tcW w:w="1760" w:type="dxa"/>
            <w:vAlign w:val="bottom"/>
          </w:tcPr>
          <w:p>
            <w:pPr>
              <w:jc w:val="right"/>
              <w:ind w:right="1442"/>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22"/>
              <w:spacing w:after="0"/>
              <w:rPr>
                <w:sz w:val="20"/>
                <w:szCs w:val="20"/>
                <w:color w:val="auto"/>
              </w:rPr>
            </w:pPr>
            <w:r>
              <w:rPr>
                <w:rFonts w:ascii="Arial" w:cs="Arial" w:eastAsia="Arial" w:hAnsi="Arial"/>
                <w:sz w:val="16"/>
                <w:szCs w:val="16"/>
                <w:color w:val="auto"/>
              </w:rPr>
              <w:t>22,312</w:t>
            </w:r>
          </w:p>
        </w:tc>
      </w:tr>
      <w:tr>
        <w:trPr>
          <w:trHeight w:val="205"/>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BBB or equivalent</w:t>
            </w:r>
          </w:p>
        </w:tc>
        <w:tc>
          <w:tcPr>
            <w:tcW w:w="176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15,546</w:t>
            </w:r>
          </w:p>
        </w:tc>
      </w:tr>
      <w:tr>
        <w:trPr>
          <w:trHeight w:val="203"/>
        </w:trPr>
        <w:tc>
          <w:tcPr>
            <w:tcW w:w="6620" w:type="dxa"/>
            <w:vAlign w:val="bottom"/>
          </w:tcPr>
          <w:p>
            <w:pPr>
              <w:ind w:left="20"/>
              <w:spacing w:after="0"/>
              <w:rPr>
                <w:sz w:val="20"/>
                <w:szCs w:val="20"/>
                <w:color w:val="auto"/>
              </w:rPr>
            </w:pPr>
            <w:r>
              <w:rPr>
                <w:rFonts w:ascii="Arial" w:cs="Arial" w:eastAsia="Arial" w:hAnsi="Arial"/>
                <w:sz w:val="16"/>
                <w:szCs w:val="16"/>
                <w:color w:val="auto"/>
              </w:rPr>
              <w:t>BB or equivalent</w:t>
            </w:r>
          </w:p>
        </w:tc>
        <w:tc>
          <w:tcPr>
            <w:tcW w:w="1760" w:type="dxa"/>
            <w:vAlign w:val="bottom"/>
          </w:tcPr>
          <w:p>
            <w:pPr>
              <w:jc w:val="right"/>
              <w:ind w:right="1442"/>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22"/>
              <w:spacing w:after="0"/>
              <w:rPr>
                <w:sz w:val="20"/>
                <w:szCs w:val="20"/>
                <w:color w:val="auto"/>
              </w:rPr>
            </w:pPr>
            <w:r>
              <w:rPr>
                <w:rFonts w:ascii="Arial" w:cs="Arial" w:eastAsia="Arial" w:hAnsi="Arial"/>
                <w:sz w:val="16"/>
                <w:szCs w:val="16"/>
                <w:color w:val="auto"/>
              </w:rPr>
              <w:t>983</w:t>
            </w:r>
          </w:p>
        </w:tc>
      </w:tr>
      <w:tr>
        <w:trPr>
          <w:trHeight w:val="205"/>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Unrated</w:t>
            </w:r>
          </w:p>
        </w:tc>
        <w:tc>
          <w:tcPr>
            <w:tcW w:w="176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55,844</w:t>
            </w:r>
          </w:p>
        </w:tc>
      </w:tr>
      <w:tr>
        <w:trPr>
          <w:trHeight w:val="20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tcPr>
          <w:p>
            <w:pPr>
              <w:jc w:val="right"/>
              <w:ind w:right="1442"/>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186,015</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(losses) on sales and redemptions of securities for the indicated periods are detailed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gridSpan w:val="3"/>
          </w:tcPr>
          <w:p>
            <w:pPr>
              <w:jc w:val="right"/>
              <w:ind w:right="682"/>
              <w:spacing w:after="0"/>
              <w:rPr>
                <w:sz w:val="20"/>
                <w:szCs w:val="20"/>
                <w:color w:val="auto"/>
              </w:rPr>
            </w:pPr>
            <w:r>
              <w:rPr>
                <w:rFonts w:ascii="Arial" w:cs="Arial" w:eastAsia="Arial" w:hAnsi="Arial"/>
                <w:sz w:val="16"/>
                <w:szCs w:val="16"/>
                <w:color w:val="auto"/>
              </w:rPr>
              <w:t>For the three months</w:t>
            </w:r>
          </w:p>
        </w:tc>
        <w:tc>
          <w:tcPr>
            <w:tcW w:w="700" w:type="dxa"/>
            <w:vAlign w:val="bottom"/>
          </w:tcPr>
          <w:p>
            <w:pPr>
              <w:spacing w:after="0"/>
              <w:rPr>
                <w:sz w:val="17"/>
                <w:szCs w:val="17"/>
                <w:color w:val="auto"/>
              </w:rPr>
            </w:pPr>
          </w:p>
        </w:tc>
        <w:tc>
          <w:tcPr>
            <w:tcW w:w="1880" w:type="dxa"/>
            <w:vAlign w:val="bottom"/>
            <w:gridSpan w:val="2"/>
          </w:tcPr>
          <w:p>
            <w:pPr>
              <w:jc w:val="right"/>
              <w:ind w:right="102"/>
              <w:spacing w:after="0"/>
              <w:rPr>
                <w:sz w:val="20"/>
                <w:szCs w:val="20"/>
                <w:color w:val="auto"/>
              </w:rPr>
            </w:pPr>
            <w:r>
              <w:rPr>
                <w:rFonts w:ascii="Arial" w:cs="Arial" w:eastAsia="Arial" w:hAnsi="Arial"/>
                <w:sz w:val="16"/>
                <w:szCs w:val="16"/>
                <w:color w:val="auto"/>
              </w:rPr>
              <w:t>For the nine months</w:t>
            </w:r>
          </w:p>
        </w:tc>
        <w:tc>
          <w:tcPr>
            <w:tcW w:w="58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gridSpan w:val="3"/>
          </w:tcPr>
          <w:p>
            <w:pPr>
              <w:jc w:val="right"/>
              <w:ind w:right="642"/>
              <w:spacing w:after="0"/>
              <w:rPr>
                <w:sz w:val="20"/>
                <w:szCs w:val="20"/>
                <w:color w:val="auto"/>
              </w:rPr>
            </w:pPr>
            <w:r>
              <w:rPr>
                <w:rFonts w:ascii="Arial" w:cs="Arial" w:eastAsia="Arial" w:hAnsi="Arial"/>
                <w:sz w:val="16"/>
                <w:szCs w:val="16"/>
                <w:color w:val="auto"/>
              </w:rPr>
              <w:t>ended September 30,</w:t>
            </w:r>
          </w:p>
        </w:tc>
        <w:tc>
          <w:tcPr>
            <w:tcW w:w="700" w:type="dxa"/>
            <w:vAlign w:val="bottom"/>
          </w:tcPr>
          <w:p>
            <w:pPr>
              <w:spacing w:after="0"/>
              <w:rPr>
                <w:sz w:val="17"/>
                <w:szCs w:val="17"/>
                <w:color w:val="auto"/>
              </w:rPr>
            </w:pPr>
          </w:p>
        </w:tc>
        <w:tc>
          <w:tcPr>
            <w:tcW w:w="1880" w:type="dxa"/>
            <w:vAlign w:val="bottom"/>
            <w:gridSpan w:val="2"/>
          </w:tcPr>
          <w:p>
            <w:pPr>
              <w:jc w:val="right"/>
              <w:ind w:right="42"/>
              <w:spacing w:after="0"/>
              <w:rPr>
                <w:sz w:val="20"/>
                <w:szCs w:val="20"/>
                <w:color w:val="auto"/>
              </w:rPr>
            </w:pPr>
            <w:r>
              <w:rPr>
                <w:rFonts w:ascii="Arial" w:cs="Arial" w:eastAsia="Arial" w:hAnsi="Arial"/>
                <w:sz w:val="16"/>
                <w:szCs w:val="16"/>
                <w:color w:val="auto"/>
              </w:rPr>
              <w:t>ended September 30,</w:t>
            </w:r>
          </w:p>
        </w:tc>
        <w:tc>
          <w:tcPr>
            <w:tcW w:w="580" w:type="dxa"/>
            <w:vAlign w:val="bottom"/>
          </w:tcPr>
          <w:p>
            <w:pPr>
              <w:spacing w:after="0"/>
              <w:rPr>
                <w:sz w:val="17"/>
                <w:szCs w:val="17"/>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8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620" w:type="dxa"/>
            <w:vAlign w:val="bottom"/>
          </w:tcPr>
          <w:p>
            <w:pPr>
              <w:spacing w:after="0"/>
              <w:rPr>
                <w:sz w:val="17"/>
                <w:szCs w:val="17"/>
                <w:color w:val="auto"/>
              </w:rPr>
            </w:pPr>
          </w:p>
        </w:tc>
        <w:tc>
          <w:tcPr>
            <w:tcW w:w="1180" w:type="dxa"/>
            <w:vAlign w:val="bottom"/>
          </w:tcPr>
          <w:p>
            <w:pPr>
              <w:jc w:val="right"/>
              <w:ind w:right="322"/>
              <w:spacing w:after="0"/>
              <w:rPr>
                <w:sz w:val="20"/>
                <w:szCs w:val="20"/>
                <w:color w:val="auto"/>
              </w:rPr>
            </w:pPr>
            <w:r>
              <w:rPr>
                <w:rFonts w:ascii="Arial" w:cs="Arial" w:eastAsia="Arial" w:hAnsi="Arial"/>
                <w:sz w:val="16"/>
                <w:szCs w:val="16"/>
                <w:color w:val="auto"/>
              </w:rPr>
              <w:t>2022</w:t>
            </w:r>
          </w:p>
        </w:tc>
        <w:tc>
          <w:tcPr>
            <w:tcW w:w="70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2023</w:t>
            </w:r>
          </w:p>
        </w:tc>
        <w:tc>
          <w:tcPr>
            <w:tcW w:w="860" w:type="dxa"/>
            <w:vAlign w:val="bottom"/>
          </w:tcPr>
          <w:p>
            <w:pPr>
              <w:spacing w:after="0"/>
              <w:rPr>
                <w:sz w:val="17"/>
                <w:szCs w:val="17"/>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Realized gains on investments</w:t>
            </w:r>
          </w:p>
        </w:tc>
        <w:tc>
          <w:tcPr>
            <w:tcW w:w="1480" w:type="dxa"/>
            <w:vAlign w:val="bottom"/>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2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2,021</w:t>
            </w:r>
          </w:p>
        </w:tc>
        <w:tc>
          <w:tcPr>
            <w:tcW w:w="86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37</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Realized losses on investments</w:t>
            </w:r>
          </w:p>
        </w:tc>
        <w:tc>
          <w:tcPr>
            <w:tcW w:w="148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620" w:type="dxa"/>
            <w:vAlign w:val="bottom"/>
          </w:tcPr>
          <w:p>
            <w:pPr>
              <w:spacing w:after="0"/>
              <w:rPr>
                <w:sz w:val="17"/>
                <w:szCs w:val="17"/>
                <w:color w:val="auto"/>
              </w:rPr>
            </w:pPr>
          </w:p>
        </w:tc>
        <w:tc>
          <w:tcPr>
            <w:tcW w:w="1180" w:type="dxa"/>
            <w:vAlign w:val="bottom"/>
          </w:tcPr>
          <w:p>
            <w:pPr>
              <w:jc w:val="right"/>
              <w:ind w:right="262"/>
              <w:spacing w:after="0"/>
              <w:rPr>
                <w:sz w:val="20"/>
                <w:szCs w:val="20"/>
                <w:color w:val="auto"/>
              </w:rPr>
            </w:pPr>
            <w:r>
              <w:rPr>
                <w:rFonts w:ascii="Arial" w:cs="Arial" w:eastAsia="Arial" w:hAnsi="Arial"/>
                <w:sz w:val="16"/>
                <w:szCs w:val="16"/>
                <w:color w:val="auto"/>
              </w:rPr>
              <w:t>(198 )</w:t>
            </w:r>
          </w:p>
        </w:tc>
        <w:tc>
          <w:tcPr>
            <w:tcW w:w="70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(1,961)</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(205 )</w:t>
            </w:r>
          </w:p>
        </w:tc>
      </w:tr>
      <w:tr>
        <w:trPr>
          <w:trHeight w:val="244"/>
        </w:trPr>
        <w:tc>
          <w:tcPr>
            <w:tcW w:w="3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(13)</w:t>
            </w:r>
          </w:p>
        </w:tc>
        <w:tc>
          <w:tcPr>
            <w:tcW w:w="62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(198 )</w:t>
            </w:r>
          </w:p>
        </w:tc>
        <w:tc>
          <w:tcPr>
            <w:tcW w:w="7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60</w:t>
            </w:r>
          </w:p>
        </w:tc>
        <w:tc>
          <w:tcPr>
            <w:tcW w:w="860" w:type="dxa"/>
            <w:vAlign w:val="bottom"/>
            <w:tcBorders>
              <w:bottom w:val="single" w:sz="8" w:color="auto"/>
            </w:tcBorders>
            <w:shd w:val="clear" w:color="auto" w:fill="CFF0FC"/>
          </w:tcPr>
          <w:p>
            <w:pPr>
              <w:jc w:val="right"/>
              <w:ind w:right="56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(168 )</w:t>
            </w:r>
          </w:p>
        </w:tc>
      </w:tr>
    </w:tbl>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September 30, 2023 and December 31, 2022, securities with a fair value of $90.3 million and $99.8 million, respectively, were pledged to collateralize certain municipal deposit relationships. As of the same dates, securities with a fair value of $64.0 million and $38.1 million, respectively, were pledged against certain borrowing arrangements.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Pension and Postretirement Benefits</w:t>
      </w:r>
    </w:p>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net periodic pension plan and postretirement plan costs for the indicated periods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3"/>
          </w:tcPr>
          <w:p>
            <w:pPr>
              <w:jc w:val="right"/>
              <w:ind w:right="408"/>
              <w:spacing w:after="0"/>
              <w:rPr>
                <w:sz w:val="20"/>
                <w:szCs w:val="20"/>
                <w:color w:val="auto"/>
              </w:rPr>
            </w:pPr>
            <w:r>
              <w:rPr>
                <w:rFonts w:ascii="Arial" w:cs="Arial" w:eastAsia="Arial" w:hAnsi="Arial"/>
                <w:sz w:val="14"/>
                <w:szCs w:val="14"/>
                <w:color w:val="auto"/>
              </w:rPr>
              <w:t>Pension Benefits</w:t>
            </w:r>
          </w:p>
        </w:tc>
        <w:tc>
          <w:tcPr>
            <w:tcW w:w="200" w:type="dxa"/>
            <w:vAlign w:val="bottom"/>
          </w:tcPr>
          <w:p>
            <w:pPr>
              <w:spacing w:after="0"/>
              <w:rPr>
                <w:sz w:val="15"/>
                <w:szCs w:val="15"/>
                <w:color w:val="auto"/>
              </w:rPr>
            </w:pPr>
          </w:p>
        </w:tc>
        <w:tc>
          <w:tcPr>
            <w:tcW w:w="1760" w:type="dxa"/>
            <w:vAlign w:val="bottom"/>
            <w:gridSpan w:val="3"/>
          </w:tcPr>
          <w:p>
            <w:pPr>
              <w:jc w:val="right"/>
              <w:ind w:right="188"/>
              <w:spacing w:after="0"/>
              <w:rPr>
                <w:sz w:val="20"/>
                <w:szCs w:val="20"/>
                <w:color w:val="auto"/>
              </w:rPr>
            </w:pPr>
            <w:r>
              <w:rPr>
                <w:rFonts w:ascii="Arial" w:cs="Arial" w:eastAsia="Arial" w:hAnsi="Arial"/>
                <w:sz w:val="14"/>
                <w:szCs w:val="14"/>
                <w:color w:val="auto"/>
              </w:rPr>
              <w:t>Postretirement Benefits</w:t>
            </w:r>
          </w:p>
        </w:tc>
        <w:tc>
          <w:tcPr>
            <w:tcW w:w="320" w:type="dxa"/>
            <w:vAlign w:val="bottom"/>
          </w:tcPr>
          <w:p>
            <w:pPr>
              <w:spacing w:after="0"/>
              <w:rPr>
                <w:sz w:val="15"/>
                <w:szCs w:val="15"/>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color w:val="auto"/>
              </w:rPr>
              <w:t>Pension Benefits</w:t>
            </w:r>
          </w:p>
        </w:tc>
        <w:tc>
          <w:tcPr>
            <w:tcW w:w="1800" w:type="dxa"/>
            <w:vAlign w:val="bottom"/>
            <w:gridSpan w:val="4"/>
          </w:tcPr>
          <w:p>
            <w:pPr>
              <w:jc w:val="right"/>
              <w:ind w:right="88"/>
              <w:spacing w:after="0"/>
              <w:rPr>
                <w:sz w:val="20"/>
                <w:szCs w:val="20"/>
                <w:color w:val="auto"/>
              </w:rPr>
            </w:pPr>
            <w:r>
              <w:rPr>
                <w:rFonts w:ascii="Arial" w:cs="Arial" w:eastAsia="Arial" w:hAnsi="Arial"/>
                <w:sz w:val="14"/>
                <w:szCs w:val="14"/>
                <w:color w:val="auto"/>
              </w:rPr>
              <w:t>Postretirement Benefits</w:t>
            </w:r>
          </w:p>
        </w:tc>
      </w:tr>
      <w:tr>
        <w:trPr>
          <w:trHeight w:val="192"/>
        </w:trPr>
        <w:tc>
          <w:tcPr>
            <w:tcW w:w="2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gridSpan w:val="6"/>
          </w:tcPr>
          <w:p>
            <w:pPr>
              <w:jc w:val="right"/>
              <w:spacing w:after="0"/>
              <w:rPr>
                <w:sz w:val="20"/>
                <w:szCs w:val="20"/>
                <w:color w:val="auto"/>
              </w:rPr>
            </w:pPr>
            <w:r>
              <w:rPr>
                <w:rFonts w:ascii="Arial" w:cs="Arial" w:eastAsia="Arial" w:hAnsi="Arial"/>
                <w:sz w:val="14"/>
                <w:szCs w:val="14"/>
                <w:color w:val="auto"/>
              </w:rPr>
              <w:t>For the three months ended September 30,</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6"/>
          </w:tcPr>
          <w:p>
            <w:pPr>
              <w:jc w:val="right"/>
              <w:spacing w:after="0"/>
              <w:rPr>
                <w:sz w:val="20"/>
                <w:szCs w:val="20"/>
                <w:color w:val="auto"/>
              </w:rPr>
            </w:pPr>
            <w:r>
              <w:rPr>
                <w:rFonts w:ascii="Arial" w:cs="Arial" w:eastAsia="Arial" w:hAnsi="Arial"/>
                <w:sz w:val="14"/>
                <w:szCs w:val="14"/>
                <w:color w:val="auto"/>
              </w:rPr>
              <w:t>For the nine months ended September 30,</w:t>
            </w:r>
          </w:p>
        </w:tc>
        <w:tc>
          <w:tcPr>
            <w:tcW w:w="480" w:type="dxa"/>
            <w:vAlign w:val="bottom"/>
          </w:tcPr>
          <w:p>
            <w:pPr>
              <w:spacing w:after="0"/>
              <w:rPr>
                <w:sz w:val="16"/>
                <w:szCs w:val="16"/>
                <w:color w:val="auto"/>
              </w:rPr>
            </w:pPr>
          </w:p>
        </w:tc>
      </w:tr>
      <w:tr>
        <w:trPr>
          <w:trHeight w:val="195"/>
        </w:trPr>
        <w:tc>
          <w:tcPr>
            <w:tcW w:w="2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42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3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6"/>
                <w:szCs w:val="16"/>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19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cost</w:t>
            </w:r>
          </w:p>
        </w:tc>
        <w:tc>
          <w:tcPr>
            <w:tcW w:w="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4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421</w:t>
            </w:r>
          </w:p>
        </w:tc>
        <w:tc>
          <w:tcPr>
            <w:tcW w:w="3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348</w:t>
            </w:r>
          </w:p>
        </w:tc>
        <w:tc>
          <w:tcPr>
            <w:tcW w:w="30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19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return on plan assets</w:t>
            </w:r>
          </w:p>
        </w:tc>
        <w:tc>
          <w:tcPr>
            <w:tcW w:w="4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(241 )</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(267 )</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(724 )</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(801 )</w:t>
            </w:r>
          </w:p>
        </w:tc>
        <w:tc>
          <w:tcPr>
            <w:tcW w:w="3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Amortization of prior service credits</w:t>
            </w: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(1 )</w:t>
            </w:r>
          </w:p>
        </w:tc>
        <w:tc>
          <w:tcPr>
            <w:tcW w:w="4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(1 )</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(3 )</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9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net losses</w:t>
            </w:r>
          </w:p>
        </w:tc>
        <w:tc>
          <w:tcPr>
            <w:tcW w:w="4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57</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(1 )</w:t>
            </w:r>
          </w:p>
        </w:tc>
        <w:tc>
          <w:tcPr>
            <w:tcW w:w="4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172</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(3 )</w:t>
            </w:r>
          </w:p>
        </w:tc>
        <w:tc>
          <w:tcPr>
            <w:tcW w:w="4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w:t>
            </w: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periodic benefit plan (benefit) cost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(44 )</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(131 )</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(453 )</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will evaluate the need for further contributions to the defined benefit pension plan during 2023. The prepaid pension asset is recorded in other assets on the consolidated statements of condition as of September 30, 2023 and December 31, 2022.</w:t>
      </w: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2" w:right="68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Loans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loans at the indicated dates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September 30,</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December 31,</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2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252,956</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257,656</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2,090</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5,085</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Loans held-for-sale</w:t>
            </w:r>
          </w:p>
        </w:tc>
        <w:tc>
          <w:tcPr>
            <w:tcW w:w="24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residential mortgage loans</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255,046</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262,760</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2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362,822</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345,330</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Lines of credit</w:t>
            </w:r>
          </w:p>
        </w:tc>
        <w:tc>
          <w:tcPr>
            <w:tcW w:w="2400" w:type="dxa"/>
            <w:vAlign w:val="bottom"/>
          </w:tcPr>
          <w:p>
            <w:pPr>
              <w:spacing w:after="0"/>
              <w:rPr>
                <w:sz w:val="17"/>
                <w:szCs w:val="17"/>
                <w:color w:val="auto"/>
              </w:rPr>
            </w:pPr>
          </w:p>
        </w:tc>
        <w:tc>
          <w:tcPr>
            <w:tcW w:w="1380" w:type="dxa"/>
            <w:vAlign w:val="bottom"/>
          </w:tcPr>
          <w:p>
            <w:pPr>
              <w:jc w:val="right"/>
              <w:ind w:right="122"/>
              <w:spacing w:after="0"/>
              <w:rPr>
                <w:sz w:val="20"/>
                <w:szCs w:val="20"/>
                <w:color w:val="auto"/>
              </w:rPr>
            </w:pPr>
            <w:r>
              <w:rPr>
                <w:rFonts w:ascii="Arial" w:cs="Arial" w:eastAsia="Arial" w:hAnsi="Arial"/>
                <w:sz w:val="16"/>
                <w:szCs w:val="16"/>
                <w:color w:val="auto"/>
              </w:rPr>
              <w:t>73,497</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82,050</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85,506</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77,273</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Paycheck Protection Program loans</w:t>
            </w:r>
          </w:p>
        </w:tc>
        <w:tc>
          <w:tcPr>
            <w:tcW w:w="2400" w:type="dxa"/>
            <w:vAlign w:val="bottom"/>
          </w:tcPr>
          <w:p>
            <w:pPr>
              <w:spacing w:after="0"/>
              <w:rPr>
                <w:sz w:val="17"/>
                <w:szCs w:val="17"/>
                <w:color w:val="auto"/>
              </w:rPr>
            </w:pPr>
          </w:p>
        </w:tc>
        <w:tc>
          <w:tcPr>
            <w:tcW w:w="1380" w:type="dxa"/>
            <w:vAlign w:val="bottom"/>
          </w:tcPr>
          <w:p>
            <w:pPr>
              <w:jc w:val="right"/>
              <w:ind w:right="122"/>
              <w:spacing w:after="0"/>
              <w:rPr>
                <w:sz w:val="20"/>
                <w:szCs w:val="20"/>
                <w:color w:val="auto"/>
              </w:rPr>
            </w:pPr>
            <w:r>
              <w:rPr>
                <w:rFonts w:ascii="Arial" w:cs="Arial" w:eastAsia="Arial" w:hAnsi="Arial"/>
                <w:sz w:val="16"/>
                <w:szCs w:val="16"/>
                <w:color w:val="auto"/>
              </w:rPr>
              <w:t>169</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203</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 exempt loans</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3,451</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4,280</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Total commercial loans</w:t>
            </w:r>
          </w:p>
        </w:tc>
        <w:tc>
          <w:tcPr>
            <w:tcW w:w="24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525,445</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509,136</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2400" w:type="dxa"/>
            <w:vAlign w:val="bottom"/>
          </w:tcPr>
          <w:p>
            <w:pPr>
              <w:spacing w:after="0"/>
              <w:rPr>
                <w:sz w:val="17"/>
                <w:szCs w:val="17"/>
                <w:color w:val="auto"/>
              </w:rPr>
            </w:pPr>
          </w:p>
        </w:tc>
        <w:tc>
          <w:tcPr>
            <w:tcW w:w="1380" w:type="dxa"/>
            <w:vAlign w:val="bottom"/>
          </w:tcPr>
          <w:p>
            <w:pPr>
              <w:jc w:val="right"/>
              <w:ind w:right="122"/>
              <w:spacing w:after="0"/>
              <w:rPr>
                <w:sz w:val="20"/>
                <w:szCs w:val="20"/>
                <w:color w:val="auto"/>
              </w:rPr>
            </w:pPr>
            <w:r>
              <w:rPr>
                <w:rFonts w:ascii="Arial" w:cs="Arial" w:eastAsia="Arial" w:hAnsi="Arial"/>
                <w:sz w:val="16"/>
                <w:szCs w:val="16"/>
                <w:color w:val="auto"/>
              </w:rPr>
              <w:t>34,666</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34,007</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consumer</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81,319</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92,851</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24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115,985</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126,858</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loans</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896,476</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898,754</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Net deferred loan fees</w:t>
            </w:r>
          </w:p>
        </w:tc>
        <w:tc>
          <w:tcPr>
            <w:tcW w:w="2400" w:type="dxa"/>
            <w:vAlign w:val="bottom"/>
          </w:tcPr>
          <w:p>
            <w:pPr>
              <w:spacing w:after="0"/>
              <w:rPr>
                <w:sz w:val="17"/>
                <w:szCs w:val="17"/>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(353 )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Less allowance for credit losses</w:t>
            </w:r>
          </w:p>
        </w:tc>
        <w:tc>
          <w:tcPr>
            <w:tcW w:w="2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15,767</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15,319</w:t>
            </w:r>
          </w:p>
        </w:tc>
      </w:tr>
      <w:tr>
        <w:trPr>
          <w:trHeight w:val="20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Loans receivable, net</w:t>
            </w:r>
          </w:p>
        </w:tc>
        <w:tc>
          <w:tcPr>
            <w:tcW w:w="2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880,356</w:t>
            </w:r>
          </w:p>
        </w:tc>
        <w:tc>
          <w:tcPr>
            <w:tcW w:w="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882,435</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93" w:right="680" w:bottom="1440" w:gutter="0" w:footer="0" w:header="0"/>
        </w:sectPr>
      </w:pPr>
    </w:p>
    <w:bookmarkStart w:id="19" w:name="page20"/>
    <w:bookmarkEnd w:id="19"/>
    <w:p>
      <w:pPr>
        <w:spacing w:after="0" w:line="278" w:lineRule="auto"/>
        <w:rPr>
          <w:sz w:val="20"/>
          <w:szCs w:val="20"/>
          <w:color w:val="auto"/>
        </w:rPr>
      </w:pPr>
      <w:r>
        <w:rPr>
          <w:rFonts w:ascii="Arial" w:cs="Arial" w:eastAsia="Arial" w:hAnsi="Arial"/>
          <w:sz w:val="17"/>
          <w:szCs w:val="17"/>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The following tables detail the purchased loan pool positions held by the Bank at September 30, 2023 and December 31, 2022 (the month/year of the earliest acquisition date is depicted in parentheses):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number of loans)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322"/>
              <w:spacing w:after="0"/>
              <w:rPr>
                <w:sz w:val="20"/>
                <w:szCs w:val="20"/>
                <w:color w:val="auto"/>
              </w:rPr>
            </w:pPr>
            <w:r>
              <w:rPr>
                <w:rFonts w:ascii="Arial" w:cs="Arial" w:eastAsia="Arial" w:hAnsi="Arial"/>
                <w:sz w:val="16"/>
                <w:szCs w:val="16"/>
                <w:color w:val="auto"/>
                <w:w w:val="99"/>
              </w:rPr>
              <w:t>September 30, 2023</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5"/>
              </w:rPr>
              <w:t>Cumulativ</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Unamortize</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rPr>
              <w:t>e net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ind w:left="20"/>
              <w:spacing w:after="0" w:line="180" w:lineRule="exact"/>
              <w:rPr>
                <w:sz w:val="20"/>
                <w:szCs w:val="20"/>
                <w:color w:val="auto"/>
              </w:rPr>
            </w:pPr>
            <w:r>
              <w:rPr>
                <w:rFonts w:ascii="Arial" w:cs="Arial" w:eastAsia="Arial" w:hAnsi="Arial"/>
                <w:sz w:val="16"/>
                <w:szCs w:val="16"/>
                <w:color w:val="auto"/>
              </w:rPr>
              <w:t>Original</w:t>
            </w:r>
          </w:p>
        </w:tc>
        <w:tc>
          <w:tcPr>
            <w:tcW w:w="220" w:type="dxa"/>
            <w:vAlign w:val="bottom"/>
          </w:tcPr>
          <w:p>
            <w:pPr>
              <w:spacing w:after="0"/>
              <w:rPr>
                <w:sz w:val="15"/>
                <w:szCs w:val="15"/>
                <w:color w:val="auto"/>
              </w:rPr>
            </w:pPr>
          </w:p>
        </w:tc>
        <w:tc>
          <w:tcPr>
            <w:tcW w:w="82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7"/>
              </w:rPr>
              <w:t>Current</w:t>
            </w: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 Premium/</w:t>
            </w:r>
          </w:p>
        </w:tc>
        <w:tc>
          <w:tcPr>
            <w:tcW w:w="1000" w:type="dxa"/>
            <w:vAlign w:val="bottom"/>
          </w:tcPr>
          <w:p>
            <w:pPr>
              <w:jc w:val="center"/>
              <w:ind w:right="42"/>
              <w:spacing w:after="0" w:line="180" w:lineRule="exact"/>
              <w:rPr>
                <w:sz w:val="20"/>
                <w:szCs w:val="20"/>
                <w:color w:val="auto"/>
              </w:rPr>
            </w:pPr>
            <w:r>
              <w:rPr>
                <w:rFonts w:ascii="Arial" w:cs="Arial" w:eastAsia="Arial" w:hAnsi="Arial"/>
                <w:sz w:val="16"/>
                <w:szCs w:val="16"/>
                <w:color w:val="auto"/>
                <w:w w:val="96"/>
              </w:rPr>
              <w:t>Number of</w:t>
            </w:r>
          </w:p>
        </w:tc>
        <w:tc>
          <w:tcPr>
            <w:tcW w:w="1040" w:type="dxa"/>
            <w:vAlign w:val="bottom"/>
          </w:tcPr>
          <w:p>
            <w:pPr>
              <w:jc w:val="center"/>
              <w:spacing w:after="0" w:line="180" w:lineRule="exact"/>
              <w:rPr>
                <w:sz w:val="20"/>
                <w:szCs w:val="20"/>
                <w:color w:val="auto"/>
              </w:rPr>
            </w:pPr>
            <w:r>
              <w:rPr>
                <w:rFonts w:ascii="Arial" w:cs="Arial" w:eastAsia="Arial" w:hAnsi="Arial"/>
                <w:sz w:val="16"/>
                <w:szCs w:val="16"/>
                <w:color w:val="auto"/>
                <w:w w:val="98"/>
              </w:rPr>
              <w:t>Maturity</w:t>
            </w: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5"/>
              </w:rPr>
              <w:t>charge-</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Balance</w:t>
            </w:r>
          </w:p>
        </w:tc>
        <w:tc>
          <w:tcPr>
            <w:tcW w:w="220" w:type="dxa"/>
            <w:vAlign w:val="bottom"/>
          </w:tcPr>
          <w:p>
            <w:pPr>
              <w:spacing w:after="0"/>
              <w:rPr>
                <w:sz w:val="17"/>
                <w:szCs w:val="17"/>
                <w:color w:val="auto"/>
              </w:rPr>
            </w:pPr>
          </w:p>
        </w:tc>
        <w:tc>
          <w:tcPr>
            <w:tcW w:w="820" w:type="dxa"/>
            <w:vAlign w:val="bottom"/>
          </w:tcPr>
          <w:p>
            <w:pPr>
              <w:jc w:val="center"/>
              <w:ind w:right="162"/>
              <w:spacing w:after="0"/>
              <w:rPr>
                <w:sz w:val="20"/>
                <w:szCs w:val="20"/>
                <w:color w:val="auto"/>
              </w:rPr>
            </w:pPr>
            <w:r>
              <w:rPr>
                <w:rFonts w:ascii="Arial" w:cs="Arial" w:eastAsia="Arial" w:hAnsi="Arial"/>
                <w:sz w:val="16"/>
                <w:szCs w:val="16"/>
                <w:color w:val="auto"/>
              </w:rPr>
              <w:t>Balance</w:t>
            </w: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(Discount)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w w:val="96"/>
              </w:rPr>
              <w:t>Loans</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Range</w:t>
            </w:r>
          </w:p>
        </w:tc>
        <w:tc>
          <w:tcPr>
            <w:tcW w:w="160" w:type="dxa"/>
            <w:vAlign w:val="bottom"/>
          </w:tcPr>
          <w:p>
            <w:pPr>
              <w:spacing w:after="0"/>
              <w:rPr>
                <w:sz w:val="17"/>
                <w:szCs w:val="17"/>
                <w:color w:val="auto"/>
              </w:rPr>
            </w:pPr>
          </w:p>
        </w:tc>
        <w:tc>
          <w:tcPr>
            <w:tcW w:w="760" w:type="dxa"/>
            <w:vAlign w:val="bottom"/>
          </w:tcPr>
          <w:p>
            <w:pPr>
              <w:jc w:val="center"/>
              <w:ind w:right="122"/>
              <w:spacing w:after="0"/>
              <w:rPr>
                <w:sz w:val="20"/>
                <w:szCs w:val="20"/>
                <w:color w:val="auto"/>
              </w:rPr>
            </w:pPr>
            <w:r>
              <w:rPr>
                <w:rFonts w:ascii="Arial" w:cs="Arial" w:eastAsia="Arial" w:hAnsi="Arial"/>
                <w:sz w:val="16"/>
                <w:szCs w:val="16"/>
                <w:color w:val="auto"/>
                <w:w w:val="92"/>
              </w:rPr>
              <w:t>offs</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 loans (6/2019)</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6,800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1,800</w:t>
            </w:r>
          </w:p>
        </w:tc>
        <w:tc>
          <w:tcPr>
            <w:tcW w:w="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2-6 years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Home equity lines of credit (8/2019)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21,900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4,900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137</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128</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1-26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 pool 2 (11/2019)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26,600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181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0-3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6"/>
                <w:szCs w:val="16"/>
                <w:color w:val="auto"/>
              </w:rPr>
              <w:t>Residential real estate loans (12/2019)</w:t>
            </w:r>
          </w:p>
        </w:tc>
        <w:tc>
          <w:tcPr>
            <w:tcW w:w="420" w:type="dxa"/>
            <w:vAlign w:val="bottom"/>
          </w:tcPr>
          <w:p>
            <w:pPr>
              <w:spacing w:after="0"/>
              <w:rPr>
                <w:sz w:val="17"/>
                <w:szCs w:val="17"/>
                <w:color w:val="auto"/>
              </w:rPr>
            </w:pP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color w:val="auto"/>
              </w:rPr>
              <w:t>4,300</w:t>
            </w:r>
          </w:p>
        </w:tc>
        <w:tc>
          <w:tcPr>
            <w:tcW w:w="220" w:type="dxa"/>
            <w:vAlign w:val="bottom"/>
          </w:tcPr>
          <w:p>
            <w:pPr>
              <w:spacing w:after="0"/>
              <w:rPr>
                <w:sz w:val="17"/>
                <w:szCs w:val="17"/>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6"/>
                <w:szCs w:val="16"/>
                <w:color w:val="auto"/>
              </w:rPr>
              <w:t>3,700</w:t>
            </w:r>
          </w:p>
        </w:tc>
        <w:tc>
          <w:tcPr>
            <w:tcW w:w="280" w:type="dxa"/>
            <w:vAlign w:val="bottom"/>
          </w:tcPr>
          <w:p>
            <w:pPr>
              <w:spacing w:after="0"/>
              <w:rPr>
                <w:sz w:val="17"/>
                <w:szCs w:val="17"/>
                <w:color w:val="auto"/>
              </w:rPr>
            </w:pPr>
          </w:p>
        </w:tc>
        <w:tc>
          <w:tcPr>
            <w:tcW w:w="860" w:type="dxa"/>
            <w:vAlign w:val="bottom"/>
            <w:vMerge w:val="restart"/>
          </w:tcPr>
          <w:p>
            <w:pPr>
              <w:jc w:val="right"/>
              <w:ind w:right="102"/>
              <w:spacing w:after="0"/>
              <w:rPr>
                <w:sz w:val="20"/>
                <w:szCs w:val="20"/>
                <w:color w:val="auto"/>
              </w:rPr>
            </w:pPr>
            <w:r>
              <w:rPr>
                <w:rFonts w:ascii="Arial" w:cs="Arial" w:eastAsia="Arial" w:hAnsi="Arial"/>
                <w:sz w:val="16"/>
                <w:szCs w:val="16"/>
                <w:color w:val="auto"/>
              </w:rPr>
              <w:t>231</w:t>
            </w:r>
          </w:p>
        </w:tc>
        <w:tc>
          <w:tcPr>
            <w:tcW w:w="1000" w:type="dxa"/>
            <w:vAlign w:val="bottom"/>
            <w:vMerge w:val="restart"/>
          </w:tcPr>
          <w:p>
            <w:pPr>
              <w:jc w:val="right"/>
              <w:ind w:right="82"/>
              <w:spacing w:after="0"/>
              <w:rPr>
                <w:sz w:val="20"/>
                <w:szCs w:val="20"/>
                <w:color w:val="auto"/>
              </w:rPr>
            </w:pPr>
            <w:r>
              <w:rPr>
                <w:rFonts w:ascii="Arial" w:cs="Arial" w:eastAsia="Arial" w:hAnsi="Arial"/>
                <w:sz w:val="16"/>
                <w:szCs w:val="16"/>
                <w:color w:val="auto"/>
              </w:rPr>
              <w:t>48</w:t>
            </w: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17-22 years</w:t>
            </w:r>
          </w:p>
        </w:tc>
        <w:tc>
          <w:tcPr>
            <w:tcW w:w="160" w:type="dxa"/>
            <w:vAlign w:val="bottom"/>
          </w:tcPr>
          <w:p>
            <w:pPr>
              <w:spacing w:after="0"/>
              <w:rPr>
                <w:sz w:val="17"/>
                <w:szCs w:val="17"/>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 pool 1 (12/2019)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5,400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46</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installment loans pool 3 (12/2019)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10,300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500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22</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186</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0-9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Secured consumer installment loans pool 4 (12/2020)</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14,500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10,700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(1,302)</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502</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22-23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loans pool 5 (1/2021)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24,400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16,100</w:t>
            </w:r>
          </w:p>
        </w:tc>
        <w:tc>
          <w:tcPr>
            <w:tcW w:w="28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(437 )</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661</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7-22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Revolving commercial line of credit 1 (3/2021)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11,600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12,300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Secured consumer installment loans (11/2021)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21,300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18,500</w:t>
            </w:r>
          </w:p>
        </w:tc>
        <w:tc>
          <w:tcPr>
            <w:tcW w:w="28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(3,009)</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826</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17-24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Revolving commercial line of credit 2 (11/2021)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10,500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4,300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loans pool 6 (11/2021)</w:t>
            </w:r>
          </w:p>
        </w:tc>
        <w:tc>
          <w:tcPr>
            <w:tcW w:w="42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22,200</w:t>
            </w:r>
          </w:p>
        </w:tc>
        <w:tc>
          <w:tcPr>
            <w:tcW w:w="2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18,800</w:t>
            </w:r>
          </w:p>
        </w:tc>
        <w:tc>
          <w:tcPr>
            <w:tcW w:w="280" w:type="dxa"/>
            <w:vAlign w:val="bottom"/>
          </w:tcPr>
          <w:p>
            <w:pPr>
              <w:spacing w:after="0"/>
              <w:rPr>
                <w:sz w:val="21"/>
                <w:szCs w:val="21"/>
                <w:color w:val="auto"/>
              </w:rPr>
            </w:pPr>
          </w:p>
        </w:tc>
        <w:tc>
          <w:tcPr>
            <w:tcW w:w="860" w:type="dxa"/>
            <w:vAlign w:val="bottom"/>
          </w:tcPr>
          <w:p>
            <w:pPr>
              <w:jc w:val="right"/>
              <w:ind w:right="22"/>
              <w:spacing w:after="0" w:line="252" w:lineRule="exact"/>
              <w:rPr>
                <w:sz w:val="20"/>
                <w:szCs w:val="20"/>
                <w:color w:val="auto"/>
              </w:rPr>
            </w:pPr>
            <w:r>
              <w:rPr>
                <w:rFonts w:ascii="Arial" w:cs="Arial" w:eastAsia="Arial" w:hAnsi="Arial"/>
                <w:sz w:val="15"/>
                <w:szCs w:val="15"/>
                <w:color w:val="auto"/>
              </w:rPr>
              <w:t xml:space="preserve">(2,235 </w:t>
            </w:r>
            <w:r>
              <w:rPr>
                <w:rFonts w:ascii="Arial" w:cs="Arial" w:eastAsia="Arial" w:hAnsi="Arial"/>
                <w:sz w:val="29"/>
                <w:szCs w:val="29"/>
                <w:color w:val="auto"/>
                <w:vertAlign w:val="subscript"/>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526</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7-24 years</w:t>
            </w:r>
          </w:p>
        </w:tc>
        <w:tc>
          <w:tcPr>
            <w:tcW w:w="16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179,800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93,500</w:t>
            </w: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(6,581)</w:t>
            </w:r>
          </w:p>
        </w:tc>
        <w:tc>
          <w:tcPr>
            <w:tcW w:w="10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3,126</w:t>
            </w:r>
          </w:p>
        </w:tc>
        <w:tc>
          <w:tcPr>
            <w:tcW w:w="10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83"/>
        </w:trPr>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number of loans)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right"/>
              <w:ind w:right="342"/>
              <w:spacing w:after="0"/>
              <w:rPr>
                <w:sz w:val="20"/>
                <w:szCs w:val="20"/>
                <w:color w:val="auto"/>
              </w:rPr>
            </w:pPr>
            <w:r>
              <w:rPr>
                <w:rFonts w:ascii="Arial" w:cs="Arial" w:eastAsia="Arial" w:hAnsi="Arial"/>
                <w:sz w:val="16"/>
                <w:szCs w:val="16"/>
                <w:color w:val="auto"/>
              </w:rPr>
              <w:t>December 31, 2022</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5"/>
              </w:rPr>
              <w:t>Cumulativ</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Unamortize</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rPr>
              <w:t>e net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ind w:left="20"/>
              <w:spacing w:after="0" w:line="180" w:lineRule="exact"/>
              <w:rPr>
                <w:sz w:val="20"/>
                <w:szCs w:val="20"/>
                <w:color w:val="auto"/>
              </w:rPr>
            </w:pPr>
            <w:r>
              <w:rPr>
                <w:rFonts w:ascii="Arial" w:cs="Arial" w:eastAsia="Arial" w:hAnsi="Arial"/>
                <w:sz w:val="16"/>
                <w:szCs w:val="16"/>
                <w:color w:val="auto"/>
              </w:rPr>
              <w:t>Original</w:t>
            </w:r>
          </w:p>
        </w:tc>
        <w:tc>
          <w:tcPr>
            <w:tcW w:w="220" w:type="dxa"/>
            <w:vAlign w:val="bottom"/>
          </w:tcPr>
          <w:p>
            <w:pPr>
              <w:spacing w:after="0"/>
              <w:rPr>
                <w:sz w:val="15"/>
                <w:szCs w:val="15"/>
                <w:color w:val="auto"/>
              </w:rPr>
            </w:pPr>
          </w:p>
        </w:tc>
        <w:tc>
          <w:tcPr>
            <w:tcW w:w="82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7"/>
              </w:rPr>
              <w:t>Current</w:t>
            </w: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 Premium/</w:t>
            </w:r>
          </w:p>
        </w:tc>
        <w:tc>
          <w:tcPr>
            <w:tcW w:w="1000" w:type="dxa"/>
            <w:vAlign w:val="bottom"/>
          </w:tcPr>
          <w:p>
            <w:pPr>
              <w:jc w:val="center"/>
              <w:ind w:right="42"/>
              <w:spacing w:after="0" w:line="180" w:lineRule="exact"/>
              <w:rPr>
                <w:sz w:val="20"/>
                <w:szCs w:val="20"/>
                <w:color w:val="auto"/>
              </w:rPr>
            </w:pPr>
            <w:r>
              <w:rPr>
                <w:rFonts w:ascii="Arial" w:cs="Arial" w:eastAsia="Arial" w:hAnsi="Arial"/>
                <w:sz w:val="16"/>
                <w:szCs w:val="16"/>
                <w:color w:val="auto"/>
                <w:w w:val="96"/>
              </w:rPr>
              <w:t>Number of</w:t>
            </w:r>
          </w:p>
        </w:tc>
        <w:tc>
          <w:tcPr>
            <w:tcW w:w="1040" w:type="dxa"/>
            <w:vAlign w:val="bottom"/>
          </w:tcPr>
          <w:p>
            <w:pPr>
              <w:jc w:val="center"/>
              <w:spacing w:after="0" w:line="180" w:lineRule="exact"/>
              <w:rPr>
                <w:sz w:val="20"/>
                <w:szCs w:val="20"/>
                <w:color w:val="auto"/>
              </w:rPr>
            </w:pPr>
            <w:r>
              <w:rPr>
                <w:rFonts w:ascii="Arial" w:cs="Arial" w:eastAsia="Arial" w:hAnsi="Arial"/>
                <w:sz w:val="16"/>
                <w:szCs w:val="16"/>
                <w:color w:val="auto"/>
                <w:w w:val="98"/>
              </w:rPr>
              <w:t>Maturity</w:t>
            </w: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5"/>
              </w:rPr>
              <w:t>charge-</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Balance</w:t>
            </w:r>
          </w:p>
        </w:tc>
        <w:tc>
          <w:tcPr>
            <w:tcW w:w="220" w:type="dxa"/>
            <w:vAlign w:val="bottom"/>
          </w:tcPr>
          <w:p>
            <w:pPr>
              <w:spacing w:after="0"/>
              <w:rPr>
                <w:sz w:val="17"/>
                <w:szCs w:val="17"/>
                <w:color w:val="auto"/>
              </w:rPr>
            </w:pPr>
          </w:p>
        </w:tc>
        <w:tc>
          <w:tcPr>
            <w:tcW w:w="820" w:type="dxa"/>
            <w:vAlign w:val="bottom"/>
          </w:tcPr>
          <w:p>
            <w:pPr>
              <w:jc w:val="center"/>
              <w:ind w:right="162"/>
              <w:spacing w:after="0"/>
              <w:rPr>
                <w:sz w:val="20"/>
                <w:szCs w:val="20"/>
                <w:color w:val="auto"/>
              </w:rPr>
            </w:pPr>
            <w:r>
              <w:rPr>
                <w:rFonts w:ascii="Arial" w:cs="Arial" w:eastAsia="Arial" w:hAnsi="Arial"/>
                <w:sz w:val="16"/>
                <w:szCs w:val="16"/>
                <w:color w:val="auto"/>
              </w:rPr>
              <w:t>Balance</w:t>
            </w: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(Discount)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w w:val="96"/>
              </w:rPr>
              <w:t>Loans</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Range</w:t>
            </w:r>
          </w:p>
        </w:tc>
        <w:tc>
          <w:tcPr>
            <w:tcW w:w="160" w:type="dxa"/>
            <w:vAlign w:val="bottom"/>
          </w:tcPr>
          <w:p>
            <w:pPr>
              <w:spacing w:after="0"/>
              <w:rPr>
                <w:sz w:val="17"/>
                <w:szCs w:val="17"/>
                <w:color w:val="auto"/>
              </w:rPr>
            </w:pPr>
          </w:p>
        </w:tc>
        <w:tc>
          <w:tcPr>
            <w:tcW w:w="760" w:type="dxa"/>
            <w:vAlign w:val="bottom"/>
          </w:tcPr>
          <w:p>
            <w:pPr>
              <w:jc w:val="center"/>
              <w:ind w:right="122"/>
              <w:spacing w:after="0"/>
              <w:rPr>
                <w:sz w:val="20"/>
                <w:szCs w:val="20"/>
                <w:color w:val="auto"/>
              </w:rPr>
            </w:pPr>
            <w:r>
              <w:rPr>
                <w:rFonts w:ascii="Arial" w:cs="Arial" w:eastAsia="Arial" w:hAnsi="Arial"/>
                <w:sz w:val="16"/>
                <w:szCs w:val="16"/>
                <w:color w:val="auto"/>
                <w:w w:val="92"/>
              </w:rPr>
              <w:t>offs</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Automobile loans (1/2017) paid in full at 6/30/23</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50,400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4,200</w:t>
            </w:r>
          </w:p>
        </w:tc>
        <w:tc>
          <w:tcPr>
            <w:tcW w:w="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128</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537</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0-4 years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Commercial and industrial loans (6/2019)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6,800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2,100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22</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3-7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Home equity lines of credit (8/2019)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21,900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6,000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189</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143</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1-27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 pool 2 (11/2019)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26,600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320</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0-2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real estate loans (12/2019)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3,900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240</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49</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16-22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 pool 1 (12/2019)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5,400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1,600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50</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installment loans pool 3 (12/2019)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10,300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38</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354</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0-9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Secured consumer installment loans pool 4 (12/2020)</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14,500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11,300</w:t>
            </w:r>
          </w:p>
        </w:tc>
        <w:tc>
          <w:tcPr>
            <w:tcW w:w="28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(1,484)</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518</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23-24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loans pool 5 (1/2021)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24,400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17,300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(485 )</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678</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8-24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Revolving commercial line of credit 1 (3/2021)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11,600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11,400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14</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Secured consumer installment loans (11/2021)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21,300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19,700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(3,237)</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850</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18-25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Revolving commercial line of credit 2 (11/2021)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10,500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15,000</w:t>
            </w:r>
          </w:p>
        </w:tc>
        <w:tc>
          <w:tcPr>
            <w:tcW w:w="28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23</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loans pool 6 (11/2021)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22,200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20,200</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(2,441)</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540</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8-24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230,200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115,200</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(7,004)</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4,063</w:t>
            </w: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September 30, 2023 the ACL related to these pools was $2.1 million. As of September 30, 2023 and December 31, 2022, residential mortgage loans with a carrying value of $114.4 million and $110.3 million, respectively, have been pledged by the Company to the Federal Home Loan Bank of New York (“FHLBNY”) under a blanket collateral agreement to secure the Company’s line of credit and term borrowings.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03" w:right="680"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Loan Origination / Risk Management</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lending policies and procedures are presented in Note 5 to the audited consolidated financial statements included in the 2022 Annual Report on Form 10-K filed with the Securities and Exchange Commission on March 31, 2023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5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portfolio segments and classes for the Company’s loan portfolio:</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w w:val="99"/>
              </w:rPr>
              <w:t>Portfolio Segment</w:t>
            </w: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r>
      <w:tr>
        <w:trPr>
          <w:trHeight w:val="20"/>
        </w:trPr>
        <w:tc>
          <w:tcPr>
            <w:tcW w:w="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502"/>
        </w:trPr>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 Loans</w:t>
            </w: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1-4 family first-lien residential mortgages</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Construction</w:t>
            </w:r>
          </w:p>
        </w:tc>
      </w:tr>
      <w:tr>
        <w:trPr>
          <w:trHeight w:val="480"/>
        </w:trPr>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Loans</w:t>
            </w: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Real estate</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Lines of credit</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Other commercial and industrial</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Tax exempt loans</w:t>
            </w:r>
          </w:p>
        </w:tc>
      </w:tr>
      <w:tr>
        <w:trPr>
          <w:trHeight w:val="480"/>
        </w:trPr>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 Loans</w:t>
            </w: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Home equity and junior liens</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Other consumer</w:t>
            </w:r>
          </w:p>
        </w:tc>
      </w:tr>
      <w:tr>
        <w:trPr>
          <w:trHeight w:val="604"/>
        </w:trPr>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60" w:type="dxa"/>
            <w:vAlign w:val="bottom"/>
            <w:gridSpan w:val="3"/>
          </w:tcPr>
          <w:p>
            <w:pPr>
              <w:jc w:val="right"/>
              <w:ind w:right="5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21</w:t>
            </w:r>
            <w:r>
              <w:rPr>
                <w:rFonts w:ascii="Arial" w:cs="Arial" w:eastAsia="Arial" w:hAnsi="Arial"/>
                <w:sz w:val="16"/>
                <w:szCs w:val="16"/>
                <w:color w:val="auto"/>
              </w:rPr>
              <w:t xml:space="preserve"> -</w:t>
            </w:r>
          </w:p>
        </w:tc>
      </w:tr>
      <w:tr>
        <w:trPr>
          <w:trHeight w:val="86"/>
        </w:trPr>
        <w:tc>
          <w:tcPr>
            <w:tcW w:w="180" w:type="dxa"/>
            <w:vAlign w:val="bottom"/>
            <w:tcBorders>
              <w:bottom w:val="single" w:sz="8" w:color="EEEEEE"/>
            </w:tcBorders>
          </w:tcPr>
          <w:p>
            <w:pPr>
              <w:spacing w:after="0"/>
              <w:rPr>
                <w:sz w:val="7"/>
                <w:szCs w:val="7"/>
                <w:color w:val="auto"/>
              </w:rPr>
            </w:pPr>
          </w:p>
        </w:tc>
        <w:tc>
          <w:tcPr>
            <w:tcW w:w="1560" w:type="dxa"/>
            <w:vAlign w:val="bottom"/>
            <w:tcBorders>
              <w:bottom w:val="single" w:sz="8" w:color="EEEEEE"/>
            </w:tcBorders>
          </w:tcPr>
          <w:p>
            <w:pPr>
              <w:spacing w:after="0"/>
              <w:rPr>
                <w:sz w:val="7"/>
                <w:szCs w:val="7"/>
                <w:color w:val="auto"/>
              </w:rPr>
            </w:pPr>
          </w:p>
        </w:tc>
        <w:tc>
          <w:tcPr>
            <w:tcW w:w="176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480" w:type="dxa"/>
            <w:vAlign w:val="bottom"/>
            <w:tcBorders>
              <w:bottom w:val="single" w:sz="8" w:color="EEEEEE"/>
            </w:tcBorders>
          </w:tcPr>
          <w:p>
            <w:pPr>
              <w:spacing w:after="0"/>
              <w:rPr>
                <w:sz w:val="7"/>
                <w:szCs w:val="7"/>
                <w:color w:val="auto"/>
              </w:rPr>
            </w:pPr>
          </w:p>
        </w:tc>
        <w:tc>
          <w:tcPr>
            <w:tcW w:w="552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1" w:right="680" w:bottom="1440" w:gutter="0" w:footer="0" w:header="0"/>
        </w:sectPr>
      </w:pPr>
    </w:p>
    <w:bookmarkStart w:id="21" w:name="page22"/>
    <w:bookmarkEnd w:id="21"/>
    <w:p>
      <w:pPr>
        <w:ind w:right="160"/>
        <w:spacing w:after="0" w:line="275" w:lineRule="auto"/>
        <w:rPr>
          <w:sz w:val="20"/>
          <w:szCs w:val="20"/>
          <w:color w:val="auto"/>
        </w:rPr>
      </w:pPr>
      <w:r>
        <w:rPr>
          <w:rFonts w:ascii="Arial" w:cs="Arial" w:eastAsia="Arial" w:hAnsi="Arial"/>
          <w:sz w:val="18"/>
          <w:szCs w:val="18"/>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Revolving</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loans</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20" w:type="dxa"/>
            <w:vAlign w:val="bottom"/>
            <w:gridSpan w:val="5"/>
          </w:tcPr>
          <w:p>
            <w:pPr>
              <w:jc w:val="right"/>
              <w:ind w:right="48"/>
              <w:spacing w:after="0"/>
              <w:rPr>
                <w:sz w:val="20"/>
                <w:szCs w:val="20"/>
                <w:color w:val="auto"/>
              </w:rPr>
            </w:pPr>
            <w:r>
              <w:rPr>
                <w:rFonts w:ascii="Arial" w:cs="Arial" w:eastAsia="Arial" w:hAnsi="Arial"/>
                <w:sz w:val="14"/>
                <w:szCs w:val="14"/>
                <w:color w:val="auto"/>
              </w:rPr>
              <w:t>Term Loans By Origination Year</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Revolving</w:t>
            </w: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converted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2023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2019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Prior</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Loans</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to term loans</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29,60</w:t>
            </w:r>
          </w:p>
        </w:tc>
        <w:tc>
          <w:tcPr>
            <w:tcW w:w="26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51,74</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337,61</w:t>
            </w:r>
          </w:p>
        </w:tc>
        <w:tc>
          <w:tcPr>
            <w:tcW w:w="0" w:type="dxa"/>
            <w:vAlign w:val="bottom"/>
          </w:tcPr>
          <w:p>
            <w:pPr>
              <w:spacing w:after="0"/>
              <w:rPr>
                <w:sz w:val="1"/>
                <w:szCs w:val="1"/>
                <w:color w:val="auto"/>
              </w:rPr>
            </w:pPr>
          </w:p>
        </w:tc>
      </w:tr>
      <w:tr>
        <w:trPr>
          <w:trHeight w:val="185"/>
        </w:trPr>
        <w:tc>
          <w:tcPr>
            <w:tcW w:w="2580" w:type="dxa"/>
            <w:vAlign w:val="bottom"/>
          </w:tcPr>
          <w:p>
            <w:pPr>
              <w:ind w:left="180"/>
              <w:spacing w:after="0"/>
              <w:rPr>
                <w:sz w:val="20"/>
                <w:szCs w:val="20"/>
                <w:color w:val="auto"/>
              </w:rPr>
            </w:pPr>
            <w:r>
              <w:rPr>
                <w:rFonts w:ascii="Arial" w:cs="Arial" w:eastAsia="Arial" w:hAnsi="Arial"/>
                <w:sz w:val="14"/>
                <w:szCs w:val="14"/>
                <w:color w:val="auto"/>
              </w:rPr>
              <w:t>Pass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$ 39,528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$ 68,969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$ 60,100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$ 87,664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Special Mention</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14,022</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823</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14,845</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769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500</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2,342</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739</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396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5,458</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10,204</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Doubtful</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160</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30,34</w:t>
            </w:r>
          </w:p>
        </w:tc>
        <w:tc>
          <w:tcPr>
            <w:tcW w:w="26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52,13</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362,82</w:t>
            </w:r>
          </w:p>
        </w:tc>
        <w:tc>
          <w:tcPr>
            <w:tcW w:w="0" w:type="dxa"/>
            <w:vAlign w:val="bottom"/>
          </w:tcPr>
          <w:p>
            <w:pPr>
              <w:spacing w:after="0"/>
              <w:rPr>
                <w:sz w:val="1"/>
                <w:szCs w:val="1"/>
                <w:color w:val="auto"/>
              </w:rPr>
            </w:pPr>
          </w:p>
        </w:tc>
      </w:tr>
      <w:tr>
        <w:trPr>
          <w:trHeight w:val="185"/>
        </w:trPr>
        <w:tc>
          <w:tcPr>
            <w:tcW w:w="2580" w:type="dxa"/>
            <w:vAlign w:val="bottom"/>
          </w:tcPr>
          <w:p>
            <w:pPr>
              <w:ind w:left="20"/>
              <w:spacing w:after="0"/>
              <w:rPr>
                <w:sz w:val="20"/>
                <w:szCs w:val="20"/>
                <w:color w:val="auto"/>
              </w:rPr>
            </w:pPr>
            <w:r>
              <w:rPr>
                <w:rFonts w:ascii="Arial" w:cs="Arial" w:eastAsia="Arial" w:hAnsi="Arial"/>
                <w:sz w:val="14"/>
                <w:szCs w:val="14"/>
                <w:color w:val="auto"/>
              </w:rPr>
              <w:t>Total Commercial Real Estate</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40,297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83,491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62,442</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94,105</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Lines of Credit:</w:t>
            </w: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Pass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63,301</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7,238</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70,539</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Special Mention</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647</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1,384</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Doubtful</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Total Commercial Lines of Credit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64,691</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8,806</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73,497</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Commercial and Industrial:</w:t>
            </w: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Pass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18,879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18,819</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6,914</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5,943</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8,437</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12,793</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4,020</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75,805</w:t>
            </w:r>
          </w:p>
        </w:tc>
        <w:tc>
          <w:tcPr>
            <w:tcW w:w="0" w:type="dxa"/>
            <w:vAlign w:val="bottom"/>
          </w:tcPr>
          <w:p>
            <w:pPr>
              <w:spacing w:after="0"/>
              <w:rPr>
                <w:sz w:val="1"/>
                <w:szCs w:val="1"/>
                <w:color w:val="auto"/>
              </w:rPr>
            </w:pPr>
          </w:p>
        </w:tc>
      </w:tr>
      <w:tr>
        <w:trPr>
          <w:trHeight w:val="189"/>
        </w:trPr>
        <w:tc>
          <w:tcPr>
            <w:tcW w:w="258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rPr>
              <w:t>Special Mention</w:t>
            </w:r>
          </w:p>
        </w:tc>
        <w:tc>
          <w:tcPr>
            <w:tcW w:w="9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2,480</w:t>
            </w:r>
          </w:p>
        </w:tc>
        <w:tc>
          <w:tcPr>
            <w:tcW w:w="88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249</w:t>
            </w:r>
          </w:p>
        </w:tc>
        <w:tc>
          <w:tcPr>
            <w:tcW w:w="26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76</w:t>
            </w:r>
          </w:p>
        </w:tc>
        <w:tc>
          <w:tcPr>
            <w:tcW w:w="260" w:type="dxa"/>
            <w:vAlign w:val="bottom"/>
            <w:shd w:val="clear" w:color="auto" w:fill="CFF0FC"/>
          </w:tcPr>
          <w:p>
            <w:pPr>
              <w:spacing w:after="0"/>
              <w:rPr>
                <w:sz w:val="16"/>
                <w:szCs w:val="16"/>
                <w:color w:val="auto"/>
              </w:rPr>
            </w:pPr>
          </w:p>
        </w:tc>
        <w:tc>
          <w:tcPr>
            <w:tcW w:w="5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34</w:t>
            </w:r>
          </w:p>
        </w:tc>
        <w:tc>
          <w:tcPr>
            <w:tcW w:w="26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150"/>
        </w:trPr>
        <w:tc>
          <w:tcPr>
            <w:tcW w:w="2580" w:type="dxa"/>
            <w:vAlign w:val="bottom"/>
            <w:vMerge w:val="continue"/>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1,435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1,171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941</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757</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213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2,343</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Doubtful</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Total Other Commercial and Industrial</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22,794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19,992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8,104</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6,776</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8,650</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15,170</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4,020</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85,506</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Paycheck Protection Program Loans</w:t>
            </w: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60"/>
              <w:spacing w:after="0"/>
              <w:rPr>
                <w:sz w:val="20"/>
                <w:szCs w:val="20"/>
                <w:color w:val="auto"/>
              </w:rPr>
            </w:pPr>
            <w:r>
              <w:rPr>
                <w:rFonts w:ascii="Arial" w:cs="Arial" w:eastAsia="Arial" w:hAnsi="Arial"/>
                <w:sz w:val="14"/>
                <w:szCs w:val="14"/>
                <w:color w:val="auto"/>
              </w:rPr>
              <w:t>Pass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Special Mention</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ind w:left="260"/>
              <w:spacing w:after="0"/>
              <w:rPr>
                <w:sz w:val="20"/>
                <w:szCs w:val="20"/>
                <w:color w:val="auto"/>
              </w:rPr>
            </w:pPr>
            <w:r>
              <w:rPr>
                <w:rFonts w:ascii="Arial" w:cs="Arial" w:eastAsia="Arial" w:hAnsi="Arial"/>
                <w:sz w:val="14"/>
                <w:szCs w:val="14"/>
                <w:color w:val="auto"/>
              </w:rPr>
              <w:t>Substandard</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Doubtful</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580" w:type="dxa"/>
            <w:vAlign w:val="bottom"/>
          </w:tcPr>
          <w:p>
            <w:pPr>
              <w:ind w:left="20"/>
              <w:spacing w:after="0"/>
              <w:rPr>
                <w:sz w:val="20"/>
                <w:szCs w:val="20"/>
                <w:color w:val="auto"/>
              </w:rPr>
            </w:pPr>
            <w:r>
              <w:rPr>
                <w:rFonts w:ascii="Arial" w:cs="Arial" w:eastAsia="Arial" w:hAnsi="Arial"/>
                <w:sz w:val="14"/>
                <w:szCs w:val="14"/>
                <w:color w:val="auto"/>
              </w:rPr>
              <w:t>Total Paycheck Protection Program</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Pr>
          <w:p>
            <w:pPr>
              <w:ind w:left="20"/>
              <w:spacing w:after="0"/>
              <w:rPr>
                <w:sz w:val="20"/>
                <w:szCs w:val="20"/>
                <w:color w:val="auto"/>
              </w:rPr>
            </w:pPr>
            <w:r>
              <w:rPr>
                <w:rFonts w:ascii="Arial" w:cs="Arial" w:eastAsia="Arial" w:hAnsi="Arial"/>
                <w:sz w:val="14"/>
                <w:szCs w:val="14"/>
                <w:color w:val="auto"/>
              </w:rPr>
              <w:t>Loans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Exempt Loans</w:t>
            </w: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60"/>
              <w:spacing w:after="0"/>
              <w:rPr>
                <w:sz w:val="20"/>
                <w:szCs w:val="20"/>
                <w:color w:val="auto"/>
              </w:rPr>
            </w:pPr>
            <w:r>
              <w:rPr>
                <w:rFonts w:ascii="Arial" w:cs="Arial" w:eastAsia="Arial" w:hAnsi="Arial"/>
                <w:sz w:val="14"/>
                <w:szCs w:val="14"/>
                <w:color w:val="auto"/>
              </w:rPr>
              <w:t>Pass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3,217</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Special Mention</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80" w:type="dxa"/>
            <w:vAlign w:val="bottom"/>
          </w:tcPr>
          <w:p>
            <w:pPr>
              <w:ind w:left="260"/>
              <w:spacing w:after="0"/>
              <w:rPr>
                <w:sz w:val="20"/>
                <w:szCs w:val="20"/>
                <w:color w:val="auto"/>
              </w:rPr>
            </w:pPr>
            <w:r>
              <w:rPr>
                <w:rFonts w:ascii="Arial" w:cs="Arial" w:eastAsia="Arial" w:hAnsi="Arial"/>
                <w:sz w:val="14"/>
                <w:szCs w:val="14"/>
                <w:color w:val="auto"/>
              </w:rPr>
              <w:t>Substandard</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Doubtful</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Total Tax Exempt Loans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3,217</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Revolving</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loans</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6"/>
          </w:tcPr>
          <w:p>
            <w:pPr>
              <w:jc w:val="right"/>
              <w:ind w:right="48"/>
              <w:spacing w:after="0"/>
              <w:rPr>
                <w:sz w:val="20"/>
                <w:szCs w:val="20"/>
                <w:color w:val="auto"/>
              </w:rPr>
            </w:pPr>
            <w:r>
              <w:rPr>
                <w:rFonts w:ascii="Arial" w:cs="Arial" w:eastAsia="Arial" w:hAnsi="Arial"/>
                <w:sz w:val="14"/>
                <w:szCs w:val="14"/>
                <w:color w:val="auto"/>
              </w:rPr>
              <w:t>Term Loans By Origination Year</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Revolving</w:t>
            </w:r>
          </w:p>
        </w:tc>
        <w:tc>
          <w:tcPr>
            <w:tcW w:w="2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converted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Prior</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Loans</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to term loans</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Arial" w:cs="Arial" w:eastAsia="Arial" w:hAnsi="Arial"/>
                <w:sz w:val="14"/>
                <w:szCs w:val="14"/>
                <w:color w:val="auto"/>
              </w:rPr>
              <w:t>1-4 family first-lien residential</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20" w:type="dxa"/>
            <w:vAlign w:val="bottom"/>
          </w:tcPr>
          <w:p>
            <w:pPr>
              <w:ind w:left="20"/>
              <w:spacing w:after="0"/>
              <w:rPr>
                <w:sz w:val="20"/>
                <w:szCs w:val="20"/>
                <w:color w:val="auto"/>
              </w:rPr>
            </w:pPr>
            <w:r>
              <w:rPr>
                <w:rFonts w:ascii="Arial" w:cs="Arial" w:eastAsia="Arial" w:hAnsi="Arial"/>
                <w:sz w:val="14"/>
                <w:szCs w:val="14"/>
                <w:color w:val="auto"/>
              </w:rPr>
              <w:t>mortgages: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40,47</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18,90</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248,54</w:t>
            </w:r>
          </w:p>
        </w:tc>
        <w:tc>
          <w:tcPr>
            <w:tcW w:w="0" w:type="dxa"/>
            <w:vAlign w:val="bottom"/>
          </w:tcPr>
          <w:p>
            <w:pPr>
              <w:spacing w:after="0"/>
              <w:rPr>
                <w:sz w:val="1"/>
                <w:szCs w:val="1"/>
                <w:color w:val="auto"/>
              </w:rPr>
            </w:pPr>
          </w:p>
        </w:tc>
      </w:tr>
      <w:tr>
        <w:trPr>
          <w:trHeight w:val="120"/>
        </w:trPr>
        <w:tc>
          <w:tcPr>
            <w:tcW w:w="25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6,873</w:t>
            </w: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52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continue"/>
            <w:shd w:val="clear" w:color="auto" w:fill="CFF0FC"/>
          </w:tcPr>
          <w:p>
            <w:pPr>
              <w:spacing w:after="0"/>
              <w:rPr>
                <w:sz w:val="5"/>
                <w:szCs w:val="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32,585</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52,220</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continue"/>
            <w:shd w:val="clear" w:color="auto" w:fill="CFF0FC"/>
          </w:tcPr>
          <w:p>
            <w:pPr>
              <w:spacing w:after="0"/>
              <w:rPr>
                <w:sz w:val="5"/>
                <w:szCs w:val="5"/>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CFF0FC"/>
          </w:tcPr>
          <w:p>
            <w:pPr>
              <w:spacing w:after="0"/>
              <w:rPr>
                <w:sz w:val="5"/>
                <w:szCs w:val="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97,486</w:t>
            </w:r>
          </w:p>
        </w:tc>
        <w:tc>
          <w:tcPr>
            <w:tcW w:w="220" w:type="dxa"/>
            <w:vAlign w:val="bottom"/>
            <w:vMerge w:val="restart"/>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340" w:type="dxa"/>
            <w:vAlign w:val="bottom"/>
            <w:vMerge w:val="continue"/>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1,471</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447</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1,085</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1,893</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Doubtful</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473</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1-4 family first-lien residential</w:t>
            </w:r>
          </w:p>
        </w:tc>
        <w:tc>
          <w:tcPr>
            <w:tcW w:w="3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41,12</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19,18</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252,95</w:t>
            </w:r>
          </w:p>
        </w:tc>
        <w:tc>
          <w:tcPr>
            <w:tcW w:w="0" w:type="dxa"/>
            <w:vAlign w:val="bottom"/>
          </w:tcPr>
          <w:p>
            <w:pPr>
              <w:spacing w:after="0"/>
              <w:rPr>
                <w:sz w:val="1"/>
                <w:szCs w:val="1"/>
                <w:color w:val="auto"/>
              </w:rPr>
            </w:pPr>
          </w:p>
        </w:tc>
      </w:tr>
      <w:tr>
        <w:trPr>
          <w:trHeight w:val="188"/>
        </w:trPr>
        <w:tc>
          <w:tcPr>
            <w:tcW w:w="2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mortgages</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6,873</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32,585</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53,830</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99,358</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2,090</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Doubtful</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Construction</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2,090</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Home Equity and Junior Liens: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8,256</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2,122</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1,502</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802</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610</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2,241</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17,693</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685</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33,911</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630</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Doubtful</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Home Equity and Junior Liens</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8,256</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2,122</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1,569</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802</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610</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2,270</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18,343</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694</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34,666</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Other Consumer:</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69,076</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4,291</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3,226</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1,455</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1,735</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1,454</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81,237</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color w:val="auto"/>
              </w:rPr>
              <w:t>Doubtful</w:t>
            </w:r>
          </w:p>
        </w:tc>
        <w:tc>
          <w:tcPr>
            <w:tcW w:w="34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Other Consumer</w:t>
            </w:r>
          </w:p>
        </w:tc>
        <w:tc>
          <w:tcPr>
            <w:tcW w:w="3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69,076</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4,310</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3,252</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1,477</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1,742</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1,462</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81,319</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Net Deferred Loan Fees</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(237 )</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(58 )</w:t>
            </w:r>
          </w:p>
        </w:tc>
        <w:tc>
          <w:tcPr>
            <w:tcW w:w="2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(251 )</w:t>
            </w:r>
          </w:p>
        </w:tc>
        <w:tc>
          <w:tcPr>
            <w:tcW w:w="2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(353 )</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149,14</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142,53</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129,32</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80,95</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82,27</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215,33</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896,12</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 loans</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87,054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9,500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and Past Due Loans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1" w:right="68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An aging analysis of past due loans, not including net deferred loan costs, segregated by portfolio segment and class of loans,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are detailed in the following tables: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3"/>
          </w:tcPr>
          <w:p>
            <w:pPr>
              <w:jc w:val="right"/>
              <w:ind w:right="482"/>
              <w:spacing w:after="0"/>
              <w:rPr>
                <w:sz w:val="20"/>
                <w:szCs w:val="20"/>
                <w:color w:val="auto"/>
              </w:rPr>
            </w:pPr>
            <w:r>
              <w:rPr>
                <w:rFonts w:ascii="Arial" w:cs="Arial" w:eastAsia="Arial" w:hAnsi="Arial"/>
                <w:sz w:val="16"/>
                <w:szCs w:val="16"/>
                <w:color w:val="auto"/>
              </w:rPr>
              <w:t>September 30, 2023</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30-59 Days</w:t>
            </w:r>
          </w:p>
        </w:tc>
        <w:tc>
          <w:tcPr>
            <w:tcW w:w="2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60-89 Days</w:t>
            </w:r>
          </w:p>
        </w:tc>
        <w:tc>
          <w:tcPr>
            <w:tcW w:w="280" w:type="dxa"/>
            <w:vAlign w:val="bottom"/>
          </w:tcPr>
          <w:p>
            <w:pPr>
              <w:spacing w:after="0"/>
              <w:rPr>
                <w:sz w:val="24"/>
                <w:szCs w:val="24"/>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90 Days</w:t>
            </w:r>
          </w:p>
        </w:tc>
        <w:tc>
          <w:tcPr>
            <w:tcW w:w="2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Total Loans</w:t>
            </w:r>
          </w:p>
        </w:tc>
        <w:tc>
          <w:tcPr>
            <w:tcW w:w="0" w:type="dxa"/>
            <w:vAlign w:val="bottom"/>
          </w:tcPr>
          <w:p>
            <w:pPr>
              <w:spacing w:after="0"/>
              <w:rPr>
                <w:sz w:val="1"/>
                <w:szCs w:val="1"/>
                <w:color w:val="auto"/>
              </w:rPr>
            </w:pP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and Over</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Current</w:t>
            </w:r>
          </w:p>
        </w:tc>
        <w:tc>
          <w:tcPr>
            <w:tcW w:w="1040" w:type="dxa"/>
            <w:vAlign w:val="bottom"/>
            <w:gridSpan w:val="2"/>
          </w:tcPr>
          <w:p>
            <w:pPr>
              <w:jc w:val="right"/>
              <w:ind w:right="22"/>
              <w:spacing w:after="0"/>
              <w:rPr>
                <w:sz w:val="20"/>
                <w:szCs w:val="20"/>
                <w:color w:val="auto"/>
              </w:rPr>
            </w:pPr>
            <w:r>
              <w:rPr>
                <w:rFonts w:ascii="Arial" w:cs="Arial" w:eastAsia="Arial" w:hAnsi="Arial"/>
                <w:sz w:val="16"/>
                <w:szCs w:val="16"/>
                <w:color w:val="auto"/>
              </w:rPr>
              <w:t>Receivable</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1,262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1,846</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1,610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4,718</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248,238</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252,956</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2,090</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Loans held-for-sale</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1,262</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1,846</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1,610</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4,718</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250,328</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255,046</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4,090</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1,457</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6,280</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11,827</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350,995</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362,822</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Lines of credit</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1,759</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1,513</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3,282</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70,215</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73,497</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571</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541</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3,710</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4,822</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80,684</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85,506</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Paycheck Protection Program loans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169</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 exempt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3,451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commercial loans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6,420</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2,008</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11,503</w:t>
            </w:r>
          </w:p>
        </w:tc>
        <w:tc>
          <w:tcPr>
            <w:tcW w:w="28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19,931</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505,514</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525,445</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237</w:t>
            </w:r>
          </w:p>
        </w:tc>
        <w:tc>
          <w:tcPr>
            <w:tcW w:w="28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379</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34,287</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34,666</w:t>
            </w:r>
          </w:p>
        </w:tc>
        <w:tc>
          <w:tcPr>
            <w:tcW w:w="0" w:type="dxa"/>
            <w:vAlign w:val="bottom"/>
          </w:tcPr>
          <w:p>
            <w:pPr>
              <w:spacing w:after="0"/>
              <w:rPr>
                <w:sz w:val="1"/>
                <w:szCs w:val="1"/>
                <w:color w:val="auto"/>
              </w:rPr>
            </w:pPr>
          </w:p>
        </w:tc>
      </w:tr>
      <w:tr>
        <w:trPr>
          <w:trHeight w:val="203"/>
        </w:trPr>
        <w:tc>
          <w:tcPr>
            <w:tcW w:w="340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Other consumer</w:t>
            </w:r>
          </w:p>
        </w:tc>
        <w:tc>
          <w:tcPr>
            <w:tcW w:w="5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ind w:right="62"/>
              <w:spacing w:after="0"/>
              <w:rPr>
                <w:sz w:val="20"/>
                <w:szCs w:val="20"/>
                <w:color w:val="auto"/>
              </w:rPr>
            </w:pPr>
            <w:r>
              <w:rPr>
                <w:rFonts w:ascii="Arial" w:cs="Arial" w:eastAsia="Arial" w:hAnsi="Arial"/>
                <w:sz w:val="16"/>
                <w:szCs w:val="16"/>
                <w:color w:val="auto"/>
              </w:rPr>
              <w:t>683</w:t>
            </w:r>
          </w:p>
        </w:tc>
        <w:tc>
          <w:tcPr>
            <w:tcW w:w="2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ind w:right="62"/>
              <w:spacing w:after="0"/>
              <w:rPr>
                <w:sz w:val="20"/>
                <w:szCs w:val="20"/>
                <w:color w:val="auto"/>
              </w:rPr>
            </w:pPr>
            <w:r>
              <w:rPr>
                <w:rFonts w:ascii="Arial" w:cs="Arial" w:eastAsia="Arial" w:hAnsi="Arial"/>
                <w:sz w:val="16"/>
                <w:szCs w:val="16"/>
                <w:color w:val="auto"/>
              </w:rPr>
              <w:t>322</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2,629</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3,634</w:t>
            </w:r>
          </w:p>
        </w:tc>
        <w:tc>
          <w:tcPr>
            <w:tcW w:w="3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ind w:right="62"/>
              <w:spacing w:after="0"/>
              <w:rPr>
                <w:sz w:val="20"/>
                <w:szCs w:val="20"/>
                <w:color w:val="auto"/>
              </w:rPr>
            </w:pPr>
            <w:r>
              <w:rPr>
                <w:rFonts w:ascii="Arial" w:cs="Arial" w:eastAsia="Arial" w:hAnsi="Arial"/>
                <w:sz w:val="16"/>
                <w:szCs w:val="16"/>
                <w:color w:val="auto"/>
              </w:rPr>
              <w:t>77,685</w:t>
            </w:r>
          </w:p>
        </w:tc>
        <w:tc>
          <w:tcPr>
            <w:tcW w:w="28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81,319</w:t>
            </w:r>
          </w:p>
        </w:tc>
        <w:tc>
          <w:tcPr>
            <w:tcW w:w="0" w:type="dxa"/>
            <w:vAlign w:val="bottom"/>
          </w:tcPr>
          <w:p>
            <w:pPr>
              <w:spacing w:after="0"/>
              <w:rPr>
                <w:sz w:val="1"/>
                <w:szCs w:val="1"/>
                <w:color w:val="auto"/>
              </w:rPr>
            </w:pPr>
          </w:p>
        </w:tc>
      </w:tr>
      <w:tr>
        <w:trPr>
          <w:trHeight w:val="146"/>
        </w:trPr>
        <w:tc>
          <w:tcPr>
            <w:tcW w:w="3400" w:type="dxa"/>
            <w:vAlign w:val="bottom"/>
            <w:vMerge w:val="continue"/>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5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756</w:t>
            </w:r>
          </w:p>
        </w:tc>
        <w:tc>
          <w:tcPr>
            <w:tcW w:w="2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391</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2,866</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4,013</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111,972</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115,985</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loans</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8,438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4,245</w:t>
            </w: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15,979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28,662</w:t>
            </w:r>
          </w:p>
        </w:tc>
        <w:tc>
          <w:tcPr>
            <w:tcW w:w="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867,814</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896,476</w:t>
            </w:r>
          </w:p>
        </w:tc>
        <w:tc>
          <w:tcPr>
            <w:tcW w:w="0" w:type="dxa"/>
            <w:vAlign w:val="bottom"/>
          </w:tcPr>
          <w:p>
            <w:pPr>
              <w:spacing w:after="0"/>
              <w:rPr>
                <w:sz w:val="1"/>
                <w:szCs w:val="1"/>
                <w:color w:val="auto"/>
              </w:rPr>
            </w:pPr>
          </w:p>
        </w:tc>
      </w:tr>
      <w:tr>
        <w:trPr>
          <w:trHeight w:val="383"/>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gridSpan w:val="4"/>
          </w:tcPr>
          <w:p>
            <w:pPr>
              <w:ind w:left="140"/>
              <w:spacing w:after="0"/>
              <w:rPr>
                <w:sz w:val="20"/>
                <w:szCs w:val="20"/>
                <w:color w:val="auto"/>
              </w:rPr>
            </w:pPr>
            <w:r>
              <w:rPr>
                <w:rFonts w:ascii="Arial" w:cs="Arial" w:eastAsia="Arial" w:hAnsi="Arial"/>
                <w:sz w:val="16"/>
                <w:szCs w:val="16"/>
                <w:color w:val="auto"/>
              </w:rPr>
              <w:t>As of December 31, 2022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30-59 Days</w:t>
            </w:r>
          </w:p>
        </w:tc>
        <w:tc>
          <w:tcPr>
            <w:tcW w:w="2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60-89 Days</w:t>
            </w:r>
          </w:p>
        </w:tc>
        <w:tc>
          <w:tcPr>
            <w:tcW w:w="280" w:type="dxa"/>
            <w:vAlign w:val="bottom"/>
          </w:tcPr>
          <w:p>
            <w:pPr>
              <w:spacing w:after="0"/>
              <w:rPr>
                <w:sz w:val="24"/>
                <w:szCs w:val="24"/>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90 Days</w:t>
            </w:r>
          </w:p>
        </w:tc>
        <w:tc>
          <w:tcPr>
            <w:tcW w:w="2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Total Loans</w:t>
            </w:r>
          </w:p>
        </w:tc>
        <w:tc>
          <w:tcPr>
            <w:tcW w:w="0" w:type="dxa"/>
            <w:vAlign w:val="bottom"/>
          </w:tcPr>
          <w:p>
            <w:pPr>
              <w:spacing w:after="0"/>
              <w:rPr>
                <w:sz w:val="1"/>
                <w:szCs w:val="1"/>
                <w:color w:val="auto"/>
              </w:rPr>
            </w:pP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and Over</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Current</w:t>
            </w:r>
          </w:p>
        </w:tc>
        <w:tc>
          <w:tcPr>
            <w:tcW w:w="1040" w:type="dxa"/>
            <w:vAlign w:val="bottom"/>
            <w:gridSpan w:val="2"/>
          </w:tcPr>
          <w:p>
            <w:pPr>
              <w:jc w:val="right"/>
              <w:ind w:right="22"/>
              <w:spacing w:after="0"/>
              <w:rPr>
                <w:sz w:val="20"/>
                <w:szCs w:val="20"/>
                <w:color w:val="auto"/>
              </w:rPr>
            </w:pPr>
            <w:r>
              <w:rPr>
                <w:rFonts w:ascii="Arial" w:cs="Arial" w:eastAsia="Arial" w:hAnsi="Arial"/>
                <w:sz w:val="16"/>
                <w:szCs w:val="16"/>
                <w:color w:val="auto"/>
              </w:rPr>
              <w:t>Receivable</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1,627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620</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932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3,179</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254,477</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257,656</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5,085</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5,085</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Loans held-for-sale</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1,627</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620</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932</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3,179</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259,581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262,760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4,974</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854</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3,499</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9,327</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336,003</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345,330</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Lines of credit</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1,280</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1,584</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298</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3,162</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78,888</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82,050</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4,721</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999</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1,738</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7,458</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69,815</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77,273</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Paycheck Protection Program loans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203</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 exempt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4,280</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commercial loans</w:t>
            </w:r>
          </w:p>
        </w:tc>
        <w:tc>
          <w:tcPr>
            <w:tcW w:w="5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10,975</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3,437</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5,535</w:t>
            </w:r>
          </w:p>
        </w:tc>
        <w:tc>
          <w:tcPr>
            <w:tcW w:w="28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19,947</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489,189</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509,136</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279</w:t>
            </w:r>
          </w:p>
        </w:tc>
        <w:tc>
          <w:tcPr>
            <w:tcW w:w="28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319</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33,688</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34,007</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consumer</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391</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239</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1,904</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2,534</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90,317</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92,851</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5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414</w:t>
            </w:r>
          </w:p>
        </w:tc>
        <w:tc>
          <w:tcPr>
            <w:tcW w:w="2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256</w:t>
            </w: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2,183</w:t>
            </w:r>
          </w:p>
        </w:tc>
        <w:tc>
          <w:tcPr>
            <w:tcW w:w="2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2,853</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124,005</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126,858</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loans</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13,016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4,313</w:t>
            </w: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8,650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25,979</w:t>
            </w:r>
          </w:p>
        </w:tc>
        <w:tc>
          <w:tcPr>
            <w:tcW w:w="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872,775</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898,754</w:t>
            </w:r>
          </w:p>
        </w:tc>
        <w:tc>
          <w:tcPr>
            <w:tcW w:w="0" w:type="dxa"/>
            <w:vAlign w:val="bottom"/>
          </w:tcPr>
          <w:p>
            <w:pPr>
              <w:spacing w:after="0"/>
              <w:rPr>
                <w:sz w:val="1"/>
                <w:szCs w:val="1"/>
                <w:color w:val="auto"/>
              </w:rPr>
            </w:pPr>
          </w:p>
        </w:tc>
      </w:tr>
      <w:tr>
        <w:trPr>
          <w:trHeight w:val="359"/>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jc w:val="right"/>
              <w:ind w:right="56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24</w:t>
            </w:r>
            <w:r>
              <w:rPr>
                <w:rFonts w:ascii="Arial" w:cs="Arial" w:eastAsia="Arial" w:hAnsi="Arial"/>
                <w:sz w:val="16"/>
                <w:szCs w:val="16"/>
                <w:color w:val="auto"/>
              </w:rPr>
              <w:t xml:space="preserve"> -</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0" w:type="dxa"/>
            <w:vAlign w:val="bottom"/>
            <w:tcBorders>
              <w:bottom w:val="single" w:sz="8" w:color="EEEEEE"/>
            </w:tcBorders>
          </w:tcPr>
          <w:p>
            <w:pPr>
              <w:spacing w:after="0"/>
              <w:rPr>
                <w:sz w:val="7"/>
                <w:szCs w:val="7"/>
                <w:color w:val="auto"/>
              </w:rPr>
            </w:pPr>
          </w:p>
        </w:tc>
        <w:tc>
          <w:tcPr>
            <w:tcW w:w="560" w:type="dxa"/>
            <w:vAlign w:val="bottom"/>
            <w:tcBorders>
              <w:bottom w:val="single" w:sz="8" w:color="EEEEEE"/>
            </w:tcBorders>
          </w:tcPr>
          <w:p>
            <w:pPr>
              <w:spacing w:after="0"/>
              <w:rPr>
                <w:sz w:val="7"/>
                <w:szCs w:val="7"/>
                <w:color w:val="auto"/>
              </w:rPr>
            </w:pPr>
          </w:p>
        </w:tc>
        <w:tc>
          <w:tcPr>
            <w:tcW w:w="94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94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Nonaccrual loans, segregated by class of loan,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tcPr>
          <w:p>
            <w:pPr>
              <w:jc w:val="right"/>
              <w:ind w:right="82"/>
              <w:spacing w:after="0"/>
              <w:rPr>
                <w:sz w:val="20"/>
                <w:szCs w:val="20"/>
                <w:color w:val="auto"/>
              </w:rPr>
            </w:pPr>
            <w:r>
              <w:rPr>
                <w:rFonts w:ascii="Arial" w:cs="Arial" w:eastAsia="Arial" w:hAnsi="Arial"/>
                <w:sz w:val="16"/>
                <w:szCs w:val="16"/>
                <w:color w:val="auto"/>
              </w:rPr>
              <w:t>September 30,</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80" w:type="dxa"/>
            <w:vAlign w:val="bottom"/>
          </w:tcPr>
          <w:p>
            <w:pPr>
              <w:spacing w:after="0"/>
              <w:rPr>
                <w:sz w:val="17"/>
                <w:szCs w:val="17"/>
                <w:color w:val="auto"/>
              </w:rPr>
            </w:pPr>
          </w:p>
        </w:tc>
        <w:tc>
          <w:tcPr>
            <w:tcW w:w="1360" w:type="dxa"/>
            <w:vAlign w:val="bottom"/>
          </w:tcPr>
          <w:p>
            <w:pPr>
              <w:jc w:val="right"/>
              <w:ind w:right="82"/>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24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1-4 family first-lien residential mortgages</w:t>
            </w:r>
          </w:p>
        </w:tc>
        <w:tc>
          <w:tcPr>
            <w:tcW w:w="24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2"/>
              <w:spacing w:after="0"/>
              <w:rPr>
                <w:sz w:val="20"/>
                <w:szCs w:val="20"/>
                <w:color w:val="auto"/>
              </w:rPr>
            </w:pPr>
            <w:r>
              <w:rPr>
                <w:rFonts w:ascii="Arial" w:cs="Arial" w:eastAsia="Arial" w:hAnsi="Arial"/>
                <w:sz w:val="16"/>
                <w:szCs w:val="16"/>
                <w:color w:val="auto"/>
              </w:rPr>
              <w:t>1,659</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1,659</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2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w:t>
            </w:r>
          </w:p>
        </w:tc>
        <w:tc>
          <w:tcPr>
            <w:tcW w:w="24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6,404</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Lines of credit</w:t>
            </w:r>
          </w:p>
        </w:tc>
        <w:tc>
          <w:tcPr>
            <w:tcW w:w="2480" w:type="dxa"/>
            <w:vAlign w:val="bottom"/>
          </w:tcPr>
          <w:p>
            <w:pPr>
              <w:spacing w:after="0"/>
              <w:rPr>
                <w:sz w:val="17"/>
                <w:szCs w:val="17"/>
                <w:color w:val="auto"/>
              </w:rPr>
            </w:pPr>
          </w:p>
        </w:tc>
        <w:tc>
          <w:tcPr>
            <w:tcW w:w="1360" w:type="dxa"/>
            <w:vAlign w:val="bottom"/>
          </w:tcPr>
          <w:p>
            <w:pPr>
              <w:jc w:val="right"/>
              <w:ind w:right="82"/>
              <w:spacing w:after="0"/>
              <w:rPr>
                <w:sz w:val="20"/>
                <w:szCs w:val="20"/>
                <w:color w:val="auto"/>
              </w:rPr>
            </w:pPr>
            <w:r>
              <w:rPr>
                <w:rFonts w:ascii="Arial" w:cs="Arial" w:eastAsia="Arial" w:hAnsi="Arial"/>
                <w:sz w:val="16"/>
                <w:szCs w:val="16"/>
                <w:color w:val="auto"/>
              </w:rPr>
              <w:t>1,529</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commercial and industrial</w:t>
            </w:r>
          </w:p>
        </w:tc>
        <w:tc>
          <w:tcPr>
            <w:tcW w:w="24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3,710</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11,643</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5,720</w:t>
            </w: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24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Home equity and junior liens</w:t>
            </w:r>
          </w:p>
        </w:tc>
        <w:tc>
          <w:tcPr>
            <w:tcW w:w="248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237</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consumer</w:t>
            </w:r>
          </w:p>
        </w:tc>
        <w:tc>
          <w:tcPr>
            <w:tcW w:w="24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2,634</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2480" w:type="dxa"/>
            <w:vAlign w:val="bottom"/>
          </w:tcPr>
          <w:p>
            <w:pPr>
              <w:spacing w:after="0"/>
              <w:rPr>
                <w:sz w:val="17"/>
                <w:szCs w:val="17"/>
                <w:color w:val="auto"/>
              </w:rPr>
            </w:pPr>
          </w:p>
        </w:tc>
        <w:tc>
          <w:tcPr>
            <w:tcW w:w="1360" w:type="dxa"/>
            <w:vAlign w:val="bottom"/>
          </w:tcPr>
          <w:p>
            <w:pPr>
              <w:jc w:val="right"/>
              <w:ind w:right="82"/>
              <w:spacing w:after="0"/>
              <w:rPr>
                <w:sz w:val="20"/>
                <w:szCs w:val="20"/>
                <w:color w:val="auto"/>
              </w:rPr>
            </w:pPr>
            <w:r>
              <w:rPr>
                <w:rFonts w:ascii="Arial" w:cs="Arial" w:eastAsia="Arial" w:hAnsi="Arial"/>
                <w:sz w:val="16"/>
                <w:szCs w:val="16"/>
                <w:color w:val="auto"/>
              </w:rPr>
              <w:t>2,871</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03"/>
        </w:trPr>
        <w:tc>
          <w:tcPr>
            <w:tcW w:w="506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Total nonaccrual loans</w:t>
            </w:r>
          </w:p>
        </w:tc>
        <w:tc>
          <w:tcPr>
            <w:tcW w:w="24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FF0FC"/>
          </w:tcPr>
          <w:p>
            <w:pPr>
              <w:jc w:val="right"/>
              <w:ind w:right="102"/>
              <w:spacing w:after="0"/>
              <w:rPr>
                <w:sz w:val="20"/>
                <w:szCs w:val="20"/>
                <w:color w:val="auto"/>
              </w:rPr>
            </w:pPr>
            <w:r>
              <w:rPr>
                <w:rFonts w:ascii="Arial" w:cs="Arial" w:eastAsia="Arial" w:hAnsi="Arial"/>
                <w:sz w:val="16"/>
                <w:szCs w:val="16"/>
                <w:color w:val="auto"/>
              </w:rPr>
              <w:t>16,173</w:t>
            </w:r>
          </w:p>
        </w:tc>
        <w:tc>
          <w:tcPr>
            <w:tcW w:w="4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9,015</w:t>
            </w:r>
          </w:p>
        </w:tc>
        <w:tc>
          <w:tcPr>
            <w:tcW w:w="0" w:type="dxa"/>
            <w:vAlign w:val="bottom"/>
          </w:tcPr>
          <w:p>
            <w:pPr>
              <w:spacing w:after="0"/>
              <w:rPr>
                <w:sz w:val="1"/>
                <w:szCs w:val="1"/>
                <w:color w:val="auto"/>
              </w:rPr>
            </w:pPr>
          </w:p>
        </w:tc>
      </w:tr>
      <w:tr>
        <w:trPr>
          <w:trHeight w:val="101"/>
        </w:trPr>
        <w:tc>
          <w:tcPr>
            <w:tcW w:w="5060" w:type="dxa"/>
            <w:vAlign w:val="bottom"/>
            <w:tcBorders>
              <w:bottom w:val="single" w:sz="8" w:color="auto"/>
            </w:tcBorders>
            <w:vMerge w:val="continue"/>
            <w:shd w:val="clear" w:color="auto" w:fill="CFF0FC"/>
          </w:tcPr>
          <w:p>
            <w:pPr>
              <w:spacing w:after="0"/>
              <w:rPr>
                <w:sz w:val="8"/>
                <w:szCs w:val="8"/>
                <w:color w:val="auto"/>
              </w:rPr>
            </w:pPr>
          </w:p>
        </w:tc>
        <w:tc>
          <w:tcPr>
            <w:tcW w:w="2480" w:type="dxa"/>
            <w:vAlign w:val="bottom"/>
            <w:tcBorders>
              <w:bottom w:val="single" w:sz="8" w:color="auto"/>
            </w:tcBorders>
            <w:shd w:val="clear" w:color="auto" w:fill="CFF0FC"/>
          </w:tcPr>
          <w:p>
            <w:pPr>
              <w:spacing w:after="0"/>
              <w:rPr>
                <w:sz w:val="8"/>
                <w:szCs w:val="8"/>
                <w:color w:val="auto"/>
              </w:rPr>
            </w:pPr>
          </w:p>
        </w:tc>
        <w:tc>
          <w:tcPr>
            <w:tcW w:w="1360" w:type="dxa"/>
            <w:vAlign w:val="bottom"/>
            <w:tcBorders>
              <w:bottom w:val="single" w:sz="8" w:color="auto"/>
            </w:tcBorders>
            <w:vMerge w:val="continue"/>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1260" w:type="dxa"/>
            <w:vAlign w:val="bottom"/>
            <w:tcBorders>
              <w:bottom w:val="single" w:sz="8" w:color="auto"/>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September 30, 2023, the Bank's 133 nonperforming loans represented 1.8% of total loans, with an aggregate outstanding balance of $16.2 million, as compared to 126 loans with an aggregate outstanding balance of $9.0 million at December 31, 2022. This increase in nonaccrual balances of $7.1 million was primarily the result of the downgrade of two significant commercial real estate and commercial loan relationships. At September 30, 2023, the number of nonaccrual loans related to these two relationships was</w:t>
      </w:r>
    </w:p>
    <w:p>
      <w:pPr>
        <w:spacing w:after="0" w:line="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19 loans, with an aggregate outstanding balance of $11.5 million, as compared to five loans with an aggregate outstanding balance of $1.7 million at December 31, 2022. Management is closely monitoring all nonaccrual loans and has incorporated its current estimate of the ultimate collectability of these loans into the reported allowance for credit losses at September 30, 2023.</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 the Company modifies a loan within a portfolio segment that is individually evaluated for impairment,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Impaired Loans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impaired loan information by portfolio class at the indicated dates: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gridSpan w:val="3"/>
          </w:tcPr>
          <w:p>
            <w:pPr>
              <w:jc w:val="right"/>
              <w:ind w:right="2"/>
              <w:spacing w:after="0"/>
              <w:rPr>
                <w:sz w:val="20"/>
                <w:szCs w:val="20"/>
                <w:color w:val="auto"/>
              </w:rPr>
            </w:pPr>
            <w:r>
              <w:rPr>
                <w:rFonts w:ascii="Arial" w:cs="Arial" w:eastAsia="Arial" w:hAnsi="Arial"/>
                <w:sz w:val="16"/>
                <w:szCs w:val="16"/>
                <w:color w:val="auto"/>
              </w:rPr>
              <w:t>September 30, 2023</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color w:val="auto"/>
              </w:rPr>
              <w:t>December 31, 2022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Unpaid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Unpaid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Recorded</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Principal</w:t>
            </w:r>
          </w:p>
        </w:tc>
        <w:tc>
          <w:tcPr>
            <w:tcW w:w="18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Related</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w w:val="97"/>
              </w:rPr>
              <w:t>Recorded</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Principal</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Related</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Investment</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Balance</w:t>
            </w:r>
          </w:p>
        </w:tc>
        <w:tc>
          <w:tcPr>
            <w:tcW w:w="18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w w:val="95"/>
              </w:rPr>
              <w:t>Allowance</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Investment</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w w:val="93"/>
              </w:rPr>
              <w:t>Allowance</w:t>
            </w: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With no related allowance recorded:</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757</w:t>
            </w: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757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1,048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1,048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6,580</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6,580</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5,283</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5,386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Commercial lines of credit</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500</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3,087</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3,087</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2,780</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2,829</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82</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182</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4"/>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With an allowance recorded: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0"/>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6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925</w:t>
            </w: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925</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126</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450</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91</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4,944</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4,944</w:t>
            </w:r>
          </w:p>
        </w:tc>
        <w:tc>
          <w:tcPr>
            <w:tcW w:w="18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598</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2,625</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346</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lines of credit</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1,552</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1,566</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1,092</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3,059</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2,957</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Other commercial and industrial</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3,672</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3,672</w:t>
            </w:r>
          </w:p>
        </w:tc>
        <w:tc>
          <w:tcPr>
            <w:tcW w:w="1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1,564</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1,998</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1,285</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Home equity and junior liens</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630</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630</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147</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536</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114</w:t>
            </w:r>
          </w:p>
        </w:tc>
      </w:tr>
      <w:tr>
        <w:trPr>
          <w:trHeight w:val="204"/>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1,682</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1,682</w:t>
            </w:r>
          </w:p>
        </w:tc>
        <w:tc>
          <w:tcPr>
            <w:tcW w:w="18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1,498</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91</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11,524</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11,524</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598</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7,908</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8,011</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346</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Commercial lines of credit</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2,052</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2,066</w:t>
            </w:r>
          </w:p>
        </w:tc>
        <w:tc>
          <w:tcPr>
            <w:tcW w:w="1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1,092</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5,277</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5,284</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2,957</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6,759</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6,759</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1,564</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4,778</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4,827</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1,285</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62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712</w:t>
            </w:r>
          </w:p>
        </w:tc>
        <w:tc>
          <w:tcPr>
            <w:tcW w:w="3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712</w:t>
            </w:r>
          </w:p>
        </w:tc>
        <w:tc>
          <w:tcPr>
            <w:tcW w:w="18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718</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114</w:t>
            </w:r>
          </w:p>
        </w:tc>
      </w:tr>
      <w:tr>
        <w:trPr>
          <w:trHeight w:val="244"/>
        </w:trPr>
        <w:tc>
          <w:tcPr>
            <w:tcW w:w="34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Totals</w:t>
            </w: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22,729</w:t>
            </w:r>
          </w:p>
        </w:tc>
        <w:tc>
          <w:tcPr>
            <w:tcW w:w="3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22,743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3,527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20,179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20,338</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4,793</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recorded investment in impaired loans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20" w:type="dxa"/>
            <w:vAlign w:val="bottom"/>
            <w:gridSpan w:val="3"/>
          </w:tcPr>
          <w:p>
            <w:pPr>
              <w:jc w:val="right"/>
              <w:ind w:right="348"/>
              <w:spacing w:after="0"/>
              <w:rPr>
                <w:sz w:val="20"/>
                <w:szCs w:val="20"/>
                <w:color w:val="auto"/>
              </w:rPr>
            </w:pPr>
            <w:r>
              <w:rPr>
                <w:rFonts w:ascii="Arial" w:cs="Arial" w:eastAsia="Arial" w:hAnsi="Arial"/>
                <w:sz w:val="14"/>
                <w:szCs w:val="14"/>
                <w:color w:val="auto"/>
              </w:rPr>
              <w:t>For the three months ended</w:t>
            </w:r>
          </w:p>
        </w:tc>
        <w:tc>
          <w:tcPr>
            <w:tcW w:w="38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color w:val="auto"/>
              </w:rPr>
              <w:t>For the nine months ended</w:t>
            </w:r>
          </w:p>
        </w:tc>
        <w:tc>
          <w:tcPr>
            <w:tcW w:w="600" w:type="dxa"/>
            <w:vAlign w:val="bottom"/>
          </w:tcPr>
          <w:p>
            <w:pPr>
              <w:spacing w:after="0"/>
              <w:rPr>
                <w:sz w:val="15"/>
                <w:szCs w:val="15"/>
                <w:color w:val="auto"/>
              </w:rPr>
            </w:pPr>
          </w:p>
        </w:tc>
      </w:tr>
      <w:tr>
        <w:trPr>
          <w:trHeight w:val="192"/>
        </w:trPr>
        <w:tc>
          <w:tcPr>
            <w:tcW w:w="3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gridSpan w:val="2"/>
          </w:tcPr>
          <w:p>
            <w:pPr>
              <w:jc w:val="right"/>
              <w:ind w:right="88"/>
              <w:spacing w:after="0"/>
              <w:rPr>
                <w:sz w:val="20"/>
                <w:szCs w:val="20"/>
                <w:color w:val="auto"/>
              </w:rPr>
            </w:pPr>
            <w:r>
              <w:rPr>
                <w:rFonts w:ascii="Arial" w:cs="Arial" w:eastAsia="Arial" w:hAnsi="Arial"/>
                <w:sz w:val="14"/>
                <w:szCs w:val="14"/>
                <w:color w:val="auto"/>
              </w:rPr>
              <w:t>September 30,</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2"/>
          </w:tcPr>
          <w:p>
            <w:pPr>
              <w:jc w:val="right"/>
              <w:ind w:right="388"/>
              <w:spacing w:after="0"/>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6"/>
                <w:szCs w:val="16"/>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2022</w:t>
            </w:r>
          </w:p>
        </w:tc>
        <w:tc>
          <w:tcPr>
            <w:tcW w:w="3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10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243"/>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1-4 family first-lien residential mortgages</w:t>
            </w: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1,678</w:t>
            </w:r>
          </w:p>
        </w:tc>
        <w:tc>
          <w:tcPr>
            <w:tcW w:w="62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1,133</w:t>
            </w:r>
          </w:p>
        </w:tc>
        <w:tc>
          <w:tcPr>
            <w:tcW w:w="3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1,586</w:t>
            </w:r>
          </w:p>
        </w:tc>
        <w:tc>
          <w:tcPr>
            <w:tcW w:w="102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1,165</w:t>
            </w:r>
          </w:p>
        </w:tc>
      </w:tr>
      <w:tr>
        <w:trPr>
          <w:trHeight w:val="237"/>
        </w:trPr>
        <w:tc>
          <w:tcPr>
            <w:tcW w:w="3880" w:type="dxa"/>
            <w:vAlign w:val="bottom"/>
          </w:tcPr>
          <w:p>
            <w:pPr>
              <w:ind w:left="180"/>
              <w:spacing w:after="0"/>
              <w:rPr>
                <w:sz w:val="20"/>
                <w:szCs w:val="20"/>
                <w:color w:val="auto"/>
              </w:rPr>
            </w:pPr>
            <w:r>
              <w:rPr>
                <w:rFonts w:ascii="Arial" w:cs="Arial" w:eastAsia="Arial" w:hAnsi="Arial"/>
                <w:sz w:val="14"/>
                <w:szCs w:val="14"/>
                <w:color w:val="auto"/>
              </w:rPr>
              <w:t>Commercial real estate</w:t>
            </w:r>
          </w:p>
        </w:tc>
        <w:tc>
          <w:tcPr>
            <w:tcW w:w="1340" w:type="dxa"/>
            <w:vAlign w:val="bottom"/>
          </w:tcPr>
          <w:p>
            <w:pPr>
              <w:spacing w:after="0"/>
              <w:rPr>
                <w:sz w:val="20"/>
                <w:szCs w:val="20"/>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10,559</w:t>
            </w: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7,124</w:t>
            </w:r>
          </w:p>
        </w:tc>
        <w:tc>
          <w:tcPr>
            <w:tcW w:w="380" w:type="dxa"/>
            <w:vAlign w:val="bottom"/>
          </w:tcPr>
          <w:p>
            <w:pPr>
              <w:spacing w:after="0"/>
              <w:rPr>
                <w:sz w:val="20"/>
                <w:szCs w:val="20"/>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9,875</w:t>
            </w:r>
          </w:p>
        </w:tc>
        <w:tc>
          <w:tcPr>
            <w:tcW w:w="1020" w:type="dxa"/>
            <w:vAlign w:val="bottom"/>
          </w:tcPr>
          <w:p>
            <w:pPr>
              <w:spacing w:after="0"/>
              <w:rPr>
                <w:sz w:val="20"/>
                <w:szCs w:val="20"/>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7,130</w:t>
            </w:r>
          </w:p>
        </w:tc>
      </w:tr>
      <w:tr>
        <w:trPr>
          <w:trHeight w:val="243"/>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lines of credit</w:t>
            </w:r>
          </w:p>
        </w:tc>
        <w:tc>
          <w:tcPr>
            <w:tcW w:w="1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2,644</w:t>
            </w:r>
          </w:p>
        </w:tc>
        <w:tc>
          <w:tcPr>
            <w:tcW w:w="6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2,089</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3,265</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1,120</w:t>
            </w:r>
          </w:p>
        </w:tc>
      </w:tr>
      <w:tr>
        <w:trPr>
          <w:trHeight w:val="237"/>
        </w:trPr>
        <w:tc>
          <w:tcPr>
            <w:tcW w:w="3880" w:type="dxa"/>
            <w:vAlign w:val="bottom"/>
          </w:tcPr>
          <w:p>
            <w:pPr>
              <w:ind w:left="180"/>
              <w:spacing w:after="0"/>
              <w:rPr>
                <w:sz w:val="20"/>
                <w:szCs w:val="20"/>
                <w:color w:val="auto"/>
              </w:rPr>
            </w:pPr>
            <w:r>
              <w:rPr>
                <w:rFonts w:ascii="Arial" w:cs="Arial" w:eastAsia="Arial" w:hAnsi="Arial"/>
                <w:sz w:val="14"/>
                <w:szCs w:val="14"/>
                <w:color w:val="auto"/>
              </w:rPr>
              <w:t>Other commercial and industrial</w:t>
            </w:r>
          </w:p>
        </w:tc>
        <w:tc>
          <w:tcPr>
            <w:tcW w:w="1340" w:type="dxa"/>
            <w:vAlign w:val="bottom"/>
          </w:tcPr>
          <w:p>
            <w:pPr>
              <w:spacing w:after="0"/>
              <w:rPr>
                <w:sz w:val="20"/>
                <w:szCs w:val="20"/>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7,722</w:t>
            </w: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3,302</w:t>
            </w:r>
          </w:p>
        </w:tc>
        <w:tc>
          <w:tcPr>
            <w:tcW w:w="380" w:type="dxa"/>
            <w:vAlign w:val="bottom"/>
          </w:tcPr>
          <w:p>
            <w:pPr>
              <w:spacing w:after="0"/>
              <w:rPr>
                <w:sz w:val="20"/>
                <w:szCs w:val="20"/>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7,119</w:t>
            </w:r>
          </w:p>
        </w:tc>
        <w:tc>
          <w:tcPr>
            <w:tcW w:w="1020" w:type="dxa"/>
            <w:vAlign w:val="bottom"/>
          </w:tcPr>
          <w:p>
            <w:pPr>
              <w:spacing w:after="0"/>
              <w:rPr>
                <w:sz w:val="20"/>
                <w:szCs w:val="20"/>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2,750</w:t>
            </w:r>
          </w:p>
        </w:tc>
      </w:tr>
      <w:tr>
        <w:trPr>
          <w:trHeight w:val="243"/>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Home equity and junior liens</w:t>
            </w:r>
          </w:p>
        </w:tc>
        <w:tc>
          <w:tcPr>
            <w:tcW w:w="1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666</w:t>
            </w:r>
          </w:p>
        </w:tc>
        <w:tc>
          <w:tcPr>
            <w:tcW w:w="6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691</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629</w:t>
            </w:r>
          </w:p>
        </w:tc>
      </w:tr>
      <w:tr>
        <w:trPr>
          <w:trHeight w:val="18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23,269</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14,275</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22,536</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12,794</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cash basis interest income recognized on impaired loans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For the three months ended</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ind w:right="48"/>
              <w:spacing w:after="0"/>
              <w:rPr>
                <w:sz w:val="20"/>
                <w:szCs w:val="20"/>
                <w:color w:val="auto"/>
              </w:rPr>
            </w:pPr>
            <w:r>
              <w:rPr>
                <w:rFonts w:ascii="Arial" w:cs="Arial" w:eastAsia="Arial" w:hAnsi="Arial"/>
                <w:sz w:val="14"/>
                <w:szCs w:val="14"/>
                <w:color w:val="auto"/>
              </w:rPr>
              <w:t>For the nine months ended</w:t>
            </w:r>
          </w:p>
        </w:tc>
        <w:tc>
          <w:tcPr>
            <w:tcW w:w="540" w:type="dxa"/>
            <w:vAlign w:val="bottom"/>
          </w:tcPr>
          <w:p>
            <w:pPr>
              <w:spacing w:after="0"/>
              <w:rPr>
                <w:sz w:val="15"/>
                <w:szCs w:val="15"/>
                <w:color w:val="auto"/>
              </w:rPr>
            </w:pPr>
          </w:p>
        </w:tc>
      </w:tr>
      <w:tr>
        <w:trPr>
          <w:trHeight w:val="192"/>
        </w:trPr>
        <w:tc>
          <w:tcPr>
            <w:tcW w:w="3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20" w:type="dxa"/>
            <w:vAlign w:val="bottom"/>
            <w:gridSpan w:val="2"/>
          </w:tcPr>
          <w:p>
            <w:pPr>
              <w:jc w:val="right"/>
              <w:ind w:right="368"/>
              <w:spacing w:after="0"/>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gridSpan w:val="2"/>
          </w:tcPr>
          <w:p>
            <w:pPr>
              <w:jc w:val="right"/>
              <w:ind w:right="448"/>
              <w:spacing w:after="0"/>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6"/>
                <w:szCs w:val="16"/>
                <w:color w:val="auto"/>
              </w:rPr>
            </w:pPr>
          </w:p>
        </w:tc>
      </w:tr>
      <w:tr>
        <w:trPr>
          <w:trHeight w:val="192"/>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9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w w:val="96"/>
              </w:rPr>
              <w:t>2022</w:t>
            </w:r>
          </w:p>
        </w:tc>
        <w:tc>
          <w:tcPr>
            <w:tcW w:w="3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10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255"/>
        </w:trPr>
        <w:tc>
          <w:tcPr>
            <w:tcW w:w="3880" w:type="dxa"/>
            <w:vAlign w:val="bottom"/>
          </w:tcPr>
          <w:p>
            <w:pPr>
              <w:ind w:left="180"/>
              <w:spacing w:after="0"/>
              <w:rPr>
                <w:sz w:val="20"/>
                <w:szCs w:val="20"/>
                <w:color w:val="auto"/>
              </w:rPr>
            </w:pPr>
            <w:r>
              <w:rPr>
                <w:rFonts w:ascii="Arial" w:cs="Arial" w:eastAsia="Arial" w:hAnsi="Arial"/>
                <w:sz w:val="14"/>
                <w:szCs w:val="14"/>
                <w:color w:val="auto"/>
              </w:rPr>
              <w:t>1-4 family first-lien residential mortgages</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9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108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55"/>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real estate</w:t>
            </w:r>
          </w:p>
        </w:tc>
        <w:tc>
          <w:tcPr>
            <w:tcW w:w="1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95</w:t>
            </w: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231</w:t>
            </w:r>
          </w:p>
        </w:tc>
        <w:tc>
          <w:tcPr>
            <w:tcW w:w="10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227</w:t>
            </w:r>
          </w:p>
        </w:tc>
      </w:tr>
      <w:tr>
        <w:trPr>
          <w:trHeight w:val="249"/>
        </w:trPr>
        <w:tc>
          <w:tcPr>
            <w:tcW w:w="3880" w:type="dxa"/>
            <w:vAlign w:val="bottom"/>
          </w:tcPr>
          <w:p>
            <w:pPr>
              <w:ind w:left="180"/>
              <w:spacing w:after="0"/>
              <w:rPr>
                <w:sz w:val="20"/>
                <w:szCs w:val="20"/>
                <w:color w:val="auto"/>
              </w:rPr>
            </w:pPr>
            <w:r>
              <w:rPr>
                <w:rFonts w:ascii="Arial" w:cs="Arial" w:eastAsia="Arial" w:hAnsi="Arial"/>
                <w:sz w:val="14"/>
                <w:szCs w:val="14"/>
                <w:color w:val="auto"/>
              </w:rPr>
              <w:t>Commercial lines of credit</w:t>
            </w:r>
          </w:p>
        </w:tc>
        <w:tc>
          <w:tcPr>
            <w:tcW w:w="13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45</w:t>
            </w:r>
          </w:p>
        </w:tc>
        <w:tc>
          <w:tcPr>
            <w:tcW w:w="38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8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55"/>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Other commercial and industrial</w:t>
            </w:r>
          </w:p>
        </w:tc>
        <w:tc>
          <w:tcPr>
            <w:tcW w:w="1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88</w:t>
            </w: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145</w:t>
            </w:r>
          </w:p>
        </w:tc>
        <w:tc>
          <w:tcPr>
            <w:tcW w:w="10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184</w:t>
            </w:r>
          </w:p>
        </w:tc>
      </w:tr>
      <w:tr>
        <w:trPr>
          <w:trHeight w:val="249"/>
        </w:trPr>
        <w:tc>
          <w:tcPr>
            <w:tcW w:w="3880" w:type="dxa"/>
            <w:vAlign w:val="bottom"/>
          </w:tcPr>
          <w:p>
            <w:pPr>
              <w:ind w:left="180"/>
              <w:spacing w:after="0"/>
              <w:rPr>
                <w:sz w:val="20"/>
                <w:szCs w:val="20"/>
                <w:color w:val="auto"/>
              </w:rPr>
            </w:pPr>
            <w:r>
              <w:rPr>
                <w:rFonts w:ascii="Arial" w:cs="Arial" w:eastAsia="Arial" w:hAnsi="Arial"/>
                <w:sz w:val="14"/>
                <w:szCs w:val="14"/>
                <w:color w:val="auto"/>
              </w:rPr>
              <w:t>Home equity and junior liens</w:t>
            </w:r>
          </w:p>
        </w:tc>
        <w:tc>
          <w:tcPr>
            <w:tcW w:w="13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38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08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92"/>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290</w:t>
            </w:r>
          </w:p>
        </w:tc>
        <w:tc>
          <w:tcPr>
            <w:tcW w:w="90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3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583</w:t>
            </w:r>
          </w:p>
        </w:tc>
        <w:tc>
          <w:tcPr>
            <w:tcW w:w="108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561</w:t>
            </w: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1" w:right="68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7:  Allowance for Credit Losses</w:t>
      </w:r>
    </w:p>
    <w:p>
      <w:pPr>
        <w:spacing w:after="0" w:line="23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We recorded $833,000 in provision for credit losses for the three month period ended September 30, 2023, as compared to $710,000 for the three month period ended September 30, 2022. For the first nine months of 2023, we recorded $2.7 million in provision for credit losses compared to $871,000 in the first nine months of the prior year.</w:t>
      </w:r>
    </w:p>
    <w:p>
      <w:pPr>
        <w:spacing w:after="0" w:line="19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increase in provision for credit losses in in the three and nine months ended September 30, 2023, as compared to the same three and nine month periods in 2022, primarily reflected the recording of additional reserves related to two large loan relationships. The two loan relationships consisted of 19 loans, with aggregate outstanding balances of $11.5 million.</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December 31, 2022 the Company calculated its Allowance for Loan losses utilizing the Incurred Loss Model ("ILM") methodology, as required under generally accepted accounting principles ("GAAP") on that date. On January 1, 2023, the Company adopted the Current Expected Credit Loss ("CECL") model methodology in accordance with GAAP requirements that became effective on that date. At December 31, 2022 the Company had a total allowance for loan and lease losses ("ALLL") of $15.3 million, of which $4.8 million was related to specifically-identified loans and $10.5 million was related to loans analyzed collectively on an aggregate pool basis. On January 1, 2023 the Company recorded a one-time CECL transition adjustment (recorded as an adjustment, net of taxes, to retained earnings) of $1.9 million that reversed the $10.5 million in the December 31, 2022 ALLL, that was related to pooled loans, evaluated collectively in the aggregate, as previously calculated under the phased-out ILM methodology, and replaced it with the ACL, as calculated under CECL, in the amount of $12.4 million. The $12.4 million CECL ACL at January 1, 2023 was composed of $8.4 million in reserves calculated using quantitative methodologies based on historical loss experience and $4.0 million based on qualitative factors, as determined by management. The $4.8 million in ALLL related to specifically-identified loans at December 31, 2022 was not affected by the transition to the CECL methodology at January 1, 2023.</w:t>
      </w:r>
    </w:p>
    <w:p>
      <w:pPr>
        <w:spacing w:after="0" w:line="2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transition to CECL on January 1, 2023 also required that new reserves be created in the amounts of $450,000 and $552,000, related to held-to-maturity investments and unfunded commitments, respectively. Including the $1.9 million CECL transition adjustment related to loans, described above, the total CECL transition adjustment related to loans, securities classified as held-to-maturity and unfunded commitments was $ 2.9 million on January 1, 2023. This amount was recorded to retained earnings on that date and was not included in net income in 2023.</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total provision for credit losses ("PCL") for the three and nine months ended September 30, 2023 was $871,000 and $2.7 million, respectively, of which $798,000 and $2.7 million related to the Company's loan portfolio for the three and nine months ended September 30, 2023, respectively. The ACL related to loans was therefore $15.8 million at September 30, 2023, composed of $7.1 million related to specifically-identified loans, $4.8 million in reserves calculated using quantitative methodologies based on historical loss experience and $3.9 million based on qualitative factors, as determined by management. In addition, during the third quarter of 2023, the Company recorded modest PCL increases of $5,000 and $30,000 for reserves related to securities classified as held-to-maturity and unfunded commitments,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 activity related to the ACL from December 31, 2022 to September 30, 2023 and to the recorded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PCL for the three and nine months ended September 30, 2023: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89" w:right="70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228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7"/>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CECL</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0"/>
        </w:trPr>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Arial" w:cs="Arial" w:eastAsia="Arial" w:hAnsi="Arial"/>
                <w:sz w:val="16"/>
                <w:szCs w:val="16"/>
                <w:color w:val="auto"/>
              </w:rPr>
              <w:t>transiti</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gridSpan w:val="2"/>
          </w:tcPr>
          <w:p>
            <w:pPr>
              <w:jc w:val="center"/>
              <w:spacing w:after="0" w:line="180" w:lineRule="exact"/>
              <w:rPr>
                <w:sz w:val="20"/>
                <w:szCs w:val="20"/>
                <w:color w:val="auto"/>
              </w:rPr>
            </w:pPr>
            <w:r>
              <w:rPr>
                <w:rFonts w:ascii="Arial" w:cs="Arial" w:eastAsia="Arial" w:hAnsi="Arial"/>
                <w:sz w:val="16"/>
                <w:szCs w:val="16"/>
                <w:color w:val="auto"/>
              </w:rPr>
              <w:t>Q2</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82"/>
              <w:spacing w:after="0" w:line="180" w:lineRule="exact"/>
              <w:rPr>
                <w:sz w:val="20"/>
                <w:szCs w:val="20"/>
                <w:color w:val="auto"/>
              </w:rPr>
            </w:pPr>
            <w:r>
              <w:rPr>
                <w:rFonts w:ascii="Arial" w:cs="Arial" w:eastAsia="Arial" w:hAnsi="Arial"/>
                <w:sz w:val="16"/>
                <w:szCs w:val="16"/>
                <w:color w:val="auto"/>
              </w:rPr>
              <w:t>on</w:t>
            </w:r>
          </w:p>
        </w:tc>
        <w:tc>
          <w:tcPr>
            <w:tcW w:w="54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3"/>
              </w:rPr>
              <w:t>CECL</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7"/>
              </w:rPr>
              <w:t>202</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3"/>
              </w:rPr>
              <w:t>Q3</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adjust</w:t>
            </w:r>
          </w:p>
        </w:tc>
        <w:tc>
          <w:tcPr>
            <w:tcW w:w="54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6"/>
              </w:rPr>
              <w:t>ACL</w:t>
            </w:r>
          </w:p>
        </w:tc>
        <w:tc>
          <w:tcPr>
            <w:tcW w:w="160" w:type="dxa"/>
            <w:vAlign w:val="bottom"/>
          </w:tcPr>
          <w:p>
            <w:pPr>
              <w:spacing w:after="0"/>
              <w:rPr>
                <w:sz w:val="15"/>
                <w:szCs w:val="15"/>
                <w:color w:val="auto"/>
              </w:rPr>
            </w:pPr>
          </w:p>
        </w:tc>
        <w:tc>
          <w:tcPr>
            <w:tcW w:w="420" w:type="dxa"/>
            <w:vAlign w:val="bottom"/>
          </w:tcPr>
          <w:p>
            <w:pPr>
              <w:jc w:val="center"/>
              <w:ind w:right="82"/>
              <w:spacing w:after="0" w:line="180" w:lineRule="exact"/>
              <w:rPr>
                <w:sz w:val="20"/>
                <w:szCs w:val="20"/>
                <w:color w:val="auto"/>
              </w:rPr>
            </w:pPr>
            <w:r>
              <w:rPr>
                <w:rFonts w:ascii="Arial" w:cs="Arial" w:eastAsia="Arial" w:hAnsi="Arial"/>
                <w:sz w:val="16"/>
                <w:szCs w:val="16"/>
                <w:color w:val="auto"/>
              </w:rPr>
              <w:t>Q1</w:t>
            </w:r>
          </w:p>
        </w:tc>
        <w:tc>
          <w:tcPr>
            <w:tcW w:w="160" w:type="dxa"/>
            <w:vAlign w:val="bottom"/>
          </w:tcPr>
          <w:p>
            <w:pPr>
              <w:spacing w:after="0"/>
              <w:rPr>
                <w:sz w:val="15"/>
                <w:szCs w:val="15"/>
                <w:color w:val="auto"/>
              </w:rPr>
            </w:pPr>
          </w:p>
        </w:tc>
        <w:tc>
          <w:tcPr>
            <w:tcW w:w="46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3"/>
              </w:rPr>
              <w:t>Q1</w:t>
            </w:r>
          </w:p>
        </w:tc>
        <w:tc>
          <w:tcPr>
            <w:tcW w:w="440" w:type="dxa"/>
            <w:vAlign w:val="bottom"/>
            <w:gridSpan w:val="2"/>
          </w:tcPr>
          <w:p>
            <w:pPr>
              <w:jc w:val="center"/>
              <w:ind w:right="22"/>
              <w:spacing w:after="0" w:line="180" w:lineRule="exact"/>
              <w:rPr>
                <w:sz w:val="20"/>
                <w:szCs w:val="20"/>
                <w:color w:val="auto"/>
              </w:rPr>
            </w:pPr>
            <w:r>
              <w:rPr>
                <w:rFonts w:ascii="Arial" w:cs="Arial" w:eastAsia="Arial" w:hAnsi="Arial"/>
                <w:sz w:val="16"/>
                <w:szCs w:val="16"/>
                <w:color w:val="auto"/>
              </w:rPr>
              <w:t>Q1</w:t>
            </w:r>
          </w:p>
        </w:tc>
        <w:tc>
          <w:tcPr>
            <w:tcW w:w="60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CECL</w:t>
            </w:r>
          </w:p>
        </w:tc>
        <w:tc>
          <w:tcPr>
            <w:tcW w:w="180" w:type="dxa"/>
            <w:vAlign w:val="bottom"/>
          </w:tcPr>
          <w:p>
            <w:pPr>
              <w:spacing w:after="0"/>
              <w:rPr>
                <w:sz w:val="15"/>
                <w:szCs w:val="15"/>
                <w:color w:val="auto"/>
              </w:rPr>
            </w:pPr>
          </w:p>
        </w:tc>
        <w:tc>
          <w:tcPr>
            <w:tcW w:w="280" w:type="dxa"/>
            <w:vAlign w:val="bottom"/>
          </w:tcPr>
          <w:p>
            <w:pPr>
              <w:jc w:val="center"/>
              <w:ind w:right="102"/>
              <w:spacing w:after="0" w:line="180" w:lineRule="exact"/>
              <w:rPr>
                <w:sz w:val="20"/>
                <w:szCs w:val="20"/>
                <w:color w:val="auto"/>
              </w:rPr>
            </w:pPr>
            <w:r>
              <w:rPr>
                <w:rFonts w:ascii="Arial" w:cs="Arial" w:eastAsia="Arial" w:hAnsi="Arial"/>
                <w:sz w:val="16"/>
                <w:szCs w:val="16"/>
                <w:color w:val="auto"/>
              </w:rPr>
              <w:t>3</w:t>
            </w:r>
          </w:p>
        </w:tc>
        <w:tc>
          <w:tcPr>
            <w:tcW w:w="160" w:type="dxa"/>
            <w:vAlign w:val="bottom"/>
          </w:tcPr>
          <w:p>
            <w:pPr>
              <w:spacing w:after="0"/>
              <w:rPr>
                <w:sz w:val="15"/>
                <w:szCs w:val="15"/>
                <w:color w:val="auto"/>
              </w:rPr>
            </w:pPr>
          </w:p>
        </w:tc>
        <w:tc>
          <w:tcPr>
            <w:tcW w:w="44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3"/>
              </w:rPr>
              <w:t>Q2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CECL</w:t>
            </w:r>
          </w:p>
        </w:tc>
        <w:tc>
          <w:tcPr>
            <w:tcW w:w="48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2023</w:t>
            </w:r>
          </w:p>
        </w:tc>
        <w:tc>
          <w:tcPr>
            <w:tcW w:w="160" w:type="dxa"/>
            <w:vAlign w:val="bottom"/>
          </w:tcPr>
          <w:p>
            <w:pPr>
              <w:spacing w:after="0"/>
              <w:rPr>
                <w:sz w:val="15"/>
                <w:szCs w:val="15"/>
                <w:color w:val="auto"/>
              </w:rPr>
            </w:pPr>
          </w:p>
        </w:tc>
        <w:tc>
          <w:tcPr>
            <w:tcW w:w="44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3"/>
              </w:rPr>
              <w:t>Q3</w:t>
            </w:r>
          </w:p>
        </w:tc>
        <w:tc>
          <w:tcPr>
            <w:tcW w:w="420" w:type="dxa"/>
            <w:vAlign w:val="bottom"/>
            <w:gridSpan w:val="2"/>
          </w:tcPr>
          <w:p>
            <w:pPr>
              <w:jc w:val="center"/>
              <w:ind w:right="22"/>
              <w:spacing w:after="0" w:line="180" w:lineRule="exact"/>
              <w:rPr>
                <w:sz w:val="20"/>
                <w:szCs w:val="20"/>
                <w:color w:val="auto"/>
              </w:rPr>
            </w:pPr>
            <w:r>
              <w:rPr>
                <w:rFonts w:ascii="Arial" w:cs="Arial" w:eastAsia="Arial" w:hAnsi="Arial"/>
                <w:sz w:val="16"/>
                <w:szCs w:val="16"/>
                <w:color w:val="auto"/>
                <w:w w:val="93"/>
              </w:rPr>
              <w:t>Q3</w:t>
            </w:r>
          </w:p>
        </w:tc>
        <w:tc>
          <w:tcPr>
            <w:tcW w:w="600" w:type="dxa"/>
            <w:vAlign w:val="bottom"/>
            <w:gridSpan w:val="2"/>
          </w:tcPr>
          <w:p>
            <w:pPr>
              <w:jc w:val="right"/>
              <w:ind w:right="62"/>
              <w:spacing w:after="0" w:line="180" w:lineRule="exact"/>
              <w:rPr>
                <w:sz w:val="20"/>
                <w:szCs w:val="20"/>
                <w:color w:val="auto"/>
              </w:rPr>
            </w:pPr>
            <w:r>
              <w:rPr>
                <w:rFonts w:ascii="Arial" w:cs="Arial" w:eastAsia="Arial" w:hAnsi="Arial"/>
                <w:sz w:val="16"/>
                <w:szCs w:val="16"/>
                <w:color w:val="auto"/>
              </w:rPr>
              <w:t>CECL</w:t>
            </w:r>
          </w:p>
        </w:tc>
      </w:tr>
      <w:tr>
        <w:trPr>
          <w:trHeight w:val="180"/>
        </w:trPr>
        <w:tc>
          <w:tcPr>
            <w:tcW w:w="2280" w:type="dxa"/>
            <w:vAlign w:val="bottom"/>
          </w:tcPr>
          <w:p>
            <w:pPr>
              <w:spacing w:after="0"/>
              <w:rPr>
                <w:sz w:val="15"/>
                <w:szCs w:val="15"/>
                <w:color w:val="auto"/>
              </w:rPr>
            </w:pPr>
          </w:p>
        </w:tc>
        <w:tc>
          <w:tcPr>
            <w:tcW w:w="600" w:type="dxa"/>
            <w:vAlign w:val="bottom"/>
            <w:gridSpan w:val="2"/>
          </w:tcPr>
          <w:p>
            <w:pPr>
              <w:jc w:val="right"/>
              <w:ind w:right="142"/>
              <w:spacing w:after="0" w:line="180" w:lineRule="exact"/>
              <w:rPr>
                <w:sz w:val="20"/>
                <w:szCs w:val="20"/>
                <w:color w:val="auto"/>
              </w:rPr>
            </w:pPr>
            <w:r>
              <w:rPr>
                <w:rFonts w:ascii="Arial" w:cs="Arial" w:eastAsia="Arial" w:hAnsi="Arial"/>
                <w:sz w:val="16"/>
                <w:szCs w:val="16"/>
                <w:color w:val="auto"/>
              </w:rPr>
              <w:t>ILM</w:t>
            </w:r>
          </w:p>
        </w:tc>
        <w:tc>
          <w:tcPr>
            <w:tcW w:w="58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ment</w:t>
            </w:r>
          </w:p>
        </w:tc>
        <w:tc>
          <w:tcPr>
            <w:tcW w:w="140" w:type="dxa"/>
            <w:vAlign w:val="bottom"/>
          </w:tcPr>
          <w:p>
            <w:pPr>
              <w:spacing w:after="0"/>
              <w:rPr>
                <w:sz w:val="15"/>
                <w:szCs w:val="15"/>
                <w:color w:val="auto"/>
              </w:rPr>
            </w:pPr>
          </w:p>
        </w:tc>
        <w:tc>
          <w:tcPr>
            <w:tcW w:w="40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89"/>
              </w:rPr>
              <w:t>at</w:t>
            </w:r>
          </w:p>
        </w:tc>
        <w:tc>
          <w:tcPr>
            <w:tcW w:w="58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2023</w:t>
            </w:r>
          </w:p>
        </w:tc>
        <w:tc>
          <w:tcPr>
            <w:tcW w:w="62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2023</w:t>
            </w:r>
          </w:p>
        </w:tc>
        <w:tc>
          <w:tcPr>
            <w:tcW w:w="440" w:type="dxa"/>
            <w:vAlign w:val="bottom"/>
            <w:gridSpan w:val="2"/>
          </w:tcPr>
          <w:p>
            <w:pPr>
              <w:jc w:val="center"/>
              <w:ind w:right="22"/>
              <w:spacing w:after="0" w:line="180" w:lineRule="exact"/>
              <w:rPr>
                <w:sz w:val="20"/>
                <w:szCs w:val="20"/>
                <w:color w:val="auto"/>
              </w:rPr>
            </w:pPr>
            <w:r>
              <w:rPr>
                <w:rFonts w:ascii="Arial" w:cs="Arial" w:eastAsia="Arial" w:hAnsi="Arial"/>
                <w:sz w:val="16"/>
                <w:szCs w:val="16"/>
                <w:color w:val="auto"/>
                <w:w w:val="97"/>
              </w:rPr>
              <w:t>202</w:t>
            </w:r>
          </w:p>
        </w:tc>
        <w:tc>
          <w:tcPr>
            <w:tcW w:w="600" w:type="dxa"/>
            <w:vAlign w:val="bottom"/>
            <w:gridSpan w:val="2"/>
          </w:tcPr>
          <w:p>
            <w:pPr>
              <w:ind w:left="40"/>
              <w:spacing w:after="0" w:line="180" w:lineRule="exact"/>
              <w:rPr>
                <w:sz w:val="20"/>
                <w:szCs w:val="20"/>
                <w:color w:val="auto"/>
              </w:rPr>
            </w:pPr>
            <w:r>
              <w:rPr>
                <w:rFonts w:ascii="Arial" w:cs="Arial" w:eastAsia="Arial" w:hAnsi="Arial"/>
                <w:sz w:val="16"/>
                <w:szCs w:val="16"/>
                <w:color w:val="auto"/>
              </w:rPr>
              <w:t>ACL at</w:t>
            </w:r>
          </w:p>
        </w:tc>
        <w:tc>
          <w:tcPr>
            <w:tcW w:w="46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Char</w:t>
            </w:r>
          </w:p>
        </w:tc>
        <w:tc>
          <w:tcPr>
            <w:tcW w:w="60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2023</w:t>
            </w:r>
          </w:p>
        </w:tc>
        <w:tc>
          <w:tcPr>
            <w:tcW w:w="120" w:type="dxa"/>
            <w:vAlign w:val="bottom"/>
          </w:tcPr>
          <w:p>
            <w:pPr>
              <w:spacing w:after="0"/>
              <w:rPr>
                <w:sz w:val="15"/>
                <w:szCs w:val="15"/>
                <w:color w:val="auto"/>
              </w:rPr>
            </w:pPr>
          </w:p>
        </w:tc>
        <w:tc>
          <w:tcPr>
            <w:tcW w:w="44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3"/>
              </w:rPr>
              <w:t>Q2</w:t>
            </w:r>
          </w:p>
        </w:tc>
        <w:tc>
          <w:tcPr>
            <w:tcW w:w="600" w:type="dxa"/>
            <w:vAlign w:val="bottom"/>
            <w:gridSpan w:val="2"/>
          </w:tcPr>
          <w:p>
            <w:pPr>
              <w:ind w:left="40"/>
              <w:spacing w:after="0" w:line="180" w:lineRule="exact"/>
              <w:rPr>
                <w:sz w:val="20"/>
                <w:szCs w:val="20"/>
                <w:color w:val="auto"/>
              </w:rPr>
            </w:pPr>
            <w:r>
              <w:rPr>
                <w:rFonts w:ascii="Arial" w:cs="Arial" w:eastAsia="Arial" w:hAnsi="Arial"/>
                <w:sz w:val="16"/>
                <w:szCs w:val="16"/>
                <w:color w:val="auto"/>
              </w:rPr>
              <w:t>ACL at</w:t>
            </w:r>
          </w:p>
        </w:tc>
        <w:tc>
          <w:tcPr>
            <w:tcW w:w="48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7"/>
              </w:rPr>
              <w:t>Char</w:t>
            </w:r>
          </w:p>
        </w:tc>
        <w:tc>
          <w:tcPr>
            <w:tcW w:w="60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2023</w:t>
            </w:r>
          </w:p>
        </w:tc>
        <w:tc>
          <w:tcPr>
            <w:tcW w:w="420" w:type="dxa"/>
            <w:vAlign w:val="bottom"/>
            <w:gridSpan w:val="2"/>
          </w:tcPr>
          <w:p>
            <w:pPr>
              <w:jc w:val="center"/>
              <w:ind w:right="42"/>
              <w:spacing w:after="0" w:line="180" w:lineRule="exact"/>
              <w:rPr>
                <w:sz w:val="20"/>
                <w:szCs w:val="20"/>
                <w:color w:val="auto"/>
              </w:rPr>
            </w:pPr>
            <w:r>
              <w:rPr>
                <w:rFonts w:ascii="Arial" w:cs="Arial" w:eastAsia="Arial" w:hAnsi="Arial"/>
                <w:sz w:val="16"/>
                <w:szCs w:val="16"/>
                <w:color w:val="auto"/>
                <w:w w:val="97"/>
              </w:rPr>
              <w:t>202</w:t>
            </w:r>
          </w:p>
        </w:tc>
        <w:tc>
          <w:tcPr>
            <w:tcW w:w="60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ACL at</w:t>
            </w:r>
          </w:p>
        </w:tc>
      </w:tr>
      <w:tr>
        <w:trPr>
          <w:trHeight w:val="180"/>
        </w:trPr>
        <w:tc>
          <w:tcPr>
            <w:tcW w:w="2280" w:type="dxa"/>
            <w:vAlign w:val="bottom"/>
          </w:tcPr>
          <w:p>
            <w:pPr>
              <w:spacing w:after="0"/>
              <w:rPr>
                <w:sz w:val="15"/>
                <w:szCs w:val="15"/>
                <w:color w:val="auto"/>
              </w:rPr>
            </w:pPr>
          </w:p>
        </w:tc>
        <w:tc>
          <w:tcPr>
            <w:tcW w:w="60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12/31/</w:t>
            </w:r>
          </w:p>
        </w:tc>
        <w:tc>
          <w:tcPr>
            <w:tcW w:w="58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w w:val="98"/>
              </w:rPr>
              <w:t>1/1/20</w:t>
            </w:r>
          </w:p>
        </w:tc>
        <w:tc>
          <w:tcPr>
            <w:tcW w:w="540" w:type="dxa"/>
            <w:vAlign w:val="bottom"/>
            <w:gridSpan w:val="2"/>
          </w:tcPr>
          <w:p>
            <w:pPr>
              <w:jc w:val="right"/>
              <w:ind w:right="2"/>
              <w:spacing w:after="0" w:line="180" w:lineRule="exact"/>
              <w:rPr>
                <w:sz w:val="20"/>
                <w:szCs w:val="20"/>
                <w:color w:val="auto"/>
              </w:rPr>
            </w:pPr>
            <w:r>
              <w:rPr>
                <w:rFonts w:ascii="Arial" w:cs="Arial" w:eastAsia="Arial" w:hAnsi="Arial"/>
                <w:sz w:val="16"/>
                <w:szCs w:val="16"/>
                <w:color w:val="auto"/>
                <w:w w:val="98"/>
              </w:rPr>
              <w:t>1/1/20</w:t>
            </w:r>
          </w:p>
        </w:tc>
        <w:tc>
          <w:tcPr>
            <w:tcW w:w="580" w:type="dxa"/>
            <w:vAlign w:val="bottom"/>
            <w:gridSpan w:val="2"/>
          </w:tcPr>
          <w:p>
            <w:pPr>
              <w:ind w:left="80"/>
              <w:spacing w:after="0" w:line="180" w:lineRule="exact"/>
              <w:rPr>
                <w:sz w:val="20"/>
                <w:szCs w:val="20"/>
                <w:color w:val="auto"/>
              </w:rPr>
            </w:pPr>
            <w:r>
              <w:rPr>
                <w:rFonts w:ascii="Arial" w:cs="Arial" w:eastAsia="Arial" w:hAnsi="Arial"/>
                <w:sz w:val="16"/>
                <w:szCs w:val="16"/>
                <w:color w:val="auto"/>
              </w:rPr>
              <w:t>Charg</w:t>
            </w:r>
          </w:p>
        </w:tc>
        <w:tc>
          <w:tcPr>
            <w:tcW w:w="62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Reco</w:t>
            </w:r>
          </w:p>
        </w:tc>
        <w:tc>
          <w:tcPr>
            <w:tcW w:w="100" w:type="dxa"/>
            <w:vAlign w:val="bottom"/>
          </w:tcPr>
          <w:p>
            <w:pPr>
              <w:spacing w:after="0"/>
              <w:rPr>
                <w:sz w:val="15"/>
                <w:szCs w:val="15"/>
                <w:color w:val="auto"/>
              </w:rPr>
            </w:pPr>
          </w:p>
        </w:tc>
        <w:tc>
          <w:tcPr>
            <w:tcW w:w="34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89"/>
              </w:rPr>
              <w:t>3</w:t>
            </w:r>
          </w:p>
        </w:tc>
        <w:tc>
          <w:tcPr>
            <w:tcW w:w="600" w:type="dxa"/>
            <w:vAlign w:val="bottom"/>
            <w:gridSpan w:val="2"/>
          </w:tcPr>
          <w:p>
            <w:pPr>
              <w:jc w:val="right"/>
              <w:spacing w:after="0" w:line="180" w:lineRule="exact"/>
              <w:rPr>
                <w:sz w:val="20"/>
                <w:szCs w:val="20"/>
                <w:color w:val="auto"/>
              </w:rPr>
            </w:pPr>
            <w:r>
              <w:rPr>
                <w:rFonts w:ascii="Arial" w:cs="Arial" w:eastAsia="Arial" w:hAnsi="Arial"/>
                <w:sz w:val="16"/>
                <w:szCs w:val="16"/>
                <w:color w:val="auto"/>
                <w:w w:val="97"/>
              </w:rPr>
              <w:t>3/31/20</w:t>
            </w:r>
          </w:p>
        </w:tc>
        <w:tc>
          <w:tcPr>
            <w:tcW w:w="46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ge-</w:t>
            </w:r>
          </w:p>
        </w:tc>
        <w:tc>
          <w:tcPr>
            <w:tcW w:w="600" w:type="dxa"/>
            <w:vAlign w:val="bottom"/>
            <w:gridSpan w:val="2"/>
          </w:tcPr>
          <w:p>
            <w:pPr>
              <w:jc w:val="right"/>
              <w:ind w:right="62"/>
              <w:spacing w:after="0" w:line="180" w:lineRule="exact"/>
              <w:rPr>
                <w:sz w:val="20"/>
                <w:szCs w:val="20"/>
                <w:color w:val="auto"/>
              </w:rPr>
            </w:pPr>
            <w:r>
              <w:rPr>
                <w:rFonts w:ascii="Arial" w:cs="Arial" w:eastAsia="Arial" w:hAnsi="Arial"/>
                <w:sz w:val="16"/>
                <w:szCs w:val="16"/>
                <w:color w:val="auto"/>
              </w:rPr>
              <w:t>Reco</w:t>
            </w:r>
          </w:p>
        </w:tc>
        <w:tc>
          <w:tcPr>
            <w:tcW w:w="56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2023</w:t>
            </w:r>
          </w:p>
        </w:tc>
        <w:tc>
          <w:tcPr>
            <w:tcW w:w="60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6/30/2</w:t>
            </w:r>
          </w:p>
        </w:tc>
        <w:tc>
          <w:tcPr>
            <w:tcW w:w="48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4"/>
              </w:rPr>
              <w:t>ge-</w:t>
            </w:r>
          </w:p>
        </w:tc>
        <w:tc>
          <w:tcPr>
            <w:tcW w:w="600" w:type="dxa"/>
            <w:vAlign w:val="bottom"/>
            <w:gridSpan w:val="2"/>
          </w:tcPr>
          <w:p>
            <w:pPr>
              <w:jc w:val="right"/>
              <w:ind w:right="62"/>
              <w:spacing w:after="0" w:line="180" w:lineRule="exact"/>
              <w:rPr>
                <w:sz w:val="20"/>
                <w:szCs w:val="20"/>
                <w:color w:val="auto"/>
              </w:rPr>
            </w:pPr>
            <w:r>
              <w:rPr>
                <w:rFonts w:ascii="Arial" w:cs="Arial" w:eastAsia="Arial" w:hAnsi="Arial"/>
                <w:sz w:val="16"/>
                <w:szCs w:val="16"/>
                <w:color w:val="auto"/>
              </w:rPr>
              <w:t>Reco</w:t>
            </w:r>
          </w:p>
        </w:tc>
        <w:tc>
          <w:tcPr>
            <w:tcW w:w="100" w:type="dxa"/>
            <w:vAlign w:val="bottom"/>
          </w:tcPr>
          <w:p>
            <w:pPr>
              <w:spacing w:after="0"/>
              <w:rPr>
                <w:sz w:val="15"/>
                <w:szCs w:val="15"/>
                <w:color w:val="auto"/>
              </w:rPr>
            </w:pPr>
          </w:p>
        </w:tc>
        <w:tc>
          <w:tcPr>
            <w:tcW w:w="32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89"/>
              </w:rPr>
              <w:t>3</w:t>
            </w:r>
          </w:p>
        </w:tc>
        <w:tc>
          <w:tcPr>
            <w:tcW w:w="600" w:type="dxa"/>
            <w:vAlign w:val="bottom"/>
            <w:gridSpan w:val="2"/>
          </w:tcPr>
          <w:p>
            <w:pPr>
              <w:jc w:val="right"/>
              <w:ind w:right="42"/>
              <w:spacing w:after="0" w:line="180" w:lineRule="exact"/>
              <w:rPr>
                <w:sz w:val="20"/>
                <w:szCs w:val="20"/>
                <w:color w:val="auto"/>
              </w:rPr>
            </w:pPr>
            <w:r>
              <w:rPr>
                <w:rFonts w:ascii="Arial" w:cs="Arial" w:eastAsia="Arial" w:hAnsi="Arial"/>
                <w:sz w:val="16"/>
                <w:szCs w:val="16"/>
                <w:color w:val="auto"/>
              </w:rPr>
              <w:t>9/30/2</w:t>
            </w:r>
          </w:p>
        </w:tc>
      </w:tr>
      <w:tr>
        <w:trPr>
          <w:trHeight w:val="198"/>
        </w:trPr>
        <w:tc>
          <w:tcPr>
            <w:tcW w:w="2280" w:type="dxa"/>
            <w:vAlign w:val="bottom"/>
          </w:tcPr>
          <w:p>
            <w:pPr>
              <w:ind w:left="20"/>
              <w:spacing w:after="0"/>
              <w:rPr>
                <w:sz w:val="20"/>
                <w:szCs w:val="20"/>
                <w:color w:val="auto"/>
              </w:rPr>
            </w:pPr>
            <w:r>
              <w:rPr>
                <w:rFonts w:ascii="Arial" w:cs="Arial" w:eastAsia="Arial" w:hAnsi="Arial"/>
                <w:sz w:val="16"/>
                <w:szCs w:val="16"/>
                <w:color w:val="auto"/>
              </w:rPr>
              <w:t>ACL - loans</w:t>
            </w:r>
          </w:p>
        </w:tc>
        <w:tc>
          <w:tcPr>
            <w:tcW w:w="600" w:type="dxa"/>
            <w:vAlign w:val="bottom"/>
            <w:gridSpan w:val="2"/>
          </w:tcPr>
          <w:p>
            <w:pPr>
              <w:jc w:val="right"/>
              <w:ind w:right="82"/>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7"/>
                <w:szCs w:val="17"/>
                <w:color w:val="auto"/>
              </w:rPr>
            </w:pPr>
          </w:p>
        </w:tc>
        <w:tc>
          <w:tcPr>
            <w:tcW w:w="480" w:type="dxa"/>
            <w:vAlign w:val="bottom"/>
          </w:tcPr>
          <w:p>
            <w:pPr>
              <w:jc w:val="right"/>
              <w:ind w:right="182"/>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400" w:type="dxa"/>
            <w:vAlign w:val="bottom"/>
          </w:tcPr>
          <w:p>
            <w:pPr>
              <w:jc w:val="center"/>
              <w:ind w:right="102"/>
              <w:spacing w:after="0"/>
              <w:rPr>
                <w:sz w:val="20"/>
                <w:szCs w:val="20"/>
                <w:color w:val="auto"/>
              </w:rPr>
            </w:pPr>
            <w:r>
              <w:rPr>
                <w:rFonts w:ascii="Arial" w:cs="Arial" w:eastAsia="Arial" w:hAnsi="Arial"/>
                <w:sz w:val="16"/>
                <w:szCs w:val="16"/>
                <w:color w:val="auto"/>
              </w:rPr>
              <w:t>23</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e-offs</w:t>
            </w:r>
          </w:p>
        </w:tc>
        <w:tc>
          <w:tcPr>
            <w:tcW w:w="620" w:type="dxa"/>
            <w:vAlign w:val="bottom"/>
            <w:gridSpan w:val="2"/>
          </w:tcPr>
          <w:p>
            <w:pPr>
              <w:ind w:left="80"/>
              <w:spacing w:after="0"/>
              <w:rPr>
                <w:sz w:val="20"/>
                <w:szCs w:val="20"/>
                <w:color w:val="auto"/>
              </w:rPr>
            </w:pPr>
            <w:r>
              <w:rPr>
                <w:rFonts w:ascii="Arial" w:cs="Arial" w:eastAsia="Arial" w:hAnsi="Arial"/>
                <w:sz w:val="16"/>
                <w:szCs w:val="16"/>
                <w:color w:val="auto"/>
              </w:rPr>
              <w:t>veries</w:t>
            </w: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PCL</w:t>
            </w:r>
          </w:p>
        </w:tc>
        <w:tc>
          <w:tcPr>
            <w:tcW w:w="120" w:type="dxa"/>
            <w:vAlign w:val="bottom"/>
          </w:tcPr>
          <w:p>
            <w:pPr>
              <w:spacing w:after="0"/>
              <w:rPr>
                <w:sz w:val="17"/>
                <w:szCs w:val="17"/>
                <w:color w:val="auto"/>
              </w:rPr>
            </w:pPr>
          </w:p>
        </w:tc>
        <w:tc>
          <w:tcPr>
            <w:tcW w:w="480" w:type="dxa"/>
            <w:vAlign w:val="bottom"/>
          </w:tcPr>
          <w:p>
            <w:pPr>
              <w:jc w:val="right"/>
              <w:ind w:right="162"/>
              <w:spacing w:after="0"/>
              <w:rPr>
                <w:sz w:val="20"/>
                <w:szCs w:val="20"/>
                <w:color w:val="auto"/>
              </w:rPr>
            </w:pPr>
            <w:r>
              <w:rPr>
                <w:rFonts w:ascii="Arial" w:cs="Arial" w:eastAsia="Arial" w:hAnsi="Arial"/>
                <w:sz w:val="16"/>
                <w:szCs w:val="16"/>
                <w:color w:val="auto"/>
              </w:rPr>
              <w:t>23</w:t>
            </w:r>
          </w:p>
        </w:tc>
        <w:tc>
          <w:tcPr>
            <w:tcW w:w="460" w:type="dxa"/>
            <w:vAlign w:val="bottom"/>
            <w:gridSpan w:val="2"/>
          </w:tcPr>
          <w:p>
            <w:pPr>
              <w:jc w:val="right"/>
              <w:ind w:right="22"/>
              <w:spacing w:after="0"/>
              <w:rPr>
                <w:sz w:val="20"/>
                <w:szCs w:val="20"/>
                <w:color w:val="auto"/>
              </w:rPr>
            </w:pPr>
            <w:r>
              <w:rPr>
                <w:rFonts w:ascii="Arial" w:cs="Arial" w:eastAsia="Arial" w:hAnsi="Arial"/>
                <w:sz w:val="16"/>
                <w:szCs w:val="16"/>
                <w:color w:val="auto"/>
              </w:rPr>
              <w:t>offs</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veries</w:t>
            </w:r>
          </w:p>
        </w:tc>
        <w:tc>
          <w:tcPr>
            <w:tcW w:w="560" w:type="dxa"/>
            <w:vAlign w:val="bottom"/>
            <w:gridSpan w:val="2"/>
          </w:tcPr>
          <w:p>
            <w:pPr>
              <w:jc w:val="right"/>
              <w:ind w:right="102"/>
              <w:spacing w:after="0"/>
              <w:rPr>
                <w:sz w:val="20"/>
                <w:szCs w:val="20"/>
                <w:color w:val="auto"/>
              </w:rPr>
            </w:pPr>
            <w:r>
              <w:rPr>
                <w:rFonts w:ascii="Arial" w:cs="Arial" w:eastAsia="Arial" w:hAnsi="Arial"/>
                <w:sz w:val="16"/>
                <w:szCs w:val="16"/>
                <w:color w:val="auto"/>
              </w:rPr>
              <w:t>PCL</w:t>
            </w:r>
          </w:p>
        </w:tc>
        <w:tc>
          <w:tcPr>
            <w:tcW w:w="120" w:type="dxa"/>
            <w:vAlign w:val="bottom"/>
          </w:tcPr>
          <w:p>
            <w:pPr>
              <w:spacing w:after="0"/>
              <w:rPr>
                <w:sz w:val="17"/>
                <w:szCs w:val="17"/>
                <w:color w:val="auto"/>
              </w:rPr>
            </w:pPr>
          </w:p>
        </w:tc>
        <w:tc>
          <w:tcPr>
            <w:tcW w:w="480" w:type="dxa"/>
            <w:vAlign w:val="bottom"/>
          </w:tcPr>
          <w:p>
            <w:pPr>
              <w:jc w:val="right"/>
              <w:ind w:right="122"/>
              <w:spacing w:after="0"/>
              <w:rPr>
                <w:sz w:val="20"/>
                <w:szCs w:val="20"/>
                <w:color w:val="auto"/>
              </w:rPr>
            </w:pPr>
            <w:r>
              <w:rPr>
                <w:rFonts w:ascii="Arial" w:cs="Arial" w:eastAsia="Arial" w:hAnsi="Arial"/>
                <w:sz w:val="16"/>
                <w:szCs w:val="16"/>
                <w:color w:val="auto"/>
                <w:w w:val="97"/>
              </w:rPr>
              <w:t>023</w:t>
            </w: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92"/>
              </w:rPr>
              <w:t>offs</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veries</w:t>
            </w:r>
          </w:p>
        </w:tc>
        <w:tc>
          <w:tcPr>
            <w:tcW w:w="420" w:type="dxa"/>
            <w:vAlign w:val="bottom"/>
            <w:gridSpan w:val="2"/>
          </w:tcPr>
          <w:p>
            <w:pPr>
              <w:spacing w:after="0"/>
              <w:rPr>
                <w:sz w:val="20"/>
                <w:szCs w:val="20"/>
                <w:color w:val="auto"/>
              </w:rPr>
            </w:pPr>
            <w:r>
              <w:rPr>
                <w:rFonts w:ascii="Arial" w:cs="Arial" w:eastAsia="Arial" w:hAnsi="Arial"/>
                <w:sz w:val="16"/>
                <w:szCs w:val="16"/>
                <w:color w:val="auto"/>
              </w:rPr>
              <w:t>PCL</w:t>
            </w:r>
          </w:p>
        </w:tc>
        <w:tc>
          <w:tcPr>
            <w:tcW w:w="100" w:type="dxa"/>
            <w:vAlign w:val="bottom"/>
          </w:tcPr>
          <w:p>
            <w:pPr>
              <w:spacing w:after="0"/>
              <w:rPr>
                <w:sz w:val="17"/>
                <w:szCs w:val="17"/>
                <w:color w:val="auto"/>
              </w:rPr>
            </w:pPr>
          </w:p>
        </w:tc>
        <w:tc>
          <w:tcPr>
            <w:tcW w:w="500" w:type="dxa"/>
            <w:vAlign w:val="bottom"/>
          </w:tcPr>
          <w:p>
            <w:pPr>
              <w:jc w:val="right"/>
              <w:ind w:right="142"/>
              <w:spacing w:after="0"/>
              <w:rPr>
                <w:sz w:val="20"/>
                <w:szCs w:val="20"/>
                <w:color w:val="auto"/>
              </w:rPr>
            </w:pPr>
            <w:r>
              <w:rPr>
                <w:rFonts w:ascii="Arial" w:cs="Arial" w:eastAsia="Arial" w:hAnsi="Arial"/>
                <w:sz w:val="16"/>
                <w:szCs w:val="16"/>
                <w:color w:val="auto"/>
                <w:w w:val="97"/>
              </w:rPr>
              <w:t>023</w:t>
            </w:r>
          </w:p>
        </w:tc>
      </w:tr>
      <w:tr>
        <w:trPr>
          <w:trHeight w:val="186"/>
        </w:trPr>
        <w:tc>
          <w:tcPr>
            <w:tcW w:w="2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6"/>
              </w:rPr>
              <w:t>4,79</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r>
      <w:tr>
        <w:trPr>
          <w:trHeight w:val="199"/>
        </w:trPr>
        <w:tc>
          <w:tcPr>
            <w:tcW w:w="2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Specifically-identified loans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5,627</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94"/>
              </w:rPr>
              <w:t>6,368</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94"/>
              </w:rPr>
              <w:t>7,060</w:t>
            </w:r>
          </w:p>
        </w:tc>
      </w:tr>
      <w:tr>
        <w:trPr>
          <w:trHeight w:val="185"/>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w w:val="96"/>
              </w:rPr>
              <w:t>10,5</w:t>
            </w:r>
          </w:p>
        </w:tc>
        <w:tc>
          <w:tcPr>
            <w:tcW w:w="10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w w:val="93"/>
              </w:rPr>
              <w:t>(10,5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6"/>
                <w:szCs w:val="16"/>
                <w:color w:val="auto"/>
              </w:rPr>
              <w:t>Pooled loans under ILM</w:t>
            </w:r>
          </w:p>
        </w:tc>
        <w:tc>
          <w:tcPr>
            <w:tcW w:w="160" w:type="dxa"/>
            <w:vAlign w:val="bottom"/>
          </w:tcPr>
          <w:p>
            <w:pPr>
              <w:spacing w:after="0"/>
              <w:rPr>
                <w:sz w:val="17"/>
                <w:szCs w:val="17"/>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2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Pooled loans under CECL -</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3,8</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r>
      <w:tr>
        <w:trPr>
          <w:trHeight w:val="199"/>
        </w:trPr>
        <w:tc>
          <w:tcPr>
            <w:tcW w:w="2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Quantitative</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8,691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(106 )</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94"/>
              </w:rPr>
              <w:t>8,592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94"/>
              </w:rPr>
              <w:t>4,780</w:t>
            </w:r>
          </w:p>
        </w:tc>
      </w:tr>
      <w:tr>
        <w:trPr>
          <w:trHeight w:val="185"/>
        </w:trPr>
        <w:tc>
          <w:tcPr>
            <w:tcW w:w="2280" w:type="dxa"/>
            <w:vAlign w:val="bottom"/>
          </w:tcPr>
          <w:p>
            <w:pPr>
              <w:ind w:left="20"/>
              <w:spacing w:after="0"/>
              <w:rPr>
                <w:sz w:val="20"/>
                <w:szCs w:val="20"/>
                <w:color w:val="auto"/>
              </w:rPr>
            </w:pPr>
            <w:r>
              <w:rPr>
                <w:rFonts w:ascii="Arial" w:cs="Arial" w:eastAsia="Arial" w:hAnsi="Arial"/>
                <w:sz w:val="16"/>
                <w:szCs w:val="16"/>
                <w:color w:val="auto"/>
              </w:rPr>
              <w:t>Pooled loans under CECL -</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3,96</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ind w:right="22"/>
              <w:spacing w:after="0"/>
              <w:rPr>
                <w:sz w:val="20"/>
                <w:szCs w:val="20"/>
                <w:color w:val="auto"/>
              </w:rPr>
            </w:pPr>
            <w:r>
              <w:rPr>
                <w:rFonts w:ascii="Arial" w:cs="Arial" w:eastAsia="Arial" w:hAnsi="Arial"/>
                <w:sz w:val="16"/>
                <w:szCs w:val="16"/>
                <w:color w:val="auto"/>
                <w:w w:val="94"/>
              </w:rPr>
              <w:t>(39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6"/>
                <w:szCs w:val="16"/>
                <w:color w:val="auto"/>
              </w:rPr>
              <w:t>Qualitative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3,549</w:t>
            </w: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w w:val="94"/>
              </w:rPr>
              <w:t>3,836</w:t>
            </w: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Arial" w:cs="Arial" w:eastAsia="Arial" w:hAnsi="Arial"/>
                <w:sz w:val="16"/>
                <w:szCs w:val="16"/>
                <w:color w:val="auto"/>
                <w:w w:val="94"/>
              </w:rPr>
              <w:t>3,925</w:t>
            </w:r>
          </w:p>
        </w:tc>
      </w:tr>
      <w:tr>
        <w:trPr>
          <w:trHeight w:val="186"/>
        </w:trPr>
        <w:tc>
          <w:tcPr>
            <w:tcW w:w="2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6"/>
              </w:rPr>
              <w:t>15,3</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1,88</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17,86</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94"/>
              </w:rPr>
              <w:t>18,79</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3,8</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94"/>
              </w:rPr>
              <w:t>15,76</w:t>
            </w:r>
          </w:p>
        </w:tc>
      </w:tr>
      <w:tr>
        <w:trPr>
          <w:trHeight w:val="199"/>
        </w:trPr>
        <w:tc>
          <w:tcPr>
            <w:tcW w:w="2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ACL related to loans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w:t>
            </w:r>
          </w:p>
        </w:tc>
      </w:tr>
      <w:tr>
        <w:trPr>
          <w:trHeight w:val="204"/>
        </w:trPr>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5"/>
        </w:trPr>
        <w:tc>
          <w:tcPr>
            <w:tcW w:w="22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ACL - related to held-to-maturity</w:t>
            </w: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r>
      <w:tr>
        <w:trPr>
          <w:trHeight w:val="199"/>
        </w:trPr>
        <w:tc>
          <w:tcPr>
            <w:tcW w:w="2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 (1)</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450</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450</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421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426</w:t>
            </w:r>
          </w:p>
        </w:tc>
      </w:tr>
      <w:tr>
        <w:trPr>
          <w:trHeight w:val="185"/>
        </w:trPr>
        <w:tc>
          <w:tcPr>
            <w:tcW w:w="2280" w:type="dxa"/>
            <w:vAlign w:val="bottom"/>
          </w:tcPr>
          <w:p>
            <w:pPr>
              <w:ind w:left="20"/>
              <w:spacing w:after="0"/>
              <w:rPr>
                <w:sz w:val="20"/>
                <w:szCs w:val="20"/>
                <w:color w:val="auto"/>
              </w:rPr>
            </w:pPr>
            <w:r>
              <w:rPr>
                <w:rFonts w:ascii="Arial" w:cs="Arial" w:eastAsia="Arial" w:hAnsi="Arial"/>
                <w:sz w:val="16"/>
                <w:szCs w:val="16"/>
                <w:color w:val="auto"/>
              </w:rPr>
              <w:t>ACL - related to unfunded</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6"/>
                <w:szCs w:val="16"/>
                <w:color w:val="auto"/>
              </w:rPr>
              <w:t>commitments (2)</w:t>
            </w:r>
          </w:p>
        </w:tc>
        <w:tc>
          <w:tcPr>
            <w:tcW w:w="160" w:type="dxa"/>
            <w:vAlign w:val="bottom"/>
          </w:tcPr>
          <w:p>
            <w:pPr>
              <w:spacing w:after="0"/>
              <w:rPr>
                <w:sz w:val="17"/>
                <w:szCs w:val="17"/>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552</w:t>
            </w:r>
          </w:p>
        </w:tc>
        <w:tc>
          <w:tcPr>
            <w:tcW w:w="14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552</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552</w:t>
            </w: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536</w:t>
            </w: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500" w:type="dxa"/>
            <w:vAlign w:val="bottom"/>
          </w:tcPr>
          <w:p>
            <w:pPr>
              <w:jc w:val="right"/>
              <w:ind w:right="22"/>
              <w:spacing w:after="0"/>
              <w:rPr>
                <w:sz w:val="20"/>
                <w:szCs w:val="20"/>
                <w:color w:val="auto"/>
              </w:rPr>
            </w:pPr>
            <w:r>
              <w:rPr>
                <w:rFonts w:ascii="Arial" w:cs="Arial" w:eastAsia="Arial" w:hAnsi="Arial"/>
                <w:sz w:val="16"/>
                <w:szCs w:val="16"/>
                <w:color w:val="auto"/>
              </w:rPr>
              <w:t>566</w:t>
            </w:r>
          </w:p>
        </w:tc>
      </w:tr>
      <w:tr>
        <w:trPr>
          <w:trHeight w:val="186"/>
        </w:trPr>
        <w:tc>
          <w:tcPr>
            <w:tcW w:w="2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2,88</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r>
      <w:tr>
        <w:trPr>
          <w:trHeight w:val="238"/>
        </w:trPr>
        <w:tc>
          <w:tcPr>
            <w:tcW w:w="2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r>
    </w:tbl>
    <w:p>
      <w:pPr>
        <w:spacing w:after="0" w:line="209" w:lineRule="exact"/>
        <w:rPr>
          <w:sz w:val="20"/>
          <w:szCs w:val="20"/>
          <w:color w:val="auto"/>
        </w:rPr>
      </w:pPr>
    </w:p>
    <w:p>
      <w:pPr>
        <w:ind w:left="240" w:hanging="234"/>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Reported on the Statements of Financial Condition as an adjustment to held-to-maturity investment securities</w:t>
      </w:r>
    </w:p>
    <w:p>
      <w:pPr>
        <w:spacing w:after="0" w:line="6" w:lineRule="exact"/>
        <w:rPr>
          <w:rFonts w:ascii="Arial" w:cs="Arial" w:eastAsia="Arial" w:hAnsi="Arial"/>
          <w:sz w:val="16"/>
          <w:szCs w:val="16"/>
          <w:color w:val="auto"/>
        </w:rPr>
      </w:pPr>
    </w:p>
    <w:p>
      <w:pPr>
        <w:ind w:left="240" w:hanging="234"/>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Reported on the Statements of Financial Condition as an adjustment to other liabilities</w:t>
      </w:r>
    </w:p>
    <w:p>
      <w:pPr>
        <w:spacing w:after="0" w:line="338" w:lineRule="exact"/>
        <w:rPr>
          <w:rFonts w:ascii="Arial" w:cs="Arial" w:eastAsia="Arial" w:hAnsi="Arial"/>
          <w:sz w:val="16"/>
          <w:szCs w:val="16"/>
          <w:color w:val="auto"/>
        </w:rPr>
      </w:pPr>
    </w:p>
    <w:p>
      <w:pPr>
        <w:ind w:left="5200" w:hanging="93"/>
        <w:spacing w:after="0"/>
        <w:tabs>
          <w:tab w:leader="none" w:pos="520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28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20" w:right="680" w:bottom="1440" w:gutter="0" w:footer="0" w:header="0"/>
        </w:sectPr>
      </w:pPr>
    </w:p>
    <w:bookmarkStart w:id="28" w:name="page29"/>
    <w:bookmarkEnd w:id="28"/>
    <w:p>
      <w:pPr>
        <w:ind w:right="140"/>
        <w:spacing w:after="0" w:line="259" w:lineRule="auto"/>
        <w:rPr>
          <w:sz w:val="20"/>
          <w:szCs w:val="20"/>
          <w:color w:val="auto"/>
        </w:rPr>
      </w:pPr>
      <w:r>
        <w:rPr>
          <w:rFonts w:ascii="Arial" w:cs="Arial" w:eastAsia="Arial" w:hAnsi="Arial"/>
          <w:sz w:val="18"/>
          <w:szCs w:val="18"/>
          <w:color w:val="auto"/>
        </w:rPr>
        <w:t>Summarized in the tables below are changes in the allowance for credit losses for loans for the indicated periods and information pertaining to the allocation of the balances of the credit losses, loans receivable based on individual, and collective impairment evaluation by loan portfolio class. An allocation of a portion of the allowance to a given portfolio class does not limit the Company’s ability to absorb losses in another portfolio class.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gridSpan w:val="6"/>
          </w:tcPr>
          <w:p>
            <w:pPr>
              <w:jc w:val="right"/>
              <w:spacing w:after="0"/>
              <w:rPr>
                <w:sz w:val="20"/>
                <w:szCs w:val="20"/>
                <w:color w:val="auto"/>
              </w:rPr>
            </w:pPr>
            <w:r>
              <w:rPr>
                <w:rFonts w:ascii="Arial" w:cs="Arial" w:eastAsia="Arial" w:hAnsi="Arial"/>
                <w:sz w:val="14"/>
                <w:szCs w:val="14"/>
                <w:color w:val="auto"/>
              </w:rPr>
              <w:t>For the three months ended September 30, 2023</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 family</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first-lien</w:t>
            </w:r>
          </w:p>
        </w:tc>
        <w:tc>
          <w:tcPr>
            <w:tcW w:w="2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Paycheck</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construction</w:t>
            </w:r>
          </w:p>
        </w:tc>
        <w:tc>
          <w:tcPr>
            <w:tcW w:w="1140" w:type="dxa"/>
            <w:vAlign w:val="bottom"/>
            <w:gridSpan w:val="2"/>
          </w:tcPr>
          <w:p>
            <w:pPr>
              <w:jc w:val="right"/>
              <w:ind w:right="108"/>
              <w:spacing w:after="0"/>
              <w:rPr>
                <w:sz w:val="20"/>
                <w:szCs w:val="20"/>
                <w:color w:val="auto"/>
              </w:rPr>
            </w:pPr>
            <w:r>
              <w:rPr>
                <w:rFonts w:ascii="Arial" w:cs="Arial" w:eastAsia="Arial" w:hAnsi="Arial"/>
                <w:sz w:val="14"/>
                <w:szCs w:val="14"/>
                <w:color w:val="auto"/>
              </w:rPr>
              <w:t>Commercial</w:t>
            </w:r>
          </w:p>
        </w:tc>
        <w:tc>
          <w:tcPr>
            <w:tcW w:w="4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Protection</w:t>
            </w:r>
          </w:p>
        </w:tc>
        <w:tc>
          <w:tcPr>
            <w:tcW w:w="0" w:type="dxa"/>
            <w:vAlign w:val="bottom"/>
          </w:tcPr>
          <w:p>
            <w:pPr>
              <w:spacing w:after="0"/>
              <w:rPr>
                <w:sz w:val="1"/>
                <w:szCs w:val="1"/>
                <w:color w:val="auto"/>
              </w:rPr>
            </w:pPr>
          </w:p>
        </w:tc>
      </w:tr>
      <w:tr>
        <w:trPr>
          <w:trHeight w:val="195"/>
        </w:trPr>
        <w:tc>
          <w:tcPr>
            <w:tcW w:w="2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mortgage</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real estate</w:t>
            </w:r>
          </w:p>
        </w:tc>
        <w:tc>
          <w:tcPr>
            <w:tcW w:w="4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lines of credit</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and industrial</w:t>
            </w:r>
          </w:p>
        </w:tc>
        <w:tc>
          <w:tcPr>
            <w:tcW w:w="3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Program</w:t>
            </w:r>
          </w:p>
        </w:tc>
        <w:tc>
          <w:tcPr>
            <w:tcW w:w="0" w:type="dxa"/>
            <w:vAlign w:val="bottom"/>
          </w:tcPr>
          <w:p>
            <w:pPr>
              <w:spacing w:after="0"/>
              <w:rPr>
                <w:sz w:val="1"/>
                <w:szCs w:val="1"/>
                <w:color w:val="auto"/>
              </w:rPr>
            </w:pPr>
          </w:p>
        </w:tc>
      </w:tr>
      <w:tr>
        <w:trPr>
          <w:trHeight w:val="20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7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2,036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5,431</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2,620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5,192</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(60 )</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(1,230 )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(2,499 )</w:t>
            </w: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4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238</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(401 )</w:t>
            </w:r>
          </w:p>
        </w:tc>
        <w:tc>
          <w:tcPr>
            <w:tcW w:w="4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483</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343</w:t>
            </w: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60" w:type="dxa"/>
            <w:vAlign w:val="bottom"/>
            <w:vMerge w:val="restart"/>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2,007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872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5,054</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3,041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27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598</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1,564</w:t>
            </w:r>
          </w:p>
        </w:tc>
        <w:tc>
          <w:tcPr>
            <w:tcW w:w="3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4,456</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780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1,477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252,956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362,822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73,497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85,506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1,681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11,525</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2,052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6,759</w:t>
            </w:r>
          </w:p>
        </w:tc>
        <w:tc>
          <w:tcPr>
            <w:tcW w:w="3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251,275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2,090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351,297</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71,445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78,747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384"/>
        </w:trPr>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Home equity</w:t>
            </w:r>
          </w:p>
        </w:tc>
        <w:tc>
          <w:tcPr>
            <w:tcW w:w="26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Tax exempt</w:t>
            </w:r>
          </w:p>
        </w:tc>
        <w:tc>
          <w:tcPr>
            <w:tcW w:w="2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and junior liens</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Consumer</w:t>
            </w:r>
          </w:p>
        </w:tc>
        <w:tc>
          <w:tcPr>
            <w:tcW w:w="4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2,186</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18,796</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(84 )</w:t>
            </w:r>
          </w:p>
        </w:tc>
        <w:tc>
          <w:tcPr>
            <w:tcW w:w="4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(3,873 )</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4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4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(2 )</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66</w:t>
            </w:r>
          </w:p>
        </w:tc>
        <w:tc>
          <w:tcPr>
            <w:tcW w:w="4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798</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2,185</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15,767</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147</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3,528</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2,185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12,239</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34,666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81,319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896,476</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712</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22,729</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3,451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33,954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81,319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873,747</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00" w:type="dxa"/>
            <w:vAlign w:val="bottom"/>
            <w:gridSpan w:val="5"/>
          </w:tcPr>
          <w:p>
            <w:pPr>
              <w:jc w:val="right"/>
              <w:ind w:right="488"/>
              <w:spacing w:after="0"/>
              <w:rPr>
                <w:sz w:val="20"/>
                <w:szCs w:val="20"/>
                <w:color w:val="auto"/>
              </w:rPr>
            </w:pPr>
            <w:r>
              <w:rPr>
                <w:rFonts w:ascii="Arial" w:cs="Arial" w:eastAsia="Arial" w:hAnsi="Arial"/>
                <w:sz w:val="14"/>
                <w:szCs w:val="14"/>
                <w:color w:val="auto"/>
              </w:rPr>
              <w:t>For the nine months ended September 30, 2023</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2"/>
        </w:trPr>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 family</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first-lien</w:t>
            </w:r>
          </w:p>
        </w:tc>
        <w:tc>
          <w:tcPr>
            <w:tcW w:w="46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192"/>
        </w:trPr>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4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Commercial</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commercial</w:t>
            </w:r>
          </w:p>
        </w:tc>
      </w:tr>
      <w:tr>
        <w:trPr>
          <w:trHeight w:val="195"/>
        </w:trPr>
        <w:tc>
          <w:tcPr>
            <w:tcW w:w="3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mortgage</w:t>
            </w:r>
          </w:p>
        </w:tc>
        <w:tc>
          <w:tcPr>
            <w:tcW w:w="4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lines of credit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and industrial</w:t>
            </w: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714</w:t>
            </w:r>
          </w:p>
        </w:tc>
        <w:tc>
          <w:tcPr>
            <w:tcW w:w="460" w:type="dxa"/>
            <w:vAlign w:val="bottom"/>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5,881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3,990</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2,944</w:t>
            </w: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Adoption of New Accounting Standard</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1,396</w:t>
            </w:r>
          </w:p>
        </w:tc>
        <w:tc>
          <w:tcPr>
            <w:tcW w:w="4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969</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(1,744 )</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95</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Charge-offs</w:t>
            </w:r>
          </w:p>
        </w:tc>
        <w:tc>
          <w:tcPr>
            <w:tcW w:w="8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(60 )</w:t>
            </w:r>
          </w:p>
        </w:tc>
        <w:tc>
          <w:tcPr>
            <w:tcW w:w="4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(1,230 )</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(2,798 )</w:t>
            </w: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Recoveries</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132</w:t>
            </w: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Provisions (credits)</w:t>
            </w:r>
          </w:p>
        </w:tc>
        <w:tc>
          <w:tcPr>
            <w:tcW w:w="8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(43 )</w:t>
            </w:r>
          </w:p>
        </w:tc>
        <w:tc>
          <w:tcPr>
            <w:tcW w:w="4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(97 )</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893</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(983 )</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2,753</w:t>
            </w:r>
          </w:p>
        </w:tc>
      </w:tr>
      <w:tr>
        <w:trPr>
          <w:trHeight w:val="232"/>
        </w:trPr>
        <w:tc>
          <w:tcPr>
            <w:tcW w:w="3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2,007</w:t>
            </w:r>
          </w:p>
        </w:tc>
        <w:tc>
          <w:tcPr>
            <w:tcW w:w="46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872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5,054</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1,873</w:t>
            </w:r>
          </w:p>
        </w:tc>
        <w:tc>
          <w:tcPr>
            <w:tcW w:w="3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3,041</w:t>
            </w:r>
          </w:p>
        </w:tc>
      </w:tr>
      <w:tr>
        <w:trPr>
          <w:trHeight w:val="547"/>
        </w:trPr>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2"/>
          </w:tcPr>
          <w:p>
            <w:pPr>
              <w:jc w:val="right"/>
              <w:ind w:right="108"/>
              <w:spacing w:after="0"/>
              <w:rPr>
                <w:sz w:val="20"/>
                <w:szCs w:val="20"/>
                <w:color w:val="auto"/>
              </w:rPr>
            </w:pPr>
            <w:r>
              <w:rPr>
                <w:rFonts w:ascii="Arial" w:cs="Arial" w:eastAsia="Arial" w:hAnsi="Arial"/>
                <w:sz w:val="14"/>
                <w:szCs w:val="14"/>
                <w:color w:val="auto"/>
              </w:rPr>
              <w:t>Home equity and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Tax exempt</w:t>
            </w:r>
          </w:p>
        </w:tc>
        <w:tc>
          <w:tcPr>
            <w:tcW w:w="46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junior liens</w:t>
            </w:r>
          </w:p>
        </w:tc>
        <w:tc>
          <w:tcPr>
            <w:tcW w:w="2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w:t>
            </w:r>
          </w:p>
        </w:tc>
        <w:tc>
          <w:tcPr>
            <w:tcW w:w="460" w:type="dxa"/>
            <w:vAlign w:val="bottom"/>
            <w:shd w:val="clear" w:color="auto" w:fill="CFF0FC"/>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741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1,046</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15,319</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3180" w:type="dxa"/>
            <w:vAlign w:val="bottom"/>
          </w:tcPr>
          <w:p>
            <w:pPr>
              <w:ind w:left="180"/>
              <w:spacing w:after="0"/>
              <w:rPr>
                <w:sz w:val="20"/>
                <w:szCs w:val="20"/>
                <w:color w:val="auto"/>
              </w:rPr>
            </w:pPr>
            <w:r>
              <w:rPr>
                <w:rFonts w:ascii="Arial" w:cs="Arial" w:eastAsia="Arial" w:hAnsi="Arial"/>
                <w:sz w:val="14"/>
                <w:szCs w:val="14"/>
                <w:color w:val="auto"/>
              </w:rPr>
              <w:t>Adoption of New Accounting Standard</w:t>
            </w:r>
          </w:p>
        </w:tc>
        <w:tc>
          <w:tcPr>
            <w:tcW w:w="8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4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(97 )</w:t>
            </w:r>
          </w:p>
        </w:tc>
        <w:tc>
          <w:tcPr>
            <w:tcW w:w="20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1,243</w:t>
            </w:r>
          </w:p>
        </w:tc>
        <w:tc>
          <w:tcPr>
            <w:tcW w:w="2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1,886</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(277 )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(4,365 )</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318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8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2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(4 )</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78</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2,675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46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2,185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15,767</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61"/>
        </w:trPr>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30</w:t>
            </w:r>
            <w:r>
              <w:rPr>
                <w:rFonts w:ascii="Arial" w:cs="Arial" w:eastAsia="Arial" w:hAnsi="Arial"/>
                <w:sz w:val="16"/>
                <w:szCs w:val="16"/>
                <w:color w:val="auto"/>
              </w:rPr>
              <w:t xml:space="preserve"> -</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6"/>
        </w:trPr>
        <w:tc>
          <w:tcPr>
            <w:tcW w:w="318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46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7" w:right="68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gridSpan w:val="6"/>
          </w:tcPr>
          <w:p>
            <w:pPr>
              <w:jc w:val="right"/>
              <w:spacing w:after="0"/>
              <w:rPr>
                <w:sz w:val="20"/>
                <w:szCs w:val="20"/>
                <w:color w:val="auto"/>
              </w:rPr>
            </w:pPr>
            <w:r>
              <w:rPr>
                <w:rFonts w:ascii="Arial" w:cs="Arial" w:eastAsia="Arial" w:hAnsi="Arial"/>
                <w:sz w:val="14"/>
                <w:szCs w:val="14"/>
                <w:color w:val="auto"/>
              </w:rPr>
              <w:t>For the three months ended September 30, 2022</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 family</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first-lien</w:t>
            </w:r>
          </w:p>
        </w:tc>
        <w:tc>
          <w:tcPr>
            <w:tcW w:w="2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Paycheck</w:t>
            </w: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Protection</w:t>
            </w:r>
          </w:p>
        </w:tc>
      </w:tr>
      <w:tr>
        <w:trPr>
          <w:trHeight w:val="195"/>
        </w:trPr>
        <w:tc>
          <w:tcPr>
            <w:tcW w:w="2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mortgage</w:t>
            </w:r>
          </w:p>
        </w:tc>
        <w:tc>
          <w:tcPr>
            <w:tcW w:w="2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lines of credit</w:t>
            </w:r>
          </w:p>
        </w:tc>
        <w:tc>
          <w:tcPr>
            <w:tcW w:w="2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and industrial</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Program</w:t>
            </w: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5,522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2,616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(134 )</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276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(85 )</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234</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2,212</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(205 )</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339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2,184</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687</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5,417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1,590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245,428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14,623</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337,392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74,641</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1,125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7,291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4,033</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4,647</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276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244,303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14,623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330,101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76,684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69,994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693</w:t>
            </w:r>
          </w:p>
        </w:tc>
      </w:tr>
      <w:tr>
        <w:trPr>
          <w:trHeight w:val="384"/>
        </w:trPr>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Home equity</w:t>
            </w:r>
          </w:p>
        </w:tc>
        <w:tc>
          <w:tcPr>
            <w:tcW w:w="26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Tax exempt</w:t>
            </w:r>
          </w:p>
        </w:tc>
        <w:tc>
          <w:tcPr>
            <w:tcW w:w="2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and junior liens</w:t>
            </w:r>
          </w:p>
        </w:tc>
        <w:tc>
          <w:tcPr>
            <w:tcW w:w="2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Unallocated</w:t>
            </w:r>
          </w:p>
        </w:tc>
        <w:tc>
          <w:tcPr>
            <w:tcW w:w="2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750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1,543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589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13,078</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(42 )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(176 )</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6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(1 )</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(321 )</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(578 )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(546 )</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13,632</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3,416</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316</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943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10,216</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33,746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95,331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887,190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625</w:t>
            </w:r>
          </w:p>
        </w:tc>
        <w:tc>
          <w:tcPr>
            <w:tcW w:w="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17,721</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2"/>
        </w:trPr>
        <w:tc>
          <w:tcPr>
            <w:tcW w:w="276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33,121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95,331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869,469</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7" w:right="68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20" w:type="dxa"/>
            <w:vAlign w:val="bottom"/>
            <w:gridSpan w:val="5"/>
          </w:tcPr>
          <w:p>
            <w:pPr>
              <w:jc w:val="right"/>
              <w:ind w:right="388"/>
              <w:spacing w:after="0"/>
              <w:rPr>
                <w:sz w:val="20"/>
                <w:szCs w:val="20"/>
                <w:color w:val="auto"/>
              </w:rPr>
            </w:pPr>
            <w:r>
              <w:rPr>
                <w:rFonts w:ascii="Arial" w:cs="Arial" w:eastAsia="Arial" w:hAnsi="Arial"/>
                <w:sz w:val="14"/>
                <w:szCs w:val="14"/>
                <w:color w:val="auto"/>
              </w:rPr>
              <w:t>For the nine months ended September 30, 2022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2"/>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 family</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first-lien</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192"/>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commercial</w:t>
            </w:r>
          </w:p>
        </w:tc>
      </w:tr>
      <w:tr>
        <w:trPr>
          <w:trHeight w:val="209"/>
        </w:trPr>
        <w:tc>
          <w:tcPr>
            <w:tcW w:w="3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3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mortgage</w:t>
            </w:r>
          </w:p>
        </w:tc>
        <w:tc>
          <w:tcPr>
            <w:tcW w:w="2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lines of credit</w:t>
            </w:r>
          </w:p>
        </w:tc>
        <w:tc>
          <w:tcPr>
            <w:tcW w:w="2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and industrial</w:t>
            </w:r>
          </w:p>
        </w:tc>
      </w:tr>
      <w:tr>
        <w:trPr>
          <w:trHeight w:val="193"/>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872</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935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2,762</w:t>
            </w:r>
          </w:p>
        </w:tc>
      </w:tr>
      <w:tr>
        <w:trPr>
          <w:trHeight w:val="195"/>
        </w:trPr>
        <w:tc>
          <w:tcPr>
            <w:tcW w:w="3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(38 )</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(334 )</w:t>
            </w:r>
          </w:p>
        </w:tc>
      </w:tr>
      <w:tr>
        <w:trPr>
          <w:trHeight w:val="189"/>
        </w:trPr>
        <w:tc>
          <w:tcPr>
            <w:tcW w:w="312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w:t>
            </w:r>
          </w:p>
        </w:tc>
      </w:tr>
      <w:tr>
        <w:trPr>
          <w:trHeight w:val="195"/>
        </w:trPr>
        <w:tc>
          <w:tcPr>
            <w:tcW w:w="3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221</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2,472</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(197 )</w:t>
            </w:r>
          </w:p>
        </w:tc>
      </w:tr>
      <w:tr>
        <w:trPr>
          <w:trHeight w:val="18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812</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2,277</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39"/>
        </w:trPr>
        <w:tc>
          <w:tcPr>
            <w:tcW w:w="3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Home equity</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8"/>
        </w:trPr>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Tax exempt</w:t>
            </w: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and junior liens</w:t>
            </w: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Unallocated</w:t>
            </w:r>
          </w:p>
        </w:tc>
        <w:tc>
          <w:tcPr>
            <w:tcW w:w="2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Total</w:t>
            </w: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2"/>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774</w:t>
            </w:r>
          </w:p>
        </w:tc>
        <w:tc>
          <w:tcPr>
            <w:tcW w:w="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1,297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984</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12,935</w:t>
            </w:r>
          </w:p>
        </w:tc>
      </w:tr>
      <w:tr>
        <w:trPr>
          <w:trHeight w:val="189"/>
        </w:trPr>
        <w:tc>
          <w:tcPr>
            <w:tcW w:w="3120" w:type="dxa"/>
            <w:vAlign w:val="bottom"/>
          </w:tcPr>
          <w:p>
            <w:pPr>
              <w:ind w:left="180"/>
              <w:spacing w:after="0"/>
              <w:rPr>
                <w:sz w:val="20"/>
                <w:szCs w:val="20"/>
                <w:color w:val="auto"/>
              </w:rPr>
            </w:pPr>
            <w:r>
              <w:rPr>
                <w:rFonts w:ascii="Arial" w:cs="Arial" w:eastAsia="Arial" w:hAnsi="Arial"/>
                <w:sz w:val="14"/>
                <w:szCs w:val="14"/>
                <w:color w:val="auto"/>
              </w:rPr>
              <w:t>Charge-offs</w:t>
            </w: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(122 )</w:t>
            </w:r>
          </w:p>
        </w:tc>
        <w:tc>
          <w:tcPr>
            <w:tcW w:w="2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(546 )</w:t>
            </w:r>
          </w:p>
        </w:tc>
      </w:tr>
      <w:tr>
        <w:trPr>
          <w:trHeight w:val="195"/>
        </w:trPr>
        <w:tc>
          <w:tcPr>
            <w:tcW w:w="3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Recoveries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76</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372</w:t>
            </w:r>
          </w:p>
        </w:tc>
      </w:tr>
      <w:tr>
        <w:trPr>
          <w:trHeight w:val="189"/>
        </w:trPr>
        <w:tc>
          <w:tcPr>
            <w:tcW w:w="3120" w:type="dxa"/>
            <w:vAlign w:val="bottom"/>
          </w:tcPr>
          <w:p>
            <w:pPr>
              <w:ind w:left="180"/>
              <w:spacing w:after="0"/>
              <w:rPr>
                <w:sz w:val="20"/>
                <w:szCs w:val="20"/>
                <w:color w:val="auto"/>
              </w:rPr>
            </w:pPr>
            <w:r>
              <w:rPr>
                <w:rFonts w:ascii="Arial" w:cs="Arial" w:eastAsia="Arial" w:hAnsi="Arial"/>
                <w:sz w:val="14"/>
                <w:szCs w:val="14"/>
                <w:color w:val="auto"/>
              </w:rPr>
              <w:t>Provisions (credits)</w:t>
            </w: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(345 )</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(308 )</w:t>
            </w: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(941 )</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871</w:t>
            </w:r>
          </w:p>
        </w:tc>
      </w:tr>
      <w:tr>
        <w:trPr>
          <w:trHeight w:val="232"/>
        </w:trPr>
        <w:tc>
          <w:tcPr>
            <w:tcW w:w="3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1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429</w:t>
            </w:r>
          </w:p>
        </w:tc>
        <w:tc>
          <w:tcPr>
            <w:tcW w:w="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943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13,632</w:t>
            </w:r>
          </w:p>
        </w:tc>
      </w:tr>
    </w:tbl>
    <w:p>
      <w:pPr>
        <w:spacing w:after="0" w:line="2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national and local economic trends;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 of growth in the portfolio;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•Trends of delinquencies and nonaccrual balances;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loan policy;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lending management experience and related staffing.</w:t>
      </w:r>
    </w:p>
    <w:p>
      <w:pPr>
        <w:spacing w:after="0" w:line="1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7" w:right="68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allocation of the allowance for credit losses summarized on the basis of the Company’s calculation methodology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60" w:type="dxa"/>
            <w:vAlign w:val="bottom"/>
            <w:gridSpan w:val="2"/>
          </w:tcPr>
          <w:p>
            <w:pPr>
              <w:jc w:val="right"/>
              <w:ind w:right="2"/>
              <w:spacing w:after="0"/>
              <w:rPr>
                <w:sz w:val="20"/>
                <w:szCs w:val="20"/>
                <w:color w:val="auto"/>
              </w:rPr>
            </w:pPr>
            <w:r>
              <w:rPr>
                <w:rFonts w:ascii="Arial" w:cs="Arial" w:eastAsia="Arial" w:hAnsi="Arial"/>
                <w:sz w:val="16"/>
                <w:szCs w:val="16"/>
                <w:color w:val="auto"/>
              </w:rPr>
              <w:t>September 30, 2023</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1-4 family</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first-lien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Other</w:t>
            </w: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residential</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construction</w:t>
            </w:r>
          </w:p>
        </w:tc>
        <w:tc>
          <w:tcPr>
            <w:tcW w:w="42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r>
      <w:tr>
        <w:trPr>
          <w:trHeight w:val="205"/>
        </w:trPr>
        <w:tc>
          <w:tcPr>
            <w:tcW w:w="2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mortgage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mortgage</w:t>
            </w:r>
          </w:p>
        </w:tc>
        <w:tc>
          <w:tcPr>
            <w:tcW w:w="42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lines of credit</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and industrial</w:t>
            </w: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Specifically reserved</w:t>
            </w:r>
          </w:p>
        </w:tc>
        <w:tc>
          <w:tcPr>
            <w:tcW w:w="1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598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1,093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1,564</w:t>
            </w:r>
          </w:p>
        </w:tc>
      </w:tr>
      <w:tr>
        <w:trPr>
          <w:trHeight w:val="203"/>
        </w:trPr>
        <w:tc>
          <w:tcPr>
            <w:tcW w:w="2580" w:type="dxa"/>
            <w:vAlign w:val="bottom"/>
          </w:tcPr>
          <w:p>
            <w:pPr>
              <w:ind w:left="20"/>
              <w:spacing w:after="0"/>
              <w:rPr>
                <w:sz w:val="20"/>
                <w:szCs w:val="20"/>
                <w:color w:val="auto"/>
              </w:rPr>
            </w:pPr>
            <w:r>
              <w:rPr>
                <w:rFonts w:ascii="Arial" w:cs="Arial" w:eastAsia="Arial" w:hAnsi="Arial"/>
                <w:sz w:val="16"/>
                <w:szCs w:val="16"/>
                <w:color w:val="auto"/>
              </w:rPr>
              <w:t>Historical loss rate</w:t>
            </w: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1,540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650</w:t>
            </w:r>
          </w:p>
        </w:tc>
        <w:tc>
          <w:tcPr>
            <w:tcW w:w="42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2,662</w:t>
            </w:r>
          </w:p>
        </w:tc>
        <w:tc>
          <w:tcPr>
            <w:tcW w:w="24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1,012</w:t>
            </w: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Qualitative factors</w:t>
            </w:r>
          </w:p>
        </w:tc>
        <w:tc>
          <w:tcPr>
            <w:tcW w:w="1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341</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1,794</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582</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465</w:t>
            </w:r>
          </w:p>
        </w:tc>
      </w:tr>
      <w:tr>
        <w:trPr>
          <w:trHeight w:val="203"/>
        </w:trPr>
        <w:tc>
          <w:tcPr>
            <w:tcW w:w="2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5,054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1,873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3,041</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83"/>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Home equity</w:t>
            </w:r>
          </w:p>
        </w:tc>
        <w:tc>
          <w:tcPr>
            <w:tcW w:w="420" w:type="dxa"/>
            <w:vAlign w:val="bottom"/>
          </w:tcPr>
          <w:p>
            <w:pPr>
              <w:spacing w:after="0"/>
              <w:rPr>
                <w:sz w:val="24"/>
                <w:szCs w:val="24"/>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5"/>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Tax exempt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w w:val="96"/>
              </w:rPr>
              <w:t>and junior liens</w:t>
            </w:r>
          </w:p>
        </w:tc>
        <w:tc>
          <w:tcPr>
            <w:tcW w:w="42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Specifically reserved</w:t>
            </w:r>
          </w:p>
        </w:tc>
        <w:tc>
          <w:tcPr>
            <w:tcW w:w="1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1,818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5,655</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6"/>
                <w:szCs w:val="16"/>
                <w:color w:val="auto"/>
              </w:rPr>
              <w:t>Historical loss rate</w:t>
            </w: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w:t>
            </w:r>
          </w:p>
        </w:tc>
        <w:tc>
          <w:tcPr>
            <w:tcW w:w="42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323</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6,581</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Qualitative factors</w:t>
            </w:r>
          </w:p>
        </w:tc>
        <w:tc>
          <w:tcPr>
            <w:tcW w:w="1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3,531</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15,767</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9"/>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2"/>
          </w:tcPr>
          <w:p>
            <w:pPr>
              <w:jc w:val="right"/>
              <w:ind w:right="22"/>
              <w:spacing w:after="0"/>
              <w:rPr>
                <w:sz w:val="20"/>
                <w:szCs w:val="20"/>
                <w:color w:val="auto"/>
              </w:rPr>
            </w:pPr>
            <w:r>
              <w:rPr>
                <w:rFonts w:ascii="Arial" w:cs="Arial" w:eastAsia="Arial" w:hAnsi="Arial"/>
                <w:sz w:val="16"/>
                <w:szCs w:val="16"/>
                <w:color w:val="auto"/>
              </w:rPr>
              <w:t>December 31, 2022</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1-4 family</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first-lien</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Other</w:t>
            </w: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residential</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construction</w:t>
            </w:r>
          </w:p>
        </w:tc>
        <w:tc>
          <w:tcPr>
            <w:tcW w:w="42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r>
      <w:tr>
        <w:trPr>
          <w:trHeight w:val="204"/>
        </w:trPr>
        <w:tc>
          <w:tcPr>
            <w:tcW w:w="2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mortgage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mortgage</w:t>
            </w:r>
          </w:p>
        </w:tc>
        <w:tc>
          <w:tcPr>
            <w:tcW w:w="42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lines of credit</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and industrial</w:t>
            </w:r>
          </w:p>
        </w:tc>
      </w:tr>
      <w:tr>
        <w:trPr>
          <w:trHeight w:val="205"/>
        </w:trPr>
        <w:tc>
          <w:tcPr>
            <w:tcW w:w="2580" w:type="dxa"/>
            <w:vAlign w:val="bottom"/>
          </w:tcPr>
          <w:p>
            <w:pPr>
              <w:ind w:left="20"/>
              <w:spacing w:after="0"/>
              <w:rPr>
                <w:sz w:val="20"/>
                <w:szCs w:val="20"/>
                <w:color w:val="auto"/>
              </w:rPr>
            </w:pPr>
            <w:r>
              <w:rPr>
                <w:rFonts w:ascii="Arial" w:cs="Arial" w:eastAsia="Arial" w:hAnsi="Arial"/>
                <w:sz w:val="16"/>
                <w:szCs w:val="16"/>
                <w:color w:val="auto"/>
              </w:rPr>
              <w:t>Specifically reserved</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2,957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1,285</w:t>
            </w: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Historical loss rate</w:t>
            </w:r>
          </w:p>
        </w:tc>
        <w:tc>
          <w:tcPr>
            <w:tcW w:w="1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97</w:t>
            </w:r>
          </w:p>
        </w:tc>
      </w:tr>
      <w:tr>
        <w:trPr>
          <w:trHeight w:val="203"/>
        </w:trPr>
        <w:tc>
          <w:tcPr>
            <w:tcW w:w="2580" w:type="dxa"/>
            <w:vAlign w:val="bottom"/>
          </w:tcPr>
          <w:p>
            <w:pPr>
              <w:ind w:left="20"/>
              <w:spacing w:after="0"/>
              <w:rPr>
                <w:sz w:val="20"/>
                <w:szCs w:val="20"/>
                <w:color w:val="auto"/>
              </w:rPr>
            </w:pPr>
            <w:r>
              <w:rPr>
                <w:rFonts w:ascii="Arial" w:cs="Arial" w:eastAsia="Arial" w:hAnsi="Arial"/>
                <w:sz w:val="16"/>
                <w:szCs w:val="16"/>
                <w:color w:val="auto"/>
              </w:rPr>
              <w:t>Qualitative factors</w:t>
            </w: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618</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5,567</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1,033</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1,562</w:t>
            </w:r>
          </w:p>
        </w:tc>
      </w:tr>
      <w:tr>
        <w:trPr>
          <w:trHeight w:val="244"/>
        </w:trPr>
        <w:tc>
          <w:tcPr>
            <w:tcW w:w="25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714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5,881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3,990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2,944</w:t>
            </w:r>
          </w:p>
        </w:tc>
      </w:tr>
      <w:tr>
        <w:trPr>
          <w:trHeight w:val="383"/>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Home equity</w:t>
            </w:r>
          </w:p>
        </w:tc>
        <w:tc>
          <w:tcPr>
            <w:tcW w:w="420" w:type="dxa"/>
            <w:vAlign w:val="bottom"/>
          </w:tcPr>
          <w:p>
            <w:pPr>
              <w:spacing w:after="0"/>
              <w:rPr>
                <w:sz w:val="24"/>
                <w:szCs w:val="24"/>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4"/>
        </w:trPr>
        <w:tc>
          <w:tcPr>
            <w:tcW w:w="2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Tax exempt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w w:val="96"/>
              </w:rPr>
              <w:t>and junior liens</w:t>
            </w:r>
          </w:p>
        </w:tc>
        <w:tc>
          <w:tcPr>
            <w:tcW w:w="42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Unallocated</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Total</w:t>
            </w:r>
          </w:p>
        </w:tc>
      </w:tr>
      <w:tr>
        <w:trPr>
          <w:trHeight w:val="205"/>
        </w:trPr>
        <w:tc>
          <w:tcPr>
            <w:tcW w:w="2580" w:type="dxa"/>
            <w:vAlign w:val="bottom"/>
          </w:tcPr>
          <w:p>
            <w:pPr>
              <w:ind w:left="20"/>
              <w:spacing w:after="0"/>
              <w:rPr>
                <w:sz w:val="20"/>
                <w:szCs w:val="20"/>
                <w:color w:val="auto"/>
              </w:rPr>
            </w:pPr>
            <w:r>
              <w:rPr>
                <w:rFonts w:ascii="Arial" w:cs="Arial" w:eastAsia="Arial" w:hAnsi="Arial"/>
                <w:sz w:val="16"/>
                <w:szCs w:val="16"/>
                <w:color w:val="auto"/>
              </w:rPr>
              <w:t>Specifically reserved</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4,793</w:t>
            </w: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Historical loss rate</w:t>
            </w:r>
          </w:p>
        </w:tc>
        <w:tc>
          <w:tcPr>
            <w:tcW w:w="1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708</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1,099</w:t>
            </w:r>
          </w:p>
        </w:tc>
      </w:tr>
      <w:tr>
        <w:trPr>
          <w:trHeight w:val="203"/>
        </w:trPr>
        <w:tc>
          <w:tcPr>
            <w:tcW w:w="2580" w:type="dxa"/>
            <w:vAlign w:val="bottom"/>
          </w:tcPr>
          <w:p>
            <w:pPr>
              <w:ind w:left="20"/>
              <w:spacing w:after="0"/>
              <w:rPr>
                <w:sz w:val="20"/>
                <w:szCs w:val="20"/>
                <w:color w:val="auto"/>
              </w:rPr>
            </w:pPr>
            <w:r>
              <w:rPr>
                <w:rFonts w:ascii="Arial" w:cs="Arial" w:eastAsia="Arial" w:hAnsi="Arial"/>
                <w:sz w:val="16"/>
                <w:szCs w:val="16"/>
                <w:color w:val="auto"/>
              </w:rPr>
              <w:t>Qualitative factors</w:t>
            </w:r>
          </w:p>
        </w:tc>
        <w:tc>
          <w:tcPr>
            <w:tcW w:w="134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w:t>
            </w:r>
          </w:p>
        </w:tc>
        <w:tc>
          <w:tcPr>
            <w:tcW w:w="42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338</w:t>
            </w:r>
          </w:p>
        </w:tc>
        <w:tc>
          <w:tcPr>
            <w:tcW w:w="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9,427</w:t>
            </w:r>
          </w:p>
        </w:tc>
      </w:tr>
      <w:tr>
        <w:trPr>
          <w:trHeight w:val="205"/>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2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15,319</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Foreclosed Real Estate</w:t>
      </w:r>
    </w:p>
    <w:p>
      <w:pPr>
        <w:spacing w:after="0" w:line="24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Company is required to disclose the carrying amount of foreclosed real estate properties held as a result of obtaining physical possession of the property at each reporting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780" w:type="dxa"/>
            <w:vAlign w:val="bottom"/>
          </w:tcPr>
          <w:p>
            <w:pPr>
              <w:jc w:val="right"/>
              <w:ind w:right="42"/>
              <w:spacing w:after="0"/>
              <w:rPr>
                <w:sz w:val="20"/>
                <w:szCs w:val="20"/>
                <w:color w:val="auto"/>
              </w:rPr>
            </w:pPr>
            <w:r>
              <w:rPr>
                <w:rFonts w:ascii="Arial" w:cs="Arial" w:eastAsia="Arial" w:hAnsi="Arial"/>
                <w:sz w:val="16"/>
                <w:szCs w:val="16"/>
                <w:color w:val="auto"/>
              </w:rPr>
              <w:t>Number of</w:t>
            </w:r>
          </w:p>
        </w:tc>
        <w:tc>
          <w:tcPr>
            <w:tcW w:w="240" w:type="dxa"/>
            <w:vAlign w:val="bottom"/>
          </w:tcPr>
          <w:p>
            <w:pPr>
              <w:spacing w:after="0"/>
              <w:rPr>
                <w:sz w:val="16"/>
                <w:szCs w:val="16"/>
                <w:color w:val="auto"/>
              </w:rPr>
            </w:pPr>
          </w:p>
        </w:tc>
        <w:tc>
          <w:tcPr>
            <w:tcW w:w="1360" w:type="dxa"/>
            <w:vAlign w:val="bottom"/>
          </w:tcPr>
          <w:p>
            <w:pPr>
              <w:jc w:val="right"/>
              <w:ind w:right="242"/>
              <w:spacing w:after="0"/>
              <w:rPr>
                <w:sz w:val="20"/>
                <w:szCs w:val="20"/>
                <w:color w:val="auto"/>
              </w:rPr>
            </w:pPr>
            <w:r>
              <w:rPr>
                <w:rFonts w:ascii="Arial" w:cs="Arial" w:eastAsia="Arial" w:hAnsi="Arial"/>
                <w:sz w:val="16"/>
                <w:szCs w:val="16"/>
                <w:color w:val="auto"/>
                <w:w w:val="97"/>
              </w:rPr>
              <w:t>September 30,</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Number of</w:t>
            </w:r>
          </w:p>
        </w:tc>
        <w:tc>
          <w:tcPr>
            <w:tcW w:w="24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98"/>
        </w:trPr>
        <w:tc>
          <w:tcPr>
            <w:tcW w:w="3640" w:type="dxa"/>
            <w:vAlign w:val="bottom"/>
            <w:vMerge w:val="continue"/>
          </w:tcPr>
          <w:p>
            <w:pPr>
              <w:spacing w:after="0"/>
              <w:rPr>
                <w:sz w:val="17"/>
                <w:szCs w:val="17"/>
                <w:color w:val="auto"/>
              </w:rPr>
            </w:pPr>
          </w:p>
        </w:tc>
        <w:tc>
          <w:tcPr>
            <w:tcW w:w="2780" w:type="dxa"/>
            <w:vAlign w:val="bottom"/>
          </w:tcPr>
          <w:p>
            <w:pPr>
              <w:jc w:val="right"/>
              <w:ind w:right="42"/>
              <w:spacing w:after="0"/>
              <w:rPr>
                <w:sz w:val="20"/>
                <w:szCs w:val="20"/>
                <w:color w:val="auto"/>
              </w:rPr>
            </w:pPr>
            <w:r>
              <w:rPr>
                <w:rFonts w:ascii="Arial" w:cs="Arial" w:eastAsia="Arial" w:hAnsi="Arial"/>
                <w:sz w:val="16"/>
                <w:szCs w:val="16"/>
                <w:color w:val="auto"/>
              </w:rPr>
              <w:t>properties</w:t>
            </w:r>
          </w:p>
        </w:tc>
        <w:tc>
          <w:tcPr>
            <w:tcW w:w="240" w:type="dxa"/>
            <w:vAlign w:val="bottom"/>
          </w:tcPr>
          <w:p>
            <w:pPr>
              <w:spacing w:after="0"/>
              <w:rPr>
                <w:sz w:val="17"/>
                <w:szCs w:val="17"/>
                <w:color w:val="auto"/>
              </w:rPr>
            </w:pP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2023</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properties</w:t>
            </w:r>
          </w:p>
        </w:tc>
        <w:tc>
          <w:tcPr>
            <w:tcW w:w="2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Foreclosed real estate</w:t>
            </w:r>
          </w:p>
        </w:tc>
        <w:tc>
          <w:tcPr>
            <w:tcW w:w="27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189</w:t>
            </w:r>
          </w:p>
        </w:tc>
        <w:tc>
          <w:tcPr>
            <w:tcW w:w="11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37"/>
        </w:trPr>
        <w:tc>
          <w:tcPr>
            <w:tcW w:w="3640" w:type="dxa"/>
            <w:vAlign w:val="bottom"/>
            <w:tcBorders>
              <w:bottom w:val="single" w:sz="8" w:color="auto"/>
            </w:tcBorders>
            <w:shd w:val="clear" w:color="auto" w:fill="CFF0FC"/>
          </w:tcPr>
          <w:p>
            <w:pPr>
              <w:spacing w:after="0"/>
              <w:rPr>
                <w:sz w:val="11"/>
                <w:szCs w:val="11"/>
                <w:color w:val="auto"/>
              </w:rPr>
            </w:pPr>
          </w:p>
        </w:tc>
        <w:tc>
          <w:tcPr>
            <w:tcW w:w="27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auto"/>
            </w:tcBorders>
            <w:vMerge w:val="continue"/>
            <w:shd w:val="clear" w:color="auto" w:fill="CFF0FC"/>
          </w:tcPr>
          <w:p>
            <w:pPr>
              <w:spacing w:after="0"/>
              <w:rPr>
                <w:sz w:val="11"/>
                <w:szCs w:val="11"/>
                <w:color w:val="auto"/>
              </w:rPr>
            </w:pPr>
          </w:p>
        </w:tc>
        <w:tc>
          <w:tcPr>
            <w:tcW w:w="136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auto"/>
            </w:tcBorders>
            <w:vMerge w:val="continue"/>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At September 30, 2023 and December 31, 2022, the Company reported $1.3 million and $542,000, respectively, in real estate loans in the process of foreclosure.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9:  Guarantees</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$1.8 million of standby letters of credit as of September 30, 2023. Management believes that the proceeds obtained through a liquidation of collateral and the enforcement of guarantees would be sufficient to cover the potential amount of future payments required under the corresponding guarantees. No provision for credit losses have been made for these commitments. The fair value of standby letters of credit was not significant to the Company’s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3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Level 1 – Quoted prices (unadjusted) for identical assets or liabilities in active markets that the entity has the ability to access as of the measurement date.</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Level 3 – Model-derived valuations in which one or more significant inputs or significant value drivers are unobservable.</w:t>
      </w:r>
    </w:p>
    <w:p>
      <w:pPr>
        <w:spacing w:after="0" w:line="17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An asset’s or liability’s level within the fair value hierarchy is based on the lowest level of input that is significant to the fair value measurement.</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4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holds two corporate investment securities with an amortized historical cost of $4.1 million and an aggregate fair market value of $4.4 million as of September 30, 2023.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77" w:right="660"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on indeterminate future dates as a consequence of the ultimate liquidation strategies employed by the managers of these portfolios.</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held two private equity security investments, acquired in 2022, with an aggregate value of $3.0 million at September 30, 2023, valued utilizing the unit of account (NAV) which includes; financial metrics for the company, specific operating key performance indicators, and market-related inputs.</w:t>
      </w:r>
    </w:p>
    <w:p>
      <w:pPr>
        <w:spacing w:after="0" w:line="136"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Impaired loans: Impaired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Impaired loans are subject to nonrecurring fair value adjustment upon initial recognition or subsequent impairment. A portion of the allowance for credit losses is allocated to impaired loans if the value of such loans is deemed to be less than the unpaid balance.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5" w:name="page36"/>
    <w:bookmarkEnd w:id="35"/>
    <w:p>
      <w:pPr>
        <w:ind w:right="60"/>
        <w:spacing w:after="0" w:line="275" w:lineRule="auto"/>
        <w:rPr>
          <w:sz w:val="20"/>
          <w:szCs w:val="20"/>
          <w:color w:val="auto"/>
        </w:rPr>
      </w:pPr>
      <w:r>
        <w:rPr>
          <w:rFonts w:ascii="Arial" w:cs="Arial" w:eastAsia="Arial" w:hAnsi="Arial"/>
          <w:sz w:val="18"/>
          <w:szCs w:val="18"/>
          <w:color w:val="auto"/>
        </w:rPr>
        <w:t>The following tables summarize assets measured at fair value on a recurring basis as of the indicated dates, segregated by the level of valuation inputs within the hierarchy utilized to measure fair value: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gridSpan w:val="2"/>
          </w:tcPr>
          <w:p>
            <w:pPr>
              <w:jc w:val="right"/>
              <w:ind w:right="62"/>
              <w:spacing w:after="0"/>
              <w:rPr>
                <w:sz w:val="20"/>
                <w:szCs w:val="20"/>
                <w:color w:val="auto"/>
              </w:rPr>
            </w:pPr>
            <w:r>
              <w:rPr>
                <w:rFonts w:ascii="Arial" w:cs="Arial" w:eastAsia="Arial" w:hAnsi="Arial"/>
                <w:sz w:val="16"/>
                <w:szCs w:val="16"/>
                <w:color w:val="auto"/>
              </w:rPr>
              <w:t>September 30, 2023</w:t>
            </w: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4180" w:type="dxa"/>
            <w:vAlign w:val="bottom"/>
            <w:gridSpan w:val="5"/>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Level 1</w:t>
            </w: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Level 2</w:t>
            </w:r>
          </w:p>
        </w:tc>
        <w:tc>
          <w:tcPr>
            <w:tcW w:w="80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color w:val="auto"/>
              </w:rPr>
              <w:t>Level 3</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68"/>
        </w:trPr>
        <w:tc>
          <w:tcPr>
            <w:tcW w:w="4180" w:type="dxa"/>
            <w:vAlign w:val="bottom"/>
            <w:gridSpan w:val="5"/>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US Treasury, agencies and GSEs</w:t>
            </w:r>
          </w:p>
        </w:tc>
        <w:tc>
          <w:tcPr>
            <w:tcW w:w="60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38,146</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38,146</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State and political subdivisions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29,143</w:t>
            </w:r>
          </w:p>
        </w:tc>
        <w:tc>
          <w:tcPr>
            <w:tcW w:w="8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29,143</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Corporate</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6,961</w:t>
            </w: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6,961</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Asset backed securities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17,374</w:t>
            </w:r>
          </w:p>
        </w:tc>
        <w:tc>
          <w:tcPr>
            <w:tcW w:w="8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17,374</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Residential mortgage-backed - US agency</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20,352</w:t>
            </w: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20,352</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Collateralized mortgage obligations - US agency</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12,191</w:t>
            </w:r>
          </w:p>
        </w:tc>
        <w:tc>
          <w:tcPr>
            <w:tcW w:w="8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12,191</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Collateralized mortgage obligations - Private label</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78,029</w:t>
            </w:r>
          </w:p>
        </w:tc>
        <w:tc>
          <w:tcPr>
            <w:tcW w:w="8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78,029</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160"/>
              <w:spacing w:after="0"/>
              <w:rPr>
                <w:sz w:val="20"/>
                <w:szCs w:val="20"/>
                <w:color w:val="auto"/>
              </w:rPr>
            </w:pPr>
            <w:r>
              <w:rPr>
                <w:rFonts w:ascii="Arial" w:cs="Arial" w:eastAsia="Arial" w:hAnsi="Arial"/>
                <w:sz w:val="16"/>
                <w:szCs w:val="16"/>
                <w:color w:val="auto"/>
              </w:rPr>
              <w:t>Total</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202,196</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202,196</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Common stock - financial services industry</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Other Securities:</w:t>
            </w: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Corporate measured at NAV</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4,446</w:t>
            </w:r>
          </w:p>
        </w:tc>
      </w:tr>
      <w:tr>
        <w:trPr>
          <w:trHeight w:val="244"/>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available-for-sale securities</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54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202,196</w:t>
            </w:r>
          </w:p>
        </w:tc>
        <w:tc>
          <w:tcPr>
            <w:tcW w:w="80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206,848</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Marketable equity securities measured at NAV</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3,013</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fair value hedges (unrealized</w:t>
            </w: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gain carried as receivable from derivative counterparties)</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12,516</w:t>
            </w:r>
          </w:p>
        </w:tc>
        <w:tc>
          <w:tcPr>
            <w:tcW w:w="80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12,516</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cash flow hedges</w:t>
            </w: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0"/>
        </w:trPr>
        <w:tc>
          <w:tcPr>
            <w:tcW w:w="4180" w:type="dxa"/>
            <w:vAlign w:val="bottom"/>
            <w:gridSpan w:val="5"/>
            <w:shd w:val="clear" w:color="auto" w:fill="CFF0FC"/>
          </w:tcPr>
          <w:p>
            <w:pPr>
              <w:ind w:left="20"/>
              <w:spacing w:after="0" w:line="180" w:lineRule="exact"/>
              <w:rPr>
                <w:sz w:val="20"/>
                <w:szCs w:val="20"/>
                <w:color w:val="auto"/>
              </w:rPr>
            </w:pPr>
            <w:r>
              <w:rPr>
                <w:rFonts w:ascii="Arial" w:cs="Arial" w:eastAsia="Arial" w:hAnsi="Arial"/>
                <w:sz w:val="16"/>
                <w:szCs w:val="16"/>
                <w:color w:val="auto"/>
              </w:rPr>
              <w:t>(unrealized loss carried as payable to derivative</w:t>
            </w: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counterparties)</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909</w:t>
            </w:r>
          </w:p>
        </w:tc>
        <w:tc>
          <w:tcPr>
            <w:tcW w:w="80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909</w:t>
            </w:r>
          </w:p>
        </w:tc>
      </w:tr>
      <w:tr>
        <w:trPr>
          <w:trHeight w:val="39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jc w:val="right"/>
              <w:ind w:right="30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36</w:t>
            </w:r>
            <w:r>
              <w:rPr>
                <w:rFonts w:ascii="Arial" w:cs="Arial" w:eastAsia="Arial" w:hAnsi="Arial"/>
                <w:sz w:val="16"/>
                <w:szCs w:val="16"/>
                <w:color w:val="auto"/>
              </w:rPr>
              <w:t xml:space="preserve"> -</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6"/>
        </w:trPr>
        <w:tc>
          <w:tcPr>
            <w:tcW w:w="20" w:type="dxa"/>
            <w:vAlign w:val="bottom"/>
            <w:tcBorders>
              <w:bottom w:val="single" w:sz="8" w:color="EEEEEE"/>
            </w:tcBorders>
          </w:tcPr>
          <w:p>
            <w:pPr>
              <w:spacing w:after="0"/>
              <w:rPr>
                <w:sz w:val="7"/>
                <w:szCs w:val="7"/>
                <w:color w:val="auto"/>
              </w:rPr>
            </w:pPr>
          </w:p>
        </w:tc>
        <w:tc>
          <w:tcPr>
            <w:tcW w:w="1160" w:type="dxa"/>
            <w:vAlign w:val="bottom"/>
            <w:tcBorders>
              <w:bottom w:val="single" w:sz="8" w:color="EEEEEE"/>
            </w:tcBorders>
          </w:tcPr>
          <w:p>
            <w:pPr>
              <w:spacing w:after="0"/>
              <w:rPr>
                <w:sz w:val="7"/>
                <w:szCs w:val="7"/>
                <w:color w:val="auto"/>
              </w:rPr>
            </w:pPr>
          </w:p>
        </w:tc>
        <w:tc>
          <w:tcPr>
            <w:tcW w:w="7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18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50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gridSpan w:val="2"/>
          </w:tcPr>
          <w:p>
            <w:pPr>
              <w:jc w:val="right"/>
              <w:ind w:right="62"/>
              <w:spacing w:after="0"/>
              <w:rPr>
                <w:sz w:val="20"/>
                <w:szCs w:val="20"/>
                <w:color w:val="auto"/>
              </w:rPr>
            </w:pPr>
            <w:r>
              <w:rPr>
                <w:rFonts w:ascii="Arial" w:cs="Arial" w:eastAsia="Arial" w:hAnsi="Arial"/>
                <w:sz w:val="16"/>
                <w:szCs w:val="16"/>
                <w:color w:val="auto"/>
              </w:rPr>
              <w:t>December 31, 2022</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4180" w:type="dxa"/>
            <w:vAlign w:val="bottom"/>
            <w:gridSpan w:val="5"/>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Level 1</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Level 2</w:t>
            </w:r>
          </w:p>
        </w:tc>
        <w:tc>
          <w:tcPr>
            <w:tcW w:w="78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Level 3</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68"/>
        </w:trPr>
        <w:tc>
          <w:tcPr>
            <w:tcW w:w="4180" w:type="dxa"/>
            <w:vAlign w:val="bottom"/>
            <w:gridSpan w:val="5"/>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US Treasury, agencies and GSEs</w:t>
            </w:r>
          </w:p>
        </w:tc>
        <w:tc>
          <w:tcPr>
            <w:tcW w:w="64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29,364</w:t>
            </w:r>
          </w:p>
        </w:tc>
        <w:tc>
          <w:tcPr>
            <w:tcW w:w="78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29,364</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State and political subdivisions</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45,385</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45,385</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Corporate</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7,066</w:t>
            </w: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7,066</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Asset backed securities</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15,400</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15,400</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Residential mortgage-backed - US agency</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16,400</w:t>
            </w: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16,400</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Collateralized mortgage obligations - US agency</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11,708</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11,708</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Collateralized mortgage obligations - Private label</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61,434</w:t>
            </w: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61,434</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160"/>
              <w:spacing w:after="0"/>
              <w:rPr>
                <w:sz w:val="20"/>
                <w:szCs w:val="20"/>
                <w:color w:val="auto"/>
              </w:rPr>
            </w:pPr>
            <w:r>
              <w:rPr>
                <w:rFonts w:ascii="Arial" w:cs="Arial" w:eastAsia="Arial" w:hAnsi="Arial"/>
                <w:sz w:val="16"/>
                <w:szCs w:val="16"/>
                <w:color w:val="auto"/>
              </w:rPr>
              <w:t>Total</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186,757</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186,757</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Common stock - financial services industry</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Other Securities:</w:t>
            </w:r>
          </w:p>
        </w:tc>
        <w:tc>
          <w:tcPr>
            <w:tcW w:w="6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Corporate measured at NAV</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4,763</w:t>
            </w:r>
          </w:p>
        </w:tc>
      </w:tr>
      <w:tr>
        <w:trPr>
          <w:trHeight w:val="244"/>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available-for-sale securities</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186,757</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191,726</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Marketable equity securities measured at NAV</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1,862</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fair value hedges (unrealized</w:t>
            </w: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gain carried as receivable from derivative counterparties)</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9,717</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9,717</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cash flow hedges</w:t>
            </w: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0"/>
        </w:trPr>
        <w:tc>
          <w:tcPr>
            <w:tcW w:w="4180" w:type="dxa"/>
            <w:vAlign w:val="bottom"/>
            <w:gridSpan w:val="5"/>
            <w:shd w:val="clear" w:color="auto" w:fill="CFF0FC"/>
          </w:tcPr>
          <w:p>
            <w:pPr>
              <w:ind w:left="20"/>
              <w:spacing w:after="0" w:line="180" w:lineRule="exact"/>
              <w:rPr>
                <w:sz w:val="20"/>
                <w:szCs w:val="20"/>
                <w:color w:val="auto"/>
              </w:rPr>
            </w:pPr>
            <w:r>
              <w:rPr>
                <w:rFonts w:ascii="Arial" w:cs="Arial" w:eastAsia="Arial" w:hAnsi="Arial"/>
                <w:sz w:val="16"/>
                <w:szCs w:val="16"/>
                <w:color w:val="auto"/>
              </w:rPr>
              <w:t>(unrealized gain carried as receivable from derivative</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counterparties)</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519</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519</w:t>
            </w:r>
          </w:p>
        </w:tc>
      </w:tr>
    </w:tbl>
    <w:p>
      <w:pPr>
        <w:spacing w:after="0" w:line="32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Pathfinder Bank had the following assets measured at fair value on a nonrecurring basis as of September 30, 2023 and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September 30, 2023</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1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Level 2</w:t>
            </w:r>
          </w:p>
        </w:tc>
        <w:tc>
          <w:tcPr>
            <w:tcW w:w="72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w w:val="96"/>
              </w:rPr>
              <w:t>Level 3</w:t>
            </w: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Impaired loans</w:t>
            </w:r>
          </w:p>
        </w:tc>
        <w:tc>
          <w:tcPr>
            <w:tcW w:w="21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7,225</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7,225</w:t>
            </w: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color w:val="auto"/>
              </w:rPr>
              <w:t>Foreclosed real estate</w:t>
            </w:r>
          </w:p>
        </w:tc>
        <w:tc>
          <w:tcPr>
            <w:tcW w:w="2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189</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189</w:t>
            </w:r>
          </w:p>
        </w:tc>
      </w:tr>
      <w:tr>
        <w:trPr>
          <w:trHeight w:val="444"/>
        </w:trPr>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December 31, 2022</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1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Level 2</w:t>
            </w:r>
          </w:p>
        </w:tc>
        <w:tc>
          <w:tcPr>
            <w:tcW w:w="72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w w:val="96"/>
              </w:rPr>
              <w:t>Level 3</w:t>
            </w: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Impaired loans</w:t>
            </w:r>
          </w:p>
        </w:tc>
        <w:tc>
          <w:tcPr>
            <w:tcW w:w="21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2,328</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2,328</w:t>
            </w: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color w:val="auto"/>
              </w:rPr>
              <w:t>Foreclosed real estate</w:t>
            </w:r>
          </w:p>
        </w:tc>
        <w:tc>
          <w:tcPr>
            <w:tcW w:w="2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221</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221</w:t>
            </w:r>
          </w:p>
        </w:tc>
      </w:tr>
    </w:tbl>
    <w:p>
      <w:pPr>
        <w:spacing w:after="0" w:line="21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following table presents additional quantitative information about assets measured at fair value on a nonrecurring basis and for which Level 3 inputs were used to determine fair value at the indicated dates.</w:t>
      </w:r>
    </w:p>
    <w:p>
      <w:pPr>
        <w:sectPr>
          <w:pgSz w:w="11900" w:h="16840" w:orient="portrait"/>
          <w:cols w:equalWidth="0" w:num="1">
            <w:col w:w="10560"/>
          </w:cols>
          <w:pgMar w:left="660" w:top="922"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line="302" w:lineRule="auto"/>
        <w:rPr>
          <w:sz w:val="20"/>
          <w:szCs w:val="20"/>
          <w:color w:val="auto"/>
        </w:rPr>
      </w:pPr>
      <w:r>
        <w:rPr>
          <w:rFonts w:ascii="Arial" w:cs="Arial" w:eastAsia="Arial" w:hAnsi="Arial"/>
          <w:sz w:val="14"/>
          <w:szCs w:val="14"/>
          <w:color w:val="auto"/>
        </w:rPr>
        <w:t>At September 30, 2023 Impaired loans Foreclosed real estate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72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rPr>
              <w:t>Quantitative Information about Level 3 Fair Value Measurements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20" w:type="dxa"/>
            <w:vAlign w:val="bottom"/>
          </w:tcPr>
          <w:p>
            <w:pPr>
              <w:jc w:val="center"/>
              <w:ind w:right="288"/>
              <w:spacing w:after="0"/>
              <w:rPr>
                <w:sz w:val="20"/>
                <w:szCs w:val="20"/>
                <w:color w:val="auto"/>
              </w:rPr>
            </w:pPr>
            <w:r>
              <w:rPr>
                <w:rFonts w:ascii="Arial" w:cs="Arial" w:eastAsia="Arial" w:hAnsi="Arial"/>
                <w:sz w:val="14"/>
                <w:szCs w:val="14"/>
                <w:color w:val="auto"/>
              </w:rPr>
              <w:t>Valuation</w:t>
            </w:r>
          </w:p>
        </w:tc>
        <w:tc>
          <w:tcPr>
            <w:tcW w:w="4840" w:type="dxa"/>
            <w:vAlign w:val="bottom"/>
          </w:tcPr>
          <w:p>
            <w:pPr>
              <w:jc w:val="center"/>
              <w:spacing w:after="0"/>
              <w:rPr>
                <w:sz w:val="20"/>
                <w:szCs w:val="20"/>
                <w:color w:val="auto"/>
              </w:rPr>
            </w:pPr>
            <w:r>
              <w:rPr>
                <w:rFonts w:ascii="Arial" w:cs="Arial" w:eastAsia="Arial" w:hAnsi="Arial"/>
                <w:sz w:val="14"/>
                <w:szCs w:val="14"/>
                <w:color w:val="auto"/>
              </w:rPr>
              <w:t>Unobservable</w:t>
            </w:r>
          </w:p>
        </w:tc>
        <w:tc>
          <w:tcPr>
            <w:tcW w:w="1500" w:type="dxa"/>
            <w:vAlign w:val="bottom"/>
          </w:tcPr>
          <w:p>
            <w:pPr>
              <w:jc w:val="center"/>
              <w:ind w:left="328"/>
              <w:spacing w:after="0"/>
              <w:rPr>
                <w:sz w:val="20"/>
                <w:szCs w:val="20"/>
                <w:color w:val="auto"/>
              </w:rPr>
            </w:pPr>
            <w:r>
              <w:rPr>
                <w:rFonts w:ascii="Arial" w:cs="Arial" w:eastAsia="Arial" w:hAnsi="Arial"/>
                <w:sz w:val="14"/>
                <w:szCs w:val="14"/>
                <w:color w:val="auto"/>
              </w:rPr>
              <w:t>Range</w:t>
            </w:r>
          </w:p>
        </w:tc>
        <w:tc>
          <w:tcPr>
            <w:tcW w:w="0" w:type="dxa"/>
            <w:vAlign w:val="bottom"/>
          </w:tcPr>
          <w:p>
            <w:pPr>
              <w:spacing w:after="0"/>
              <w:rPr>
                <w:sz w:val="1"/>
                <w:szCs w:val="1"/>
                <w:color w:val="auto"/>
              </w:rPr>
            </w:pPr>
          </w:p>
        </w:tc>
      </w:tr>
      <w:tr>
        <w:trPr>
          <w:trHeight w:val="192"/>
        </w:trPr>
        <w:tc>
          <w:tcPr>
            <w:tcW w:w="1720" w:type="dxa"/>
            <w:vAlign w:val="bottom"/>
          </w:tcPr>
          <w:p>
            <w:pPr>
              <w:jc w:val="center"/>
              <w:ind w:right="268"/>
              <w:spacing w:after="0"/>
              <w:rPr>
                <w:sz w:val="20"/>
                <w:szCs w:val="20"/>
                <w:color w:val="auto"/>
              </w:rPr>
            </w:pPr>
            <w:r>
              <w:rPr>
                <w:rFonts w:ascii="Arial" w:cs="Arial" w:eastAsia="Arial" w:hAnsi="Arial"/>
                <w:sz w:val="14"/>
                <w:szCs w:val="14"/>
                <w:color w:val="auto"/>
              </w:rPr>
              <w:t>Techniques</w:t>
            </w:r>
          </w:p>
        </w:tc>
        <w:tc>
          <w:tcPr>
            <w:tcW w:w="4840" w:type="dxa"/>
            <w:vAlign w:val="bottom"/>
          </w:tcPr>
          <w:p>
            <w:pPr>
              <w:jc w:val="center"/>
              <w:spacing w:after="0"/>
              <w:rPr>
                <w:sz w:val="20"/>
                <w:szCs w:val="20"/>
                <w:color w:val="auto"/>
              </w:rPr>
            </w:pPr>
            <w:r>
              <w:rPr>
                <w:rFonts w:ascii="Arial" w:cs="Arial" w:eastAsia="Arial" w:hAnsi="Arial"/>
                <w:sz w:val="14"/>
                <w:szCs w:val="14"/>
                <w:color w:val="auto"/>
              </w:rPr>
              <w:t>Input</w:t>
            </w:r>
          </w:p>
        </w:tc>
        <w:tc>
          <w:tcPr>
            <w:tcW w:w="1500" w:type="dxa"/>
            <w:vAlign w:val="bottom"/>
          </w:tcPr>
          <w:p>
            <w:pPr>
              <w:jc w:val="center"/>
              <w:ind w:left="328"/>
              <w:spacing w:after="0"/>
              <w:rPr>
                <w:sz w:val="20"/>
                <w:szCs w:val="20"/>
                <w:color w:val="auto"/>
              </w:rPr>
            </w:pPr>
            <w:r>
              <w:rPr>
                <w:rFonts w:ascii="Arial" w:cs="Arial" w:eastAsia="Arial" w:hAnsi="Arial"/>
                <w:sz w:val="14"/>
                <w:szCs w:val="14"/>
                <w:color w:val="auto"/>
              </w:rPr>
              <w:t>(Weighted Avg.)</w:t>
            </w:r>
          </w:p>
        </w:tc>
        <w:tc>
          <w:tcPr>
            <w:tcW w:w="0" w:type="dxa"/>
            <w:vAlign w:val="bottom"/>
          </w:tcPr>
          <w:p>
            <w:pPr>
              <w:spacing w:after="0"/>
              <w:rPr>
                <w:sz w:val="1"/>
                <w:szCs w:val="1"/>
                <w:color w:val="auto"/>
              </w:rPr>
            </w:pPr>
          </w:p>
        </w:tc>
      </w:tr>
      <w:tr>
        <w:trPr>
          <w:trHeight w:val="384"/>
        </w:trPr>
        <w:tc>
          <w:tcPr>
            <w:tcW w:w="1720" w:type="dxa"/>
            <w:vAlign w:val="bottom"/>
          </w:tcPr>
          <w:p>
            <w:pPr>
              <w:jc w:val="center"/>
              <w:ind w:right="268"/>
              <w:spacing w:after="0"/>
              <w:rPr>
                <w:sz w:val="20"/>
                <w:szCs w:val="20"/>
                <w:color w:val="auto"/>
              </w:rPr>
            </w:pPr>
            <w:r>
              <w:rPr>
                <w:rFonts w:ascii="Arial" w:cs="Arial" w:eastAsia="Arial" w:hAnsi="Arial"/>
                <w:sz w:val="14"/>
                <w:szCs w:val="14"/>
                <w:color w:val="auto"/>
              </w:rPr>
              <w:t>Appraisal of collateral</w:t>
            </w:r>
          </w:p>
        </w:tc>
        <w:tc>
          <w:tcPr>
            <w:tcW w:w="4840" w:type="dxa"/>
            <w:vAlign w:val="bottom"/>
          </w:tcPr>
          <w:p>
            <w:pPr>
              <w:jc w:val="center"/>
              <w:spacing w:after="0"/>
              <w:rPr>
                <w:sz w:val="20"/>
                <w:szCs w:val="20"/>
                <w:color w:val="auto"/>
              </w:rPr>
            </w:pPr>
            <w:r>
              <w:rPr>
                <w:rFonts w:ascii="Arial" w:cs="Arial" w:eastAsia="Arial" w:hAnsi="Arial"/>
                <w:sz w:val="14"/>
                <w:szCs w:val="14"/>
                <w:color w:val="auto"/>
              </w:rPr>
              <w:t>Discounted Cash Flow</w:t>
            </w:r>
          </w:p>
        </w:tc>
        <w:tc>
          <w:tcPr>
            <w:tcW w:w="1500" w:type="dxa"/>
            <w:vAlign w:val="bottom"/>
          </w:tcPr>
          <w:p>
            <w:pPr>
              <w:jc w:val="center"/>
              <w:ind w:left="328"/>
              <w:spacing w:after="0"/>
              <w:rPr>
                <w:sz w:val="20"/>
                <w:szCs w:val="20"/>
                <w:color w:val="auto"/>
              </w:rPr>
            </w:pPr>
            <w:r>
              <w:rPr>
                <w:rFonts w:ascii="Arial" w:cs="Arial" w:eastAsia="Arial" w:hAnsi="Arial"/>
                <w:sz w:val="14"/>
                <w:szCs w:val="14"/>
                <w:color w:val="auto"/>
              </w:rPr>
              <w:t>12% - 50% (18%)</w:t>
            </w:r>
          </w:p>
        </w:tc>
        <w:tc>
          <w:tcPr>
            <w:tcW w:w="0" w:type="dxa"/>
            <w:vAlign w:val="bottom"/>
          </w:tcPr>
          <w:p>
            <w:pPr>
              <w:spacing w:after="0"/>
              <w:rPr>
                <w:sz w:val="1"/>
                <w:szCs w:val="1"/>
                <w:color w:val="auto"/>
              </w:rPr>
            </w:pPr>
          </w:p>
        </w:tc>
      </w:tr>
      <w:tr>
        <w:trPr>
          <w:trHeight w:val="192"/>
        </w:trPr>
        <w:tc>
          <w:tcPr>
            <w:tcW w:w="1720" w:type="dxa"/>
            <w:vAlign w:val="bottom"/>
            <w:vMerge w:val="restart"/>
          </w:tcPr>
          <w:p>
            <w:pPr>
              <w:jc w:val="center"/>
              <w:ind w:right="268"/>
              <w:spacing w:after="0"/>
              <w:rPr>
                <w:sz w:val="20"/>
                <w:szCs w:val="20"/>
                <w:color w:val="auto"/>
              </w:rPr>
            </w:pPr>
            <w:r>
              <w:rPr>
                <w:rFonts w:ascii="Arial" w:cs="Arial" w:eastAsia="Arial" w:hAnsi="Arial"/>
                <w:sz w:val="14"/>
                <w:szCs w:val="14"/>
                <w:color w:val="auto"/>
              </w:rPr>
              <w:t>Appraisal of collateral</w:t>
            </w:r>
          </w:p>
        </w:tc>
        <w:tc>
          <w:tcPr>
            <w:tcW w:w="4840" w:type="dxa"/>
            <w:vAlign w:val="bottom"/>
          </w:tcPr>
          <w:p>
            <w:pPr>
              <w:jc w:val="center"/>
              <w:spacing w:after="0"/>
              <w:rPr>
                <w:sz w:val="20"/>
                <w:szCs w:val="20"/>
                <w:color w:val="auto"/>
              </w:rPr>
            </w:pPr>
            <w:r>
              <w:rPr>
                <w:rFonts w:ascii="Arial" w:cs="Arial" w:eastAsia="Arial" w:hAnsi="Arial"/>
                <w:sz w:val="14"/>
                <w:szCs w:val="14"/>
                <w:color w:val="auto"/>
              </w:rPr>
              <w:t>Costs to Sell</w:t>
            </w:r>
          </w:p>
        </w:tc>
        <w:tc>
          <w:tcPr>
            <w:tcW w:w="1500" w:type="dxa"/>
            <w:vAlign w:val="bottom"/>
            <w:vMerge w:val="restart"/>
          </w:tcPr>
          <w:p>
            <w:pPr>
              <w:jc w:val="center"/>
              <w:ind w:left="328"/>
              <w:spacing w:after="0"/>
              <w:rPr>
                <w:sz w:val="20"/>
                <w:szCs w:val="20"/>
                <w:color w:val="auto"/>
              </w:rPr>
            </w:pPr>
            <w:r>
              <w:rPr>
                <w:rFonts w:ascii="Arial" w:cs="Arial" w:eastAsia="Arial" w:hAnsi="Arial"/>
                <w:sz w:val="14"/>
                <w:szCs w:val="14"/>
                <w:color w:val="auto"/>
              </w:rPr>
              <w:t>21% - 24% (22%)</w:t>
            </w:r>
          </w:p>
        </w:tc>
        <w:tc>
          <w:tcPr>
            <w:tcW w:w="0" w:type="dxa"/>
            <w:vAlign w:val="bottom"/>
          </w:tcPr>
          <w:p>
            <w:pPr>
              <w:spacing w:after="0"/>
              <w:rPr>
                <w:sz w:val="1"/>
                <w:szCs w:val="1"/>
                <w:color w:val="auto"/>
              </w:rPr>
            </w:pPr>
          </w:p>
        </w:tc>
      </w:tr>
      <w:tr>
        <w:trPr>
          <w:trHeight w:val="72"/>
        </w:trPr>
        <w:tc>
          <w:tcPr>
            <w:tcW w:w="1720" w:type="dxa"/>
            <w:vAlign w:val="bottom"/>
            <w:vMerge w:val="continue"/>
          </w:tcPr>
          <w:p>
            <w:pPr>
              <w:spacing w:after="0"/>
              <w:rPr>
                <w:sz w:val="6"/>
                <w:szCs w:val="6"/>
                <w:color w:val="auto"/>
              </w:rPr>
            </w:pPr>
          </w:p>
        </w:tc>
        <w:tc>
          <w:tcPr>
            <w:tcW w:w="484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-163195</wp:posOffset>
            </wp:positionV>
            <wp:extent cx="6707505" cy="220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22098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1500" w:space="720"/>
            <w:col w:w="8340"/>
          </w:cols>
          <w:pgMar w:left="660" w:top="922" w:right="680" w:bottom="1440" w:gutter="0" w:footer="0" w:header="0"/>
          <w:type w:val="continuous"/>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37</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2" w:right="68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rPr>
              <w:t>Quantitative Information about Level 3 Fair Value Measurements</w:t>
            </w: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18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Valuation</w:t>
            </w:r>
          </w:p>
        </w:tc>
        <w:tc>
          <w:tcPr>
            <w:tcW w:w="4840" w:type="dxa"/>
            <w:vAlign w:val="bottom"/>
          </w:tcPr>
          <w:p>
            <w:pPr>
              <w:jc w:val="center"/>
              <w:spacing w:after="0"/>
              <w:rPr>
                <w:sz w:val="20"/>
                <w:szCs w:val="20"/>
                <w:color w:val="auto"/>
              </w:rPr>
            </w:pPr>
            <w:r>
              <w:rPr>
                <w:rFonts w:ascii="Arial" w:cs="Arial" w:eastAsia="Arial" w:hAnsi="Arial"/>
                <w:sz w:val="14"/>
                <w:szCs w:val="14"/>
                <w:color w:val="auto"/>
              </w:rPr>
              <w:t>Unobservable</w:t>
            </w:r>
          </w:p>
        </w:tc>
        <w:tc>
          <w:tcPr>
            <w:tcW w:w="1780" w:type="dxa"/>
            <w:vAlign w:val="bottom"/>
            <w:gridSpan w:val="2"/>
          </w:tcPr>
          <w:p>
            <w:pPr>
              <w:jc w:val="center"/>
              <w:ind w:left="48"/>
              <w:spacing w:after="0"/>
              <w:rPr>
                <w:sz w:val="20"/>
                <w:szCs w:val="20"/>
                <w:color w:val="auto"/>
              </w:rPr>
            </w:pPr>
            <w:r>
              <w:rPr>
                <w:rFonts w:ascii="Arial" w:cs="Arial" w:eastAsia="Arial" w:hAnsi="Arial"/>
                <w:sz w:val="14"/>
                <w:szCs w:val="14"/>
                <w:color w:val="auto"/>
              </w:rPr>
              <w:t>Range</w:t>
            </w:r>
          </w:p>
        </w:tc>
      </w:tr>
      <w:tr>
        <w:trPr>
          <w:trHeight w:val="192"/>
        </w:trPr>
        <w:tc>
          <w:tcPr>
            <w:tcW w:w="18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Techniques</w:t>
            </w:r>
          </w:p>
        </w:tc>
        <w:tc>
          <w:tcPr>
            <w:tcW w:w="4840" w:type="dxa"/>
            <w:vAlign w:val="bottom"/>
          </w:tcPr>
          <w:p>
            <w:pPr>
              <w:jc w:val="center"/>
              <w:spacing w:after="0"/>
              <w:rPr>
                <w:sz w:val="20"/>
                <w:szCs w:val="20"/>
                <w:color w:val="auto"/>
              </w:rPr>
            </w:pPr>
            <w:r>
              <w:rPr>
                <w:rFonts w:ascii="Arial" w:cs="Arial" w:eastAsia="Arial" w:hAnsi="Arial"/>
                <w:sz w:val="14"/>
                <w:szCs w:val="14"/>
                <w:color w:val="auto"/>
              </w:rPr>
              <w:t>Input</w:t>
            </w:r>
          </w:p>
        </w:tc>
        <w:tc>
          <w:tcPr>
            <w:tcW w:w="1780" w:type="dxa"/>
            <w:vAlign w:val="bottom"/>
            <w:gridSpan w:val="2"/>
          </w:tcPr>
          <w:p>
            <w:pPr>
              <w:jc w:val="center"/>
              <w:ind w:left="48"/>
              <w:spacing w:after="0"/>
              <w:rPr>
                <w:sz w:val="20"/>
                <w:szCs w:val="20"/>
                <w:color w:val="auto"/>
              </w:rPr>
            </w:pPr>
            <w:r>
              <w:rPr>
                <w:rFonts w:ascii="Arial" w:cs="Arial" w:eastAsia="Arial" w:hAnsi="Arial"/>
                <w:sz w:val="14"/>
                <w:szCs w:val="14"/>
                <w:color w:val="auto"/>
              </w:rPr>
              <w:t>(Weighted Avg.)</w:t>
            </w:r>
          </w:p>
        </w:tc>
      </w:tr>
      <w:tr>
        <w:trPr>
          <w:trHeight w:val="195"/>
        </w:trPr>
        <w:tc>
          <w:tcPr>
            <w:tcW w:w="1840" w:type="dxa"/>
            <w:vAlign w:val="bottom"/>
          </w:tcPr>
          <w:p>
            <w:pPr>
              <w:ind w:left="20"/>
              <w:spacing w:after="0"/>
              <w:rPr>
                <w:sz w:val="20"/>
                <w:szCs w:val="20"/>
                <w:color w:val="auto"/>
              </w:rPr>
            </w:pPr>
            <w:r>
              <w:rPr>
                <w:rFonts w:ascii="Arial" w:cs="Arial" w:eastAsia="Arial" w:hAnsi="Arial"/>
                <w:sz w:val="14"/>
                <w:szCs w:val="14"/>
                <w:color w:val="auto"/>
              </w:rPr>
              <w:t>At December 31, 2022</w:t>
            </w:r>
          </w:p>
        </w:tc>
        <w:tc>
          <w:tcPr>
            <w:tcW w:w="21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5"/>
        </w:trPr>
        <w:tc>
          <w:tcPr>
            <w:tcW w:w="1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Impaired loans</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of collateral</w:t>
            </w:r>
          </w:p>
        </w:tc>
        <w:tc>
          <w:tcPr>
            <w:tcW w:w="4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Discounted Cash Flow</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- 35%</w:t>
            </w:r>
          </w:p>
        </w:tc>
        <w:tc>
          <w:tcPr>
            <w:tcW w:w="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(17%)</w:t>
            </w:r>
          </w:p>
        </w:tc>
      </w:tr>
      <w:tr>
        <w:trPr>
          <w:trHeight w:val="189"/>
        </w:trPr>
        <w:tc>
          <w:tcPr>
            <w:tcW w:w="18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(Sales Approach)</w:t>
            </w:r>
          </w:p>
        </w:tc>
        <w:tc>
          <w:tcPr>
            <w:tcW w:w="4840" w:type="dxa"/>
            <w:vAlign w:val="bottom"/>
          </w:tcPr>
          <w:p>
            <w:pPr>
              <w:jc w:val="center"/>
              <w:spacing w:after="0"/>
              <w:rPr>
                <w:sz w:val="20"/>
                <w:szCs w:val="20"/>
                <w:color w:val="auto"/>
              </w:rPr>
            </w:pPr>
            <w:r>
              <w:rPr>
                <w:rFonts w:ascii="Arial" w:cs="Arial" w:eastAsia="Arial" w:hAnsi="Arial"/>
                <w:sz w:val="14"/>
                <w:szCs w:val="14"/>
                <w:color w:val="auto"/>
              </w:rPr>
              <w:t>Costs to Sell</w:t>
            </w:r>
          </w:p>
        </w:tc>
        <w:tc>
          <w:tcPr>
            <w:tcW w:w="1060" w:type="dxa"/>
            <w:vAlign w:val="bottom"/>
          </w:tcPr>
          <w:p>
            <w:pPr>
              <w:jc w:val="right"/>
              <w:spacing w:after="0"/>
              <w:rPr>
                <w:sz w:val="20"/>
                <w:szCs w:val="20"/>
                <w:color w:val="auto"/>
              </w:rPr>
            </w:pPr>
            <w:r>
              <w:rPr>
                <w:rFonts w:ascii="Arial" w:cs="Arial" w:eastAsia="Arial" w:hAnsi="Arial"/>
                <w:sz w:val="14"/>
                <w:szCs w:val="14"/>
                <w:color w:val="auto"/>
              </w:rPr>
              <w:t>7% - 14%</w:t>
            </w:r>
          </w:p>
        </w:tc>
        <w:tc>
          <w:tcPr>
            <w:tcW w:w="720" w:type="dxa"/>
            <w:vAlign w:val="bottom"/>
          </w:tcPr>
          <w:p>
            <w:pPr>
              <w:ind w:left="20"/>
              <w:spacing w:after="0"/>
              <w:rPr>
                <w:sz w:val="20"/>
                <w:szCs w:val="20"/>
                <w:color w:val="auto"/>
              </w:rPr>
            </w:pPr>
            <w:r>
              <w:rPr>
                <w:rFonts w:ascii="Arial" w:cs="Arial" w:eastAsia="Arial" w:hAnsi="Arial"/>
                <w:sz w:val="14"/>
                <w:szCs w:val="14"/>
                <w:color w:val="auto"/>
              </w:rPr>
              <w:t>(12%)</w:t>
            </w:r>
          </w:p>
        </w:tc>
      </w:tr>
      <w:tr>
        <w:trPr>
          <w:trHeight w:val="195"/>
        </w:trPr>
        <w:tc>
          <w:tcPr>
            <w:tcW w:w="1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Foreclosed real estate</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of collateral</w:t>
            </w:r>
          </w:p>
        </w:tc>
        <w:tc>
          <w:tcPr>
            <w:tcW w:w="4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Adjustments</w:t>
            </w:r>
          </w:p>
        </w:tc>
        <w:tc>
          <w:tcPr>
            <w:tcW w:w="17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15% - 15% (15%)</w:t>
            </w:r>
          </w:p>
        </w:tc>
      </w:tr>
      <w:tr>
        <w:trPr>
          <w:trHeight w:val="186"/>
        </w:trPr>
        <w:tc>
          <w:tcPr>
            <w:tcW w:w="18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(Sales Approach)</w:t>
            </w:r>
          </w:p>
        </w:tc>
        <w:tc>
          <w:tcPr>
            <w:tcW w:w="4840" w:type="dxa"/>
            <w:vAlign w:val="bottom"/>
          </w:tcPr>
          <w:p>
            <w:pPr>
              <w:jc w:val="center"/>
              <w:spacing w:after="0"/>
              <w:rPr>
                <w:sz w:val="20"/>
                <w:szCs w:val="20"/>
                <w:color w:val="auto"/>
              </w:rPr>
            </w:pPr>
            <w:r>
              <w:rPr>
                <w:rFonts w:ascii="Arial" w:cs="Arial" w:eastAsia="Arial" w:hAnsi="Arial"/>
                <w:sz w:val="14"/>
                <w:szCs w:val="14"/>
                <w:color w:val="auto"/>
              </w:rPr>
              <w:t>Costs to Sell</w:t>
            </w:r>
          </w:p>
        </w:tc>
        <w:tc>
          <w:tcPr>
            <w:tcW w:w="1060" w:type="dxa"/>
            <w:vAlign w:val="bottom"/>
          </w:tcPr>
          <w:p>
            <w:pPr>
              <w:jc w:val="right"/>
              <w:spacing w:after="0"/>
              <w:rPr>
                <w:sz w:val="20"/>
                <w:szCs w:val="20"/>
                <w:color w:val="auto"/>
              </w:rPr>
            </w:pPr>
            <w:r>
              <w:rPr>
                <w:rFonts w:ascii="Arial" w:cs="Arial" w:eastAsia="Arial" w:hAnsi="Arial"/>
                <w:sz w:val="14"/>
                <w:szCs w:val="14"/>
                <w:color w:val="auto"/>
              </w:rPr>
              <w:t>6% - 9%</w:t>
            </w:r>
          </w:p>
        </w:tc>
        <w:tc>
          <w:tcPr>
            <w:tcW w:w="720" w:type="dxa"/>
            <w:vAlign w:val="bottom"/>
          </w:tcPr>
          <w:p>
            <w:pPr>
              <w:ind w:left="20"/>
              <w:spacing w:after="0"/>
              <w:rPr>
                <w:sz w:val="20"/>
                <w:szCs w:val="20"/>
                <w:color w:val="auto"/>
              </w:rPr>
            </w:pPr>
            <w:r>
              <w:rPr>
                <w:rFonts w:ascii="Arial" w:cs="Arial" w:eastAsia="Arial" w:hAnsi="Arial"/>
                <w:sz w:val="14"/>
                <w:szCs w:val="14"/>
                <w:color w:val="auto"/>
              </w:rPr>
              <w:t>(8%)</w:t>
            </w:r>
          </w:p>
        </w:tc>
      </w:tr>
    </w:tbl>
    <w:p>
      <w:pPr>
        <w:spacing w:after="0" w:line="311"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There have been no transfers of assets into or out of any fair value measurement level during the three or nine months ended September 30, 2023.</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Required disclosures include fair value information of financial instruments, whether or not recognized in the consolidated statement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4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3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4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 The carrying amounts of these assets approximate their fair value and are classified as Level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Federal Home Loan Bank stock – The carrying amount of these assets approximates their fair value and are classified as Level 2.</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impaired loans, is classified within Level 3 of the fair value hierarchy.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1" w:right="660" w:bottom="1440" w:gutter="0" w:footer="0" w:header="0"/>
        </w:sectPr>
      </w:pPr>
    </w:p>
    <w:bookmarkStart w:id="38" w:name="page39"/>
    <w:bookmarkEnd w:id="38"/>
    <w:p>
      <w:pPr>
        <w:ind w:right="260"/>
        <w:spacing w:after="0" w:line="275" w:lineRule="auto"/>
        <w:rPr>
          <w:sz w:val="20"/>
          <w:szCs w:val="20"/>
          <w:color w:val="auto"/>
        </w:rPr>
      </w:pPr>
      <w:r>
        <w:rPr>
          <w:rFonts w:ascii="Arial" w:cs="Arial" w:eastAsia="Arial" w:hAnsi="Arial"/>
          <w:sz w:val="18"/>
          <w:szCs w:val="18"/>
          <w:color w:val="auto"/>
        </w:rPr>
        <w:t>Accrued interest receivable and payable – The carrying amount of these assets approximates their fair value and are classified as Level 1.</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4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carrying amounts and fair values of the Company’s financial instruments as of the indicated dates are presented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3"/>
          </w:tcPr>
          <w:p>
            <w:pPr>
              <w:jc w:val="right"/>
              <w:ind w:right="482"/>
              <w:spacing w:after="0"/>
              <w:rPr>
                <w:sz w:val="20"/>
                <w:szCs w:val="20"/>
                <w:color w:val="auto"/>
              </w:rPr>
            </w:pPr>
            <w:r>
              <w:rPr>
                <w:rFonts w:ascii="Arial" w:cs="Arial" w:eastAsia="Arial" w:hAnsi="Arial"/>
                <w:sz w:val="16"/>
                <w:szCs w:val="16"/>
                <w:color w:val="auto"/>
              </w:rPr>
              <w:t>September 30, 2023</w:t>
            </w:r>
          </w:p>
        </w:tc>
        <w:tc>
          <w:tcPr>
            <w:tcW w:w="380" w:type="dxa"/>
            <w:vAlign w:val="bottom"/>
          </w:tcPr>
          <w:p>
            <w:pPr>
              <w:spacing w:after="0"/>
              <w:rPr>
                <w:sz w:val="17"/>
                <w:szCs w:val="17"/>
                <w:color w:val="auto"/>
              </w:rPr>
            </w:pPr>
          </w:p>
        </w:tc>
        <w:tc>
          <w:tcPr>
            <w:tcW w:w="2040" w:type="dxa"/>
            <w:vAlign w:val="bottom"/>
            <w:gridSpan w:val="3"/>
          </w:tcPr>
          <w:p>
            <w:pPr>
              <w:jc w:val="right"/>
              <w:ind w:right="422"/>
              <w:spacing w:after="0"/>
              <w:rPr>
                <w:sz w:val="20"/>
                <w:szCs w:val="20"/>
                <w:color w:val="auto"/>
              </w:rPr>
            </w:pPr>
            <w:r>
              <w:rPr>
                <w:rFonts w:ascii="Arial" w:cs="Arial" w:eastAsia="Arial" w:hAnsi="Arial"/>
                <w:sz w:val="16"/>
                <w:szCs w:val="16"/>
                <w:color w:val="auto"/>
              </w:rPr>
              <w:t>December 31, 2022</w:t>
            </w:r>
          </w:p>
        </w:tc>
      </w:tr>
      <w:tr>
        <w:trPr>
          <w:trHeight w:val="204"/>
        </w:trPr>
        <w:tc>
          <w:tcPr>
            <w:tcW w:w="4340" w:type="dxa"/>
            <w:vAlign w:val="bottom"/>
          </w:tcPr>
          <w:p>
            <w:pPr>
              <w:spacing w:after="0"/>
              <w:rPr>
                <w:sz w:val="17"/>
                <w:szCs w:val="17"/>
                <w:color w:val="auto"/>
              </w:rPr>
            </w:pPr>
          </w:p>
        </w:tc>
        <w:tc>
          <w:tcPr>
            <w:tcW w:w="1220" w:type="dxa"/>
            <w:vAlign w:val="bottom"/>
          </w:tcPr>
          <w:p>
            <w:pPr>
              <w:jc w:val="center"/>
              <w:ind w:left="2"/>
              <w:spacing w:after="0"/>
              <w:rPr>
                <w:sz w:val="20"/>
                <w:szCs w:val="20"/>
                <w:color w:val="auto"/>
              </w:rPr>
            </w:pPr>
            <w:r>
              <w:rPr>
                <w:rFonts w:ascii="Arial" w:cs="Arial" w:eastAsia="Arial" w:hAnsi="Arial"/>
                <w:sz w:val="16"/>
                <w:szCs w:val="16"/>
                <w:color w:val="auto"/>
                <w:w w:val="95"/>
              </w:rPr>
              <w:t>Fair Value</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Carrying</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Estimated</w:t>
            </w:r>
          </w:p>
        </w:tc>
        <w:tc>
          <w:tcPr>
            <w:tcW w:w="3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Carrying</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Estimated</w:t>
            </w:r>
          </w:p>
        </w:tc>
      </w:tr>
      <w:tr>
        <w:trPr>
          <w:trHeight w:val="205"/>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jc w:val="center"/>
              <w:ind w:left="2"/>
              <w:spacing w:after="0"/>
              <w:rPr>
                <w:sz w:val="20"/>
                <w:szCs w:val="20"/>
                <w:color w:val="auto"/>
              </w:rPr>
            </w:pPr>
            <w:r>
              <w:rPr>
                <w:rFonts w:ascii="Arial" w:cs="Arial" w:eastAsia="Arial" w:hAnsi="Arial"/>
                <w:sz w:val="16"/>
                <w:szCs w:val="16"/>
                <w:color w:val="auto"/>
                <w:w w:val="96"/>
              </w:rPr>
              <w:t>Hierarchy</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Amounts</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Fair Values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Amounts</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Fair Values</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assets:</w:t>
            </w:r>
          </w:p>
        </w:tc>
        <w:tc>
          <w:tcPr>
            <w:tcW w:w="1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1</w:t>
            </w:r>
          </w:p>
        </w:tc>
        <w:tc>
          <w:tcPr>
            <w:tcW w:w="4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24,474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24,474</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35,282</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35,282</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 available-for-sale</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202,196</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202,196</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186,757</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186,757</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Investment securities - available-for-sale</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97"/>
              </w:rPr>
              <w:t>NAV</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4,446</w:t>
            </w:r>
          </w:p>
        </w:tc>
        <w:tc>
          <w:tcPr>
            <w:tcW w:w="2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4,446</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4,763</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4,763</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 marketable equity</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97"/>
              </w:rPr>
              <w:t>NAV</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3,013</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1,862</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Investment securities - held-to-maturity</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185,589</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170,575</w:t>
            </w:r>
          </w:p>
        </w:tc>
        <w:tc>
          <w:tcPr>
            <w:tcW w:w="3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194,402</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181,491</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Federal Home Loan Bank stock</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5,824</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5,824</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5,982</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Net loans</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3</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880,356</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827,228</w:t>
            </w:r>
          </w:p>
        </w:tc>
        <w:tc>
          <w:tcPr>
            <w:tcW w:w="3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882,435</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844,892</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interest receivable</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1</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6,594</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6,594</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6,168</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6,168</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Interest rate swap derivative cash flow hedge receivable</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909</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909</w:t>
            </w:r>
          </w:p>
        </w:tc>
        <w:tc>
          <w:tcPr>
            <w:tcW w:w="3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519</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519</w:t>
            </w:r>
          </w:p>
        </w:tc>
      </w:tr>
      <w:tr>
        <w:trPr>
          <w:trHeight w:val="186"/>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derivative fair value hedges receivable - AFS</w:t>
            </w:r>
          </w:p>
        </w:tc>
        <w:tc>
          <w:tcPr>
            <w:tcW w:w="1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99"/>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6,709</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6,709</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8,240</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8,240</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Interest rate derivative fair value hedges receivable - loans</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5,807</w:t>
            </w:r>
          </w:p>
        </w:tc>
        <w:tc>
          <w:tcPr>
            <w:tcW w:w="2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5,807</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1,477</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1,477</w:t>
            </w:r>
          </w:p>
        </w:tc>
      </w:tr>
      <w:tr>
        <w:trPr>
          <w:trHeight w:val="205"/>
        </w:trPr>
        <w:tc>
          <w:tcPr>
            <w:tcW w:w="4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Demand Deposits, Savings, NOW and MMDA</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1</w:t>
            </w:r>
          </w:p>
        </w:tc>
        <w:tc>
          <w:tcPr>
            <w:tcW w:w="4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632,262</w:t>
            </w:r>
          </w:p>
        </w:tc>
        <w:tc>
          <w:tcPr>
            <w:tcW w:w="2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632,262</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699,624</w:t>
            </w:r>
          </w:p>
        </w:tc>
        <w:tc>
          <w:tcPr>
            <w:tcW w:w="2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699,624</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495,591</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494,392</w:t>
            </w:r>
          </w:p>
        </w:tc>
        <w:tc>
          <w:tcPr>
            <w:tcW w:w="3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425,806</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393,676</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Borrowings</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110,613</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108,300</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115,997</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112,877</w:t>
            </w: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Subordinated debt</w:t>
            </w:r>
          </w:p>
        </w:tc>
        <w:tc>
          <w:tcPr>
            <w:tcW w:w="1220" w:type="dxa"/>
            <w:vAlign w:val="bottom"/>
          </w:tcPr>
          <w:p>
            <w:pPr>
              <w:jc w:val="center"/>
              <w:ind w:left="22"/>
              <w:spacing w:after="0"/>
              <w:rPr>
                <w:sz w:val="20"/>
                <w:szCs w:val="20"/>
                <w:color w:val="auto"/>
              </w:rPr>
            </w:pPr>
            <w:r>
              <w:rPr>
                <w:rFonts w:ascii="Arial" w:cs="Arial" w:eastAsia="Arial" w:hAnsi="Arial"/>
                <w:sz w:val="16"/>
                <w:szCs w:val="16"/>
                <w:color w:val="auto"/>
                <w:w w:val="89"/>
              </w:rPr>
              <w:t>2</w:t>
            </w:r>
          </w:p>
        </w:tc>
        <w:tc>
          <w:tcPr>
            <w:tcW w:w="4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29,867</w:t>
            </w:r>
          </w:p>
        </w:tc>
        <w:tc>
          <w:tcPr>
            <w:tcW w:w="2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27,660</w:t>
            </w:r>
          </w:p>
        </w:tc>
        <w:tc>
          <w:tcPr>
            <w:tcW w:w="3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29,733</w:t>
            </w:r>
          </w:p>
        </w:tc>
        <w:tc>
          <w:tcPr>
            <w:tcW w:w="2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27,378</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interest payable</w:t>
            </w:r>
          </w:p>
        </w:tc>
        <w:tc>
          <w:tcPr>
            <w:tcW w:w="12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1</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1,731</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1,731</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975</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975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Interest Rate Derivatives</w:t>
      </w:r>
    </w:p>
    <w:p>
      <w:pPr>
        <w:spacing w:after="0" w:line="23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18"/>
          <w:szCs w:val="18"/>
          <w:color w:val="auto"/>
        </w:rPr>
        <w:t>collateral or settlement provisions, the Company believes that the credit risk inherent in these contracts was not material at September 30, 2023. Interest rate hedging agreements are recorded at fair value as other assets or liabilities. The Company had no material derivative contracts not designated as hedging agreements at September 30, 2023 or December 31, 2022.</w:t>
      </w:r>
    </w:p>
    <w:p>
      <w:pPr>
        <w:spacing w:after="0" w:line="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balance sheet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w:t>
      </w:r>
    </w:p>
    <w:p>
      <w:pPr>
        <w:spacing w:after="0" w:line="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September 30, 2023 and December 31, 2022:</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Cumulative Amount of</w:t>
            </w:r>
          </w:p>
        </w:tc>
        <w:tc>
          <w:tcPr>
            <w:tcW w:w="2000" w:type="dxa"/>
            <w:vAlign w:val="bottom"/>
          </w:tcPr>
          <w:p>
            <w:pPr>
              <w:spacing w:after="0"/>
              <w:rPr>
                <w:sz w:val="16"/>
                <w:szCs w:val="16"/>
                <w:color w:val="auto"/>
              </w:rPr>
            </w:pPr>
          </w:p>
        </w:tc>
        <w:tc>
          <w:tcPr>
            <w:tcW w:w="1800" w:type="dxa"/>
            <w:vAlign w:val="bottom"/>
          </w:tcPr>
          <w:p>
            <w:pPr>
              <w:jc w:val="center"/>
              <w:ind w:left="122"/>
              <w:spacing w:after="0"/>
              <w:rPr>
                <w:sz w:val="20"/>
                <w:szCs w:val="20"/>
                <w:color w:val="auto"/>
              </w:rPr>
            </w:pPr>
            <w:r>
              <w:rPr>
                <w:rFonts w:ascii="Arial" w:cs="Arial" w:eastAsia="Arial" w:hAnsi="Arial"/>
                <w:sz w:val="16"/>
                <w:szCs w:val="16"/>
                <w:color w:val="auto"/>
                <w:w w:val="96"/>
              </w:rPr>
              <w:t>Cumulative Amount of</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7"/>
              </w:rPr>
              <w:t>Fair Value Hedging</w:t>
            </w:r>
          </w:p>
        </w:tc>
        <w:tc>
          <w:tcPr>
            <w:tcW w:w="2000" w:type="dxa"/>
            <w:vAlign w:val="bottom"/>
          </w:tcPr>
          <w:p>
            <w:pPr>
              <w:spacing w:after="0"/>
              <w:rPr>
                <w:sz w:val="15"/>
                <w:szCs w:val="15"/>
                <w:color w:val="auto"/>
              </w:rPr>
            </w:pP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6"/>
              </w:rPr>
              <w:t>Fair Value Hedging</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7"/>
              </w:rPr>
              <w:t>Gains Included in the</w:t>
            </w:r>
          </w:p>
        </w:tc>
        <w:tc>
          <w:tcPr>
            <w:tcW w:w="2000" w:type="dxa"/>
            <w:vAlign w:val="bottom"/>
          </w:tcPr>
          <w:p>
            <w:pPr>
              <w:spacing w:after="0"/>
              <w:rPr>
                <w:sz w:val="15"/>
                <w:szCs w:val="15"/>
                <w:color w:val="auto"/>
              </w:rPr>
            </w:pP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7"/>
              </w:rPr>
              <w:t>Gains Included in The</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2700" w:type="dxa"/>
            <w:vAlign w:val="bottom"/>
          </w:tcPr>
          <w:p>
            <w:pPr>
              <w:jc w:val="center"/>
              <w:ind w:left="582"/>
              <w:spacing w:after="0" w:line="180" w:lineRule="exact"/>
              <w:rPr>
                <w:sz w:val="20"/>
                <w:szCs w:val="20"/>
                <w:color w:val="auto"/>
              </w:rPr>
            </w:pPr>
            <w:r>
              <w:rPr>
                <w:rFonts w:ascii="Arial" w:cs="Arial" w:eastAsia="Arial" w:hAnsi="Arial"/>
                <w:sz w:val="16"/>
                <w:szCs w:val="16"/>
                <w:color w:val="auto"/>
                <w:w w:val="97"/>
              </w:rPr>
              <w:t>Carrying Amount of the</w:t>
            </w: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8"/>
              </w:rPr>
              <w:t>Carrying Amount of the</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97"/>
              </w:rPr>
              <w:t>Carrying Amount of the</w:t>
            </w: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7"/>
              </w:rPr>
              <w:t>Carrying Amount of the</w:t>
            </w:r>
          </w:p>
        </w:tc>
        <w:tc>
          <w:tcPr>
            <w:tcW w:w="0" w:type="dxa"/>
            <w:vAlign w:val="bottom"/>
          </w:tcPr>
          <w:p>
            <w:pPr>
              <w:spacing w:after="0"/>
              <w:rPr>
                <w:sz w:val="1"/>
                <w:szCs w:val="1"/>
                <w:color w:val="auto"/>
              </w:rPr>
            </w:pPr>
          </w:p>
        </w:tc>
      </w:tr>
      <w:tr>
        <w:trPr>
          <w:trHeight w:val="180"/>
        </w:trPr>
        <w:tc>
          <w:tcPr>
            <w:tcW w:w="186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700" w:type="dxa"/>
            <w:vAlign w:val="bottom"/>
          </w:tcPr>
          <w:p>
            <w:pPr>
              <w:jc w:val="center"/>
              <w:ind w:left="542"/>
              <w:spacing w:after="0" w:line="180" w:lineRule="exact"/>
              <w:rPr>
                <w:sz w:val="20"/>
                <w:szCs w:val="20"/>
                <w:color w:val="auto"/>
              </w:rPr>
            </w:pPr>
            <w:r>
              <w:rPr>
                <w:rFonts w:ascii="Arial" w:cs="Arial" w:eastAsia="Arial" w:hAnsi="Arial"/>
                <w:sz w:val="16"/>
                <w:szCs w:val="16"/>
                <w:color w:val="auto"/>
                <w:w w:val="98"/>
              </w:rPr>
              <w:t>Hedged Assets at</w:t>
            </w: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6"/>
              </w:rPr>
              <w:t>Hedged Assets at</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98"/>
              </w:rPr>
              <w:t>Hedged Assets at</w:t>
            </w: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8"/>
              </w:rPr>
              <w:t>Hedged Assets at</w:t>
            </w:r>
          </w:p>
        </w:tc>
        <w:tc>
          <w:tcPr>
            <w:tcW w:w="0" w:type="dxa"/>
            <w:vAlign w:val="bottom"/>
          </w:tcPr>
          <w:p>
            <w:pPr>
              <w:spacing w:after="0"/>
              <w:rPr>
                <w:sz w:val="1"/>
                <w:szCs w:val="1"/>
                <w:color w:val="auto"/>
              </w:rPr>
            </w:pPr>
          </w:p>
        </w:tc>
      </w:tr>
      <w:tr>
        <w:trPr>
          <w:trHeight w:val="197"/>
        </w:trPr>
        <w:tc>
          <w:tcPr>
            <w:tcW w:w="1860" w:type="dxa"/>
            <w:vAlign w:val="bottom"/>
            <w:vMerge w:val="continue"/>
          </w:tcPr>
          <w:p>
            <w:pPr>
              <w:spacing w:after="0"/>
              <w:rPr>
                <w:sz w:val="17"/>
                <w:szCs w:val="17"/>
                <w:color w:val="auto"/>
              </w:rPr>
            </w:pPr>
          </w:p>
        </w:tc>
        <w:tc>
          <w:tcPr>
            <w:tcW w:w="2700" w:type="dxa"/>
            <w:vAlign w:val="bottom"/>
          </w:tcPr>
          <w:p>
            <w:pPr>
              <w:jc w:val="center"/>
              <w:ind w:left="582"/>
              <w:spacing w:after="0"/>
              <w:rPr>
                <w:sz w:val="20"/>
                <w:szCs w:val="20"/>
                <w:color w:val="auto"/>
              </w:rPr>
            </w:pPr>
            <w:r>
              <w:rPr>
                <w:rFonts w:ascii="Arial" w:cs="Arial" w:eastAsia="Arial" w:hAnsi="Arial"/>
                <w:sz w:val="16"/>
                <w:szCs w:val="16"/>
                <w:color w:val="auto"/>
                <w:w w:val="96"/>
              </w:rPr>
              <w:t>September 30, 2023</w:t>
            </w: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September 30, 2023</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December 31, 2022</w:t>
            </w:r>
          </w:p>
        </w:tc>
        <w:tc>
          <w:tcPr>
            <w:tcW w:w="1800" w:type="dxa"/>
            <w:vAlign w:val="bottom"/>
          </w:tcPr>
          <w:p>
            <w:pPr>
              <w:jc w:val="center"/>
              <w:ind w:left="122"/>
              <w:spacing w:after="0"/>
              <w:rPr>
                <w:sz w:val="20"/>
                <w:szCs w:val="20"/>
                <w:color w:val="auto"/>
              </w:rPr>
            </w:pPr>
            <w:r>
              <w:rPr>
                <w:rFonts w:ascii="Arial" w:cs="Arial" w:eastAsia="Arial" w:hAnsi="Arial"/>
                <w:sz w:val="16"/>
                <w:szCs w:val="16"/>
                <w:color w:val="auto"/>
                <w:w w:val="96"/>
              </w:rPr>
              <w:t>December 31, 2022</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Line item on the balance sheet in which the hedged item is included:</w:t>
      </w:r>
    </w:p>
    <w:tbl>
      <w:tblPr>
        <w:tblLayout w:type="fixed"/>
        <w:tblInd w:w="0" w:type="dxa"/>
        <w:tblCellMar>
          <w:top w:w="0" w:type="dxa"/>
          <w:left w:w="0" w:type="dxa"/>
          <w:bottom w:w="0" w:type="dxa"/>
          <w:right w:w="0" w:type="dxa"/>
        </w:tblCellMar>
      </w:tblPr>
      <w:tr>
        <w:trPr>
          <w:trHeight w:val="225"/>
        </w:trPr>
        <w:tc>
          <w:tcPr>
            <w:tcW w:w="2400" w:type="dxa"/>
            <w:vAlign w:val="bottom"/>
          </w:tcPr>
          <w:p>
            <w:pPr>
              <w:ind w:left="20"/>
              <w:spacing w:after="0" w:line="225" w:lineRule="exact"/>
              <w:rPr>
                <w:sz w:val="20"/>
                <w:szCs w:val="20"/>
                <w:color w:val="auto"/>
              </w:rPr>
            </w:pPr>
            <w:r>
              <w:rPr>
                <w:rFonts w:ascii="Arial" w:cs="Arial" w:eastAsia="Arial" w:hAnsi="Arial"/>
                <w:sz w:val="16"/>
                <w:szCs w:val="16"/>
                <w:color w:val="auto"/>
              </w:rPr>
              <w:t xml:space="preserve">Available-for-sale securities </w:t>
            </w:r>
            <w:r>
              <w:rPr>
                <w:rFonts w:ascii="Arial" w:cs="Arial" w:eastAsia="Arial" w:hAnsi="Arial"/>
                <w:sz w:val="21"/>
                <w:szCs w:val="21"/>
                <w:color w:val="auto"/>
                <w:vertAlign w:val="superscript"/>
              </w:rPr>
              <w:t>(1)</w:t>
            </w:r>
          </w:p>
        </w:tc>
        <w:tc>
          <w:tcPr>
            <w:tcW w:w="92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53,940</w:t>
            </w:r>
          </w:p>
        </w:tc>
        <w:tc>
          <w:tcPr>
            <w:tcW w:w="8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6,709</w:t>
            </w:r>
          </w:p>
        </w:tc>
        <w:tc>
          <w:tcPr>
            <w:tcW w:w="8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68,741</w:t>
            </w:r>
          </w:p>
        </w:tc>
        <w:tc>
          <w:tcPr>
            <w:tcW w:w="8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8,240</w:t>
            </w:r>
          </w:p>
        </w:tc>
      </w:tr>
      <w:tr>
        <w:trPr>
          <w:trHeight w:val="204"/>
        </w:trPr>
        <w:tc>
          <w:tcPr>
            <w:tcW w:w="2400" w:type="dxa"/>
            <w:vAlign w:val="bottom"/>
            <w:shd w:val="clear" w:color="auto" w:fill="CFF0FC"/>
          </w:tcPr>
          <w:p>
            <w:pPr>
              <w:ind w:left="20"/>
              <w:spacing w:after="0" w:line="204" w:lineRule="exact"/>
              <w:rPr>
                <w:sz w:val="20"/>
                <w:szCs w:val="20"/>
                <w:color w:val="auto"/>
              </w:rPr>
            </w:pPr>
            <w:r>
              <w:rPr>
                <w:rFonts w:ascii="Arial" w:cs="Arial" w:eastAsia="Arial" w:hAnsi="Arial"/>
                <w:sz w:val="16"/>
                <w:szCs w:val="16"/>
                <w:color w:val="auto"/>
              </w:rPr>
              <w:t xml:space="preserve">Loans receivable </w:t>
            </w:r>
            <w:r>
              <w:rPr>
                <w:rFonts w:ascii="Arial" w:cs="Arial" w:eastAsia="Arial" w:hAnsi="Arial"/>
                <w:sz w:val="21"/>
                <w:szCs w:val="21"/>
                <w:color w:val="auto"/>
                <w:vertAlign w:val="superscript"/>
              </w:rPr>
              <w:t>(2)</w:t>
            </w:r>
          </w:p>
        </w:tc>
        <w:tc>
          <w:tcPr>
            <w:tcW w:w="920" w:type="dxa"/>
            <w:vAlign w:val="bottom"/>
            <w:shd w:val="clear" w:color="auto" w:fill="CFF0FC"/>
          </w:tcPr>
          <w:p>
            <w:pPr>
              <w:jc w:val="right"/>
              <w:ind w:right="46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124,322</w:t>
            </w:r>
          </w:p>
        </w:tc>
        <w:tc>
          <w:tcPr>
            <w:tcW w:w="86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5,807</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37,196</w:t>
            </w:r>
          </w:p>
        </w:tc>
        <w:tc>
          <w:tcPr>
            <w:tcW w:w="84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1,477</w:t>
            </w:r>
          </w:p>
        </w:tc>
      </w:tr>
    </w:tbl>
    <w:p>
      <w:pPr>
        <w:spacing w:after="0" w:line="160" w:lineRule="exact"/>
        <w:rPr>
          <w:sz w:val="20"/>
          <w:szCs w:val="20"/>
          <w:color w:val="auto"/>
        </w:rPr>
      </w:pPr>
    </w:p>
    <w:p>
      <w:pPr>
        <w:ind w:left="360" w:right="340"/>
        <w:spacing w:after="0" w:line="226"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These amounts represent the amortized cost basis of specifically-identified municipal and Government Sponsored Enterprise ("GSE") debt securities designated as the underlying assets for the hedging relationship. The notional amount of the designated hedged item was $53.9 million and $68.7 million at September 30, 2023 and December 31, 2022, respectively. The fair value of the derivative resulted in a net asset position of $6.7 million and $8.2 million recorded by the Company in other assets at September 30, 2023 and December 31, 2022, respectively.</w:t>
      </w:r>
    </w:p>
    <w:p>
      <w:pPr>
        <w:spacing w:after="0" w:line="154" w:lineRule="exact"/>
        <w:rPr>
          <w:sz w:val="20"/>
          <w:szCs w:val="20"/>
          <w:color w:val="auto"/>
        </w:rPr>
      </w:pPr>
    </w:p>
    <w:p>
      <w:pPr>
        <w:ind w:left="360"/>
        <w:spacing w:after="0" w:line="233"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14"/>
          <w:szCs w:val="14"/>
          <w:color w:val="auto"/>
        </w:rPr>
        <w:t>These amounts include the amortized cost of a specific purchased consumer loan pool and a portion of the Bank's originated residential mortgage loan portfolio designated as the underlying assets for the hedging relationships in which the hedged item is the underlying asset's amortized cost (last layer) projected to be remaining at the end of the contractual term of the hedge instrument. The fair value hedge related to the residential mortgage pool had a notional value of $100 million when it was instituted on April 7, 2023 and had a notional value of $94.3 million at September 30, 2023. The amount of the designated hedged assets were $124.3 million and $37.2 million as of September 30, 2023 and December 31, 2022, respectively. At September 30, 2023, the fair value of the derivatives resulted in a net asset position of $5.8 million recorded by the Company in other assets.</w:t>
      </w: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hedging contracts noted above, accounted for as fair value hedges, increased the yield on investment securities and loans by 0.27% and 0.23%, respectively, in the nine months ended September 30, 2023. The hedging contracts noted above, accounted for as fair value hedges, increased the yield on investment securities and loans by 0.01% and 0.01%, respectively, in the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net effects of the Company's fair value and cash flow hedges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September 30, 2022, respectively:</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ind w:left="20"/>
              <w:spacing w:after="0"/>
              <w:rPr>
                <w:sz w:val="20"/>
                <w:szCs w:val="20"/>
                <w:color w:val="auto"/>
              </w:rPr>
            </w:pPr>
            <w:r>
              <w:rPr>
                <w:rFonts w:ascii="Arial" w:cs="Arial" w:eastAsia="Arial" w:hAnsi="Arial"/>
                <w:sz w:val="16"/>
                <w:szCs w:val="16"/>
                <w:color w:val="auto"/>
              </w:rPr>
              <w:t>Fair Value Hedges</w:t>
            </w:r>
          </w:p>
        </w:tc>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2"/>
        </w:trPr>
        <w:tc>
          <w:tcPr>
            <w:tcW w:w="2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80" w:type="dxa"/>
            <w:vAlign w:val="bottom"/>
            <w:gridSpan w:val="4"/>
          </w:tcPr>
          <w:p>
            <w:pPr>
              <w:jc w:val="right"/>
              <w:spacing w:after="0"/>
              <w:rPr>
                <w:sz w:val="20"/>
                <w:szCs w:val="20"/>
                <w:color w:val="auto"/>
              </w:rPr>
            </w:pPr>
            <w:r>
              <w:rPr>
                <w:rFonts w:ascii="Arial" w:cs="Arial" w:eastAsia="Arial" w:hAnsi="Arial"/>
                <w:sz w:val="16"/>
                <w:szCs w:val="16"/>
                <w:color w:val="auto"/>
              </w:rPr>
              <w:t>Nine Months Ended September 30, 2023</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w w:val="98"/>
              </w:rPr>
              <w:t>Period Ending Notional</w:t>
            </w:r>
          </w:p>
        </w:tc>
        <w:tc>
          <w:tcPr>
            <w:tcW w:w="300" w:type="dxa"/>
            <w:vAlign w:val="bottom"/>
          </w:tcPr>
          <w:p>
            <w:pPr>
              <w:spacing w:after="0"/>
              <w:rPr>
                <w:sz w:val="16"/>
                <w:szCs w:val="16"/>
                <w:color w:val="auto"/>
              </w:rPr>
            </w:pPr>
          </w:p>
        </w:tc>
        <w:tc>
          <w:tcPr>
            <w:tcW w:w="1880" w:type="dxa"/>
            <w:vAlign w:val="bottom"/>
          </w:tcPr>
          <w:p>
            <w:pPr>
              <w:jc w:val="right"/>
              <w:ind w:right="2"/>
              <w:spacing w:after="0"/>
              <w:rPr>
                <w:sz w:val="20"/>
                <w:szCs w:val="20"/>
                <w:color w:val="auto"/>
              </w:rPr>
            </w:pPr>
            <w:r>
              <w:rPr>
                <w:rFonts w:ascii="Arial" w:cs="Arial" w:eastAsia="Arial" w:hAnsi="Arial"/>
                <w:sz w:val="16"/>
                <w:szCs w:val="16"/>
                <w:color w:val="auto"/>
                <w:w w:val="96"/>
              </w:rPr>
              <w:t>Net Cash Received (Paid)</w:t>
            </w:r>
          </w:p>
        </w:tc>
        <w:tc>
          <w:tcPr>
            <w:tcW w:w="160" w:type="dxa"/>
            <w:vAlign w:val="bottom"/>
          </w:tcPr>
          <w:p>
            <w:pPr>
              <w:spacing w:after="0"/>
              <w:rPr>
                <w:sz w:val="16"/>
                <w:szCs w:val="16"/>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Balance</w:t>
            </w:r>
          </w:p>
        </w:tc>
        <w:tc>
          <w:tcPr>
            <w:tcW w:w="300" w:type="dxa"/>
            <w:vAlign w:val="bottom"/>
          </w:tcPr>
          <w:p>
            <w:pPr>
              <w:spacing w:after="0"/>
              <w:rPr>
                <w:sz w:val="17"/>
                <w:szCs w:val="17"/>
                <w:color w:val="auto"/>
              </w:rPr>
            </w:pPr>
          </w:p>
        </w:tc>
        <w:tc>
          <w:tcPr>
            <w:tcW w:w="1880" w:type="dxa"/>
            <w:vAlign w:val="bottom"/>
          </w:tcPr>
          <w:p>
            <w:pPr>
              <w:jc w:val="right"/>
              <w:ind w:right="2"/>
              <w:spacing w:after="0"/>
              <w:rPr>
                <w:sz w:val="20"/>
                <w:szCs w:val="20"/>
                <w:color w:val="auto"/>
              </w:rPr>
            </w:pPr>
            <w:r>
              <w:rPr>
                <w:rFonts w:ascii="Arial" w:cs="Arial" w:eastAsia="Arial" w:hAnsi="Arial"/>
                <w:sz w:val="16"/>
                <w:szCs w:val="16"/>
                <w:color w:val="auto"/>
              </w:rPr>
              <w:t>Recorded In Net Income</w:t>
            </w:r>
          </w:p>
        </w:tc>
        <w:tc>
          <w:tcPr>
            <w:tcW w:w="16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w w:val="97"/>
              </w:rPr>
              <w:t>(Payable) at Quarter End</w:t>
            </w:r>
          </w:p>
        </w:tc>
      </w:tr>
      <w:tr>
        <w:trPr>
          <w:trHeight w:val="205"/>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9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53,756</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52,120</w:t>
            </w:r>
          </w:p>
        </w:tc>
        <w:tc>
          <w:tcPr>
            <w:tcW w:w="3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6,709</w:t>
            </w:r>
          </w:p>
        </w:tc>
      </w:tr>
      <w:tr>
        <w:trPr>
          <w:trHeight w:val="203"/>
        </w:trPr>
        <w:tc>
          <w:tcPr>
            <w:tcW w:w="2000" w:type="dxa"/>
            <w:vAlign w:val="bottom"/>
          </w:tcPr>
          <w:p>
            <w:pPr>
              <w:ind w:left="60"/>
              <w:spacing w:after="0"/>
              <w:rPr>
                <w:sz w:val="20"/>
                <w:szCs w:val="20"/>
                <w:color w:val="auto"/>
              </w:rPr>
            </w:pPr>
            <w:r>
              <w:rPr>
                <w:rFonts w:ascii="Arial" w:cs="Arial" w:eastAsia="Arial" w:hAnsi="Arial"/>
                <w:sz w:val="16"/>
                <w:szCs w:val="16"/>
                <w:color w:val="auto"/>
              </w:rPr>
              <w:t>Loans</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83,701</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110,149</w:t>
            </w:r>
          </w:p>
        </w:tc>
        <w:tc>
          <w:tcPr>
            <w:tcW w:w="3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1,540</w:t>
            </w:r>
          </w:p>
        </w:tc>
        <w:tc>
          <w:tcPr>
            <w:tcW w:w="16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5,807</w:t>
            </w:r>
          </w:p>
        </w:tc>
      </w:tr>
      <w:tr>
        <w:trPr>
          <w:trHeight w:val="244"/>
        </w:trPr>
        <w:tc>
          <w:tcPr>
            <w:tcW w:w="20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137,457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162,269</w:t>
            </w:r>
          </w:p>
        </w:tc>
        <w:tc>
          <w:tcPr>
            <w:tcW w:w="3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12,516</w:t>
            </w:r>
          </w:p>
        </w:tc>
      </w:tr>
      <w:tr>
        <w:trPr>
          <w:trHeight w:val="587"/>
        </w:trPr>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gridSpan w:val="4"/>
          </w:tcPr>
          <w:p>
            <w:pPr>
              <w:jc w:val="right"/>
              <w:spacing w:after="0"/>
              <w:rPr>
                <w:sz w:val="20"/>
                <w:szCs w:val="20"/>
                <w:color w:val="auto"/>
              </w:rPr>
            </w:pPr>
            <w:r>
              <w:rPr>
                <w:rFonts w:ascii="Arial" w:cs="Arial" w:eastAsia="Arial" w:hAnsi="Arial"/>
                <w:sz w:val="16"/>
                <w:szCs w:val="16"/>
                <w:color w:val="auto"/>
              </w:rPr>
              <w:t>Nine Months Ended September 30, 2022</w:t>
            </w: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2"/>
              <w:spacing w:after="0"/>
              <w:rPr>
                <w:sz w:val="20"/>
                <w:szCs w:val="20"/>
                <w:color w:val="auto"/>
              </w:rPr>
            </w:pPr>
            <w:r>
              <w:rPr>
                <w:rFonts w:ascii="Arial" w:cs="Arial" w:eastAsia="Arial" w:hAnsi="Arial"/>
                <w:sz w:val="16"/>
                <w:szCs w:val="16"/>
                <w:color w:val="auto"/>
                <w:w w:val="96"/>
              </w:rPr>
              <w:t>Net Cash Received (Paid)</w:t>
            </w:r>
          </w:p>
        </w:tc>
        <w:tc>
          <w:tcPr>
            <w:tcW w:w="160" w:type="dxa"/>
            <w:vAlign w:val="bottom"/>
          </w:tcPr>
          <w:p>
            <w:pPr>
              <w:spacing w:after="0"/>
              <w:rPr>
                <w:sz w:val="16"/>
                <w:szCs w:val="16"/>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Ending Notional Balance</w:t>
            </w:r>
          </w:p>
        </w:tc>
        <w:tc>
          <w:tcPr>
            <w:tcW w:w="300" w:type="dxa"/>
            <w:vAlign w:val="bottom"/>
          </w:tcPr>
          <w:p>
            <w:pPr>
              <w:spacing w:after="0"/>
              <w:rPr>
                <w:sz w:val="17"/>
                <w:szCs w:val="17"/>
                <w:color w:val="auto"/>
              </w:rPr>
            </w:pPr>
          </w:p>
        </w:tc>
        <w:tc>
          <w:tcPr>
            <w:tcW w:w="1880" w:type="dxa"/>
            <w:vAlign w:val="bottom"/>
          </w:tcPr>
          <w:p>
            <w:pPr>
              <w:jc w:val="right"/>
              <w:ind w:right="2"/>
              <w:spacing w:after="0"/>
              <w:rPr>
                <w:sz w:val="20"/>
                <w:szCs w:val="20"/>
                <w:color w:val="auto"/>
              </w:rPr>
            </w:pPr>
            <w:r>
              <w:rPr>
                <w:rFonts w:ascii="Arial" w:cs="Arial" w:eastAsia="Arial" w:hAnsi="Arial"/>
                <w:sz w:val="16"/>
                <w:szCs w:val="16"/>
                <w:color w:val="auto"/>
              </w:rPr>
              <w:t>Recorded In Net Income</w:t>
            </w:r>
          </w:p>
        </w:tc>
        <w:tc>
          <w:tcPr>
            <w:tcW w:w="16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w w:val="97"/>
              </w:rPr>
              <w:t>(Payable) at Quarter End</w:t>
            </w:r>
          </w:p>
        </w:tc>
      </w:tr>
      <w:tr>
        <w:trPr>
          <w:trHeight w:val="205"/>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9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61,659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66,845</w:t>
            </w:r>
          </w:p>
        </w:tc>
        <w:tc>
          <w:tcPr>
            <w:tcW w:w="3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8,707</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Loans</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20,700</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20,700</w:t>
            </w:r>
          </w:p>
        </w:tc>
        <w:tc>
          <w:tcPr>
            <w:tcW w:w="3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1,103</w:t>
            </w:r>
          </w:p>
        </w:tc>
      </w:tr>
      <w:tr>
        <w:trPr>
          <w:trHeight w:val="244"/>
        </w:trPr>
        <w:tc>
          <w:tcPr>
            <w:tcW w:w="20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82,359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87,545</w:t>
            </w:r>
          </w:p>
        </w:tc>
        <w:tc>
          <w:tcPr>
            <w:tcW w:w="3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131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9,810</w:t>
            </w:r>
          </w:p>
        </w:tc>
      </w:tr>
      <w:tr>
        <w:trPr>
          <w:trHeight w:val="359"/>
        </w:trPr>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82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41</w:t>
            </w:r>
            <w:r>
              <w:rPr>
                <w:rFonts w:ascii="Arial" w:cs="Arial" w:eastAsia="Arial" w:hAnsi="Arial"/>
                <w:sz w:val="16"/>
                <w:szCs w:val="16"/>
                <w:color w:val="auto"/>
              </w:rPr>
              <w:t xml:space="preserve"> -</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86"/>
        </w:trPr>
        <w:tc>
          <w:tcPr>
            <w:tcW w:w="200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14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700" w:type="dxa"/>
            <w:vAlign w:val="bottom"/>
            <w:tcBorders>
              <w:bottom w:val="single" w:sz="8" w:color="EEEEEE"/>
            </w:tcBorders>
          </w:tcPr>
          <w:p>
            <w:pPr>
              <w:spacing w:after="0"/>
              <w:rPr>
                <w:sz w:val="7"/>
                <w:szCs w:val="7"/>
                <w:color w:val="auto"/>
              </w:rPr>
            </w:pPr>
          </w:p>
        </w:tc>
        <w:tc>
          <w:tcPr>
            <w:tcW w:w="300" w:type="dxa"/>
            <w:vAlign w:val="bottom"/>
            <w:tcBorders>
              <w:bottom w:val="single" w:sz="8" w:color="EEEEEE"/>
            </w:tcBorders>
          </w:tcPr>
          <w:p>
            <w:pPr>
              <w:spacing w:after="0"/>
              <w:rPr>
                <w:sz w:val="7"/>
                <w:szCs w:val="7"/>
                <w:color w:val="auto"/>
              </w:rPr>
            </w:pPr>
          </w:p>
        </w:tc>
        <w:tc>
          <w:tcPr>
            <w:tcW w:w="188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186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7"/>
        </w:trPr>
        <w:tc>
          <w:tcPr>
            <w:tcW w:w="200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4"/>
        </w:trPr>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80" w:type="dxa"/>
            <w:vAlign w:val="bottom"/>
            <w:gridSpan w:val="4"/>
          </w:tcPr>
          <w:p>
            <w:pPr>
              <w:jc w:val="right"/>
              <w:spacing w:after="0"/>
              <w:rPr>
                <w:sz w:val="20"/>
                <w:szCs w:val="20"/>
                <w:color w:val="auto"/>
              </w:rPr>
            </w:pPr>
            <w:r>
              <w:rPr>
                <w:rFonts w:ascii="Arial" w:cs="Arial" w:eastAsia="Arial" w:hAnsi="Arial"/>
                <w:sz w:val="16"/>
                <w:szCs w:val="16"/>
                <w:color w:val="auto"/>
              </w:rPr>
              <w:t>Nine Months Ended September 30, 2023</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w w:val="96"/>
              </w:rPr>
              <w:t>Net Cash Received (Paid)</w:t>
            </w:r>
          </w:p>
        </w:tc>
        <w:tc>
          <w:tcPr>
            <w:tcW w:w="180" w:type="dxa"/>
            <w:vAlign w:val="bottom"/>
          </w:tcPr>
          <w:p>
            <w:pPr>
              <w:spacing w:after="0"/>
              <w:rPr>
                <w:sz w:val="16"/>
                <w:szCs w:val="16"/>
                <w:color w:val="auto"/>
              </w:rPr>
            </w:pP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Ending Notional Balance</w:t>
            </w:r>
          </w:p>
        </w:tc>
        <w:tc>
          <w:tcPr>
            <w:tcW w:w="300" w:type="dxa"/>
            <w:vAlign w:val="bottom"/>
          </w:tcPr>
          <w:p>
            <w:pPr>
              <w:spacing w:after="0"/>
              <w:rPr>
                <w:sz w:val="17"/>
                <w:szCs w:val="17"/>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Recorded In Net Income</w:t>
            </w:r>
          </w:p>
        </w:tc>
        <w:tc>
          <w:tcPr>
            <w:tcW w:w="180" w:type="dxa"/>
            <w:vAlign w:val="bottom"/>
          </w:tcPr>
          <w:p>
            <w:pPr>
              <w:spacing w:after="0"/>
              <w:rPr>
                <w:sz w:val="17"/>
                <w:szCs w:val="17"/>
                <w:color w:val="auto"/>
              </w:rPr>
            </w:pP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(Payable) at Period End</w:t>
            </w:r>
          </w:p>
        </w:tc>
      </w:tr>
      <w:tr>
        <w:trPr>
          <w:trHeight w:val="244"/>
        </w:trPr>
        <w:tc>
          <w:tcPr>
            <w:tcW w:w="20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Borrowed Funds</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47,778</w:t>
            </w:r>
          </w:p>
        </w:tc>
        <w:tc>
          <w:tcPr>
            <w:tcW w:w="76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3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748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909</w:t>
            </w:r>
          </w:p>
        </w:tc>
      </w:tr>
      <w:tr>
        <w:trPr>
          <w:trHeight w:val="587"/>
        </w:trPr>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gridSpan w:val="4"/>
          </w:tcPr>
          <w:p>
            <w:pPr>
              <w:jc w:val="right"/>
              <w:spacing w:after="0"/>
              <w:rPr>
                <w:sz w:val="20"/>
                <w:szCs w:val="20"/>
                <w:color w:val="auto"/>
              </w:rPr>
            </w:pPr>
            <w:r>
              <w:rPr>
                <w:rFonts w:ascii="Arial" w:cs="Arial" w:eastAsia="Arial" w:hAnsi="Arial"/>
                <w:sz w:val="16"/>
                <w:szCs w:val="16"/>
                <w:color w:val="auto"/>
              </w:rPr>
              <w:t>Nine Months Ended September 30, 2022</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w w:val="96"/>
              </w:rPr>
              <w:t>Net Cash Received (Paid)</w:t>
            </w:r>
          </w:p>
        </w:tc>
        <w:tc>
          <w:tcPr>
            <w:tcW w:w="180" w:type="dxa"/>
            <w:vAlign w:val="bottom"/>
          </w:tcPr>
          <w:p>
            <w:pPr>
              <w:spacing w:after="0"/>
              <w:rPr>
                <w:sz w:val="16"/>
                <w:szCs w:val="16"/>
                <w:color w:val="auto"/>
              </w:rPr>
            </w:pP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Ending Notional Balance</w:t>
            </w:r>
          </w:p>
        </w:tc>
        <w:tc>
          <w:tcPr>
            <w:tcW w:w="300" w:type="dxa"/>
            <w:vAlign w:val="bottom"/>
          </w:tcPr>
          <w:p>
            <w:pPr>
              <w:spacing w:after="0"/>
              <w:rPr>
                <w:sz w:val="17"/>
                <w:szCs w:val="17"/>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Recorded In Net Income</w:t>
            </w:r>
          </w:p>
        </w:tc>
        <w:tc>
          <w:tcPr>
            <w:tcW w:w="180" w:type="dxa"/>
            <w:vAlign w:val="bottom"/>
          </w:tcPr>
          <w:p>
            <w:pPr>
              <w:spacing w:after="0"/>
              <w:rPr>
                <w:sz w:val="17"/>
                <w:szCs w:val="17"/>
                <w:color w:val="auto"/>
              </w:rPr>
            </w:pPr>
          </w:p>
        </w:tc>
        <w:tc>
          <w:tcPr>
            <w:tcW w:w="1820" w:type="dxa"/>
            <w:vAlign w:val="bottom"/>
          </w:tcPr>
          <w:p>
            <w:pPr>
              <w:jc w:val="right"/>
              <w:ind w:right="22"/>
              <w:spacing w:after="0"/>
              <w:rPr>
                <w:sz w:val="20"/>
                <w:szCs w:val="20"/>
                <w:color w:val="auto"/>
              </w:rPr>
            </w:pPr>
            <w:r>
              <w:rPr>
                <w:rFonts w:ascii="Arial" w:cs="Arial" w:eastAsia="Arial" w:hAnsi="Arial"/>
                <w:sz w:val="16"/>
                <w:szCs w:val="16"/>
                <w:color w:val="auto"/>
              </w:rPr>
              <w:t>(Payable) at Period End</w:t>
            </w:r>
          </w:p>
        </w:tc>
      </w:tr>
      <w:tr>
        <w:trPr>
          <w:trHeight w:val="268"/>
        </w:trPr>
        <w:tc>
          <w:tcPr>
            <w:tcW w:w="20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Borrowed Funds</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53,333</w:t>
            </w:r>
          </w:p>
        </w:tc>
        <w:tc>
          <w:tcPr>
            <w:tcW w:w="76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3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699</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pre-tax gains and losses of the Company’s derivatives designated as cash flow hedges in OCI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1700" w:type="dxa"/>
            <w:vAlign w:val="bottom"/>
          </w:tcPr>
          <w:p>
            <w:pPr>
              <w:spacing w:after="0"/>
              <w:rPr>
                <w:sz w:val="17"/>
                <w:szCs w:val="17"/>
                <w:color w:val="auto"/>
              </w:rPr>
            </w:pPr>
          </w:p>
        </w:tc>
        <w:tc>
          <w:tcPr>
            <w:tcW w:w="1860" w:type="dxa"/>
            <w:vAlign w:val="bottom"/>
          </w:tcPr>
          <w:p>
            <w:pPr>
              <w:jc w:val="right"/>
              <w:ind w:right="82"/>
              <w:spacing w:after="0"/>
              <w:rPr>
                <w:sz w:val="20"/>
                <w:szCs w:val="20"/>
                <w:color w:val="auto"/>
              </w:rPr>
            </w:pPr>
            <w:r>
              <w:rPr>
                <w:rFonts w:ascii="Arial" w:cs="Arial" w:eastAsia="Arial" w:hAnsi="Arial"/>
                <w:sz w:val="16"/>
                <w:szCs w:val="16"/>
                <w:color w:val="auto"/>
              </w:rPr>
              <w:t>September 30, 2023</w:t>
            </w:r>
          </w:p>
        </w:tc>
        <w:tc>
          <w:tcPr>
            <w:tcW w:w="560" w:type="dxa"/>
            <w:vAlign w:val="bottom"/>
          </w:tcPr>
          <w:p>
            <w:pPr>
              <w:spacing w:after="0"/>
              <w:rPr>
                <w:sz w:val="17"/>
                <w:szCs w:val="17"/>
                <w:color w:val="auto"/>
              </w:rPr>
            </w:pP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December 31, 2022</w:t>
            </w:r>
          </w:p>
        </w:tc>
      </w:tr>
      <w:tr>
        <w:trPr>
          <w:trHeight w:val="241"/>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 hedges:</w:t>
            </w:r>
          </w:p>
        </w:tc>
        <w:tc>
          <w:tcPr>
            <w:tcW w:w="170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r>
      <w:tr>
        <w:trPr>
          <w:trHeight w:val="239"/>
        </w:trPr>
        <w:tc>
          <w:tcPr>
            <w:tcW w:w="4660" w:type="dxa"/>
            <w:vAlign w:val="bottom"/>
          </w:tcPr>
          <w:p>
            <w:pPr>
              <w:ind w:left="100"/>
              <w:spacing w:after="0"/>
              <w:rPr>
                <w:sz w:val="20"/>
                <w:szCs w:val="20"/>
                <w:color w:val="auto"/>
              </w:rPr>
            </w:pPr>
            <w:r>
              <w:rPr>
                <w:rFonts w:ascii="Arial" w:cs="Arial" w:eastAsia="Arial" w:hAnsi="Arial"/>
                <w:sz w:val="16"/>
                <w:szCs w:val="16"/>
                <w:color w:val="auto"/>
              </w:rPr>
              <w:t>Fair market value adjustment interest rate swap</w:t>
            </w:r>
          </w:p>
        </w:tc>
        <w:tc>
          <w:tcPr>
            <w:tcW w:w="17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2"/>
              <w:spacing w:after="0"/>
              <w:rPr>
                <w:sz w:val="20"/>
                <w:szCs w:val="20"/>
                <w:color w:val="auto"/>
              </w:rPr>
            </w:pPr>
            <w:r>
              <w:rPr>
                <w:rFonts w:ascii="Arial" w:cs="Arial" w:eastAsia="Arial" w:hAnsi="Arial"/>
                <w:sz w:val="16"/>
                <w:szCs w:val="16"/>
                <w:color w:val="auto"/>
              </w:rPr>
              <w:t>909</w:t>
            </w:r>
          </w:p>
        </w:tc>
        <w:tc>
          <w:tcPr>
            <w:tcW w:w="5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519</w:t>
            </w:r>
          </w:p>
        </w:tc>
      </w:tr>
      <w:tr>
        <w:trPr>
          <w:trHeight w:val="280"/>
        </w:trPr>
        <w:tc>
          <w:tcPr>
            <w:tcW w:w="46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 gain in comprehensive income</w:t>
            </w:r>
          </w:p>
        </w:tc>
        <w:tc>
          <w:tcPr>
            <w:tcW w:w="170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909</w:t>
            </w:r>
          </w:p>
        </w:tc>
        <w:tc>
          <w:tcPr>
            <w:tcW w:w="56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519</w:t>
            </w:r>
          </w:p>
        </w:tc>
      </w:tr>
    </w:tbl>
    <w:p>
      <w:pPr>
        <w:spacing w:after="0" w:line="30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hedging contracts noted above, accounted for as cash flow hedges, decreased the interest expense associated with MMDA accounts by 0.41% in the nine months ended September 30, 2023 and increased the interest expense associated with MMDA accounts by 0.05% in the nine months ended September 30, 2022.</w:t>
      </w:r>
    </w:p>
    <w:p>
      <w:pPr>
        <w:spacing w:after="0" w:line="18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amounts of hedge ineffectiveness, recognized at September 30, 2023 and December 31, 2022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9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(Loss) Income</w:t>
      </w:r>
    </w:p>
    <w:p>
      <w:pPr>
        <w:spacing w:after="0" w:line="23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Changes in the components of accumulated other comprehensive (loss) income (“AOCI”), net of tax, for the periods indicated are summarized in the tables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gridSpan w:val="5"/>
          </w:tcPr>
          <w:p>
            <w:pPr>
              <w:jc w:val="right"/>
              <w:ind w:right="328"/>
              <w:spacing w:after="0"/>
              <w:rPr>
                <w:sz w:val="20"/>
                <w:szCs w:val="20"/>
                <w:color w:val="auto"/>
              </w:rPr>
            </w:pPr>
            <w:r>
              <w:rPr>
                <w:rFonts w:ascii="Arial" w:cs="Arial" w:eastAsia="Arial" w:hAnsi="Arial"/>
                <w:sz w:val="14"/>
                <w:szCs w:val="14"/>
                <w:color w:val="auto"/>
              </w:rPr>
              <w:t>For the three months ended September 30, 2023</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Gain on</w:t>
            </w:r>
          </w:p>
        </w:tc>
        <w:tc>
          <w:tcPr>
            <w:tcW w:w="2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Loss on</w:t>
            </w: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Unrealized Loss</w:t>
            </w:r>
          </w:p>
        </w:tc>
        <w:tc>
          <w:tcPr>
            <w:tcW w:w="2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Derivatives</w:t>
            </w:r>
          </w:p>
        </w:tc>
        <w:tc>
          <w:tcPr>
            <w:tcW w:w="2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Retirement</w:t>
            </w: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on Available-for-</w:t>
            </w:r>
          </w:p>
        </w:tc>
        <w:tc>
          <w:tcPr>
            <w:tcW w:w="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and Hedging</w:t>
            </w:r>
          </w:p>
        </w:tc>
        <w:tc>
          <w:tcPr>
            <w:tcW w:w="2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Plans</w:t>
            </w:r>
          </w:p>
        </w:tc>
        <w:tc>
          <w:tcPr>
            <w:tcW w:w="16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Sale Securities</w:t>
            </w:r>
          </w:p>
        </w:tc>
        <w:tc>
          <w:tcPr>
            <w:tcW w:w="2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Activities</w:t>
            </w:r>
          </w:p>
        </w:tc>
        <w:tc>
          <w:tcPr>
            <w:tcW w:w="24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40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(2,345 )</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(9,495 )</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(11,370 )</w:t>
            </w: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(2,228 )</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202</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(2,026 )</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Amounts reclassified from AOCI</w:t>
            </w:r>
          </w:p>
        </w:tc>
        <w:tc>
          <w:tcPr>
            <w:tcW w:w="74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(1 )</w:t>
            </w:r>
          </w:p>
        </w:tc>
        <w:tc>
          <w:tcPr>
            <w:tcW w:w="2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(2,304 )</w:t>
            </w:r>
          </w:p>
        </w:tc>
        <w:tc>
          <w:tcPr>
            <w:tcW w:w="1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(11,724 )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672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(13,356 )</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2" w:right="68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5"/>
          </w:tcPr>
          <w:p>
            <w:pPr>
              <w:jc w:val="right"/>
              <w:ind w:right="328"/>
              <w:spacing w:after="0"/>
              <w:rPr>
                <w:sz w:val="20"/>
                <w:szCs w:val="20"/>
                <w:color w:val="auto"/>
              </w:rPr>
            </w:pPr>
            <w:r>
              <w:rPr>
                <w:rFonts w:ascii="Arial" w:cs="Arial" w:eastAsia="Arial" w:hAnsi="Arial"/>
                <w:sz w:val="14"/>
                <w:szCs w:val="14"/>
                <w:color w:val="auto"/>
              </w:rPr>
              <w:t>For the three months ended September 30, 2022</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60" w:type="dxa"/>
            <w:vAlign w:val="bottom"/>
            <w:gridSpan w:val="2"/>
          </w:tcPr>
          <w:p>
            <w:pPr>
              <w:ind w:left="600"/>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Loss on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 Loss</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on Available-for-</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t Plans</w:t>
            </w:r>
          </w:p>
        </w:tc>
        <w:tc>
          <w:tcPr>
            <w:tcW w:w="1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Sale Securities</w:t>
            </w: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(1,411 )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(8,421 )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(9,399 )</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(3,389 )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86</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(3,303 )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Amounts reclassified from AOCI</w:t>
            </w:r>
          </w:p>
        </w:tc>
        <w:tc>
          <w:tcPr>
            <w:tcW w:w="7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136</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32"/>
        </w:trPr>
        <w:tc>
          <w:tcPr>
            <w:tcW w:w="4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74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(1,410 )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(11,674 )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(12,565 )</w:t>
            </w:r>
          </w:p>
        </w:tc>
        <w:tc>
          <w:tcPr>
            <w:tcW w:w="0" w:type="dxa"/>
            <w:vAlign w:val="bottom"/>
          </w:tcPr>
          <w:p>
            <w:pPr>
              <w:spacing w:after="0"/>
              <w:rPr>
                <w:sz w:val="1"/>
                <w:szCs w:val="1"/>
                <w:color w:val="auto"/>
              </w:rPr>
            </w:pPr>
          </w:p>
        </w:tc>
      </w:tr>
      <w:tr>
        <w:trPr>
          <w:trHeight w:val="357"/>
        </w:trPr>
        <w:tc>
          <w:tcPr>
            <w:tcW w:w="4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5"/>
          </w:tcPr>
          <w:p>
            <w:pPr>
              <w:jc w:val="right"/>
              <w:ind w:right="348"/>
              <w:spacing w:after="0"/>
              <w:rPr>
                <w:sz w:val="20"/>
                <w:szCs w:val="20"/>
                <w:color w:val="auto"/>
              </w:rPr>
            </w:pPr>
            <w:r>
              <w:rPr>
                <w:rFonts w:ascii="Arial" w:cs="Arial" w:eastAsia="Arial" w:hAnsi="Arial"/>
                <w:sz w:val="14"/>
                <w:szCs w:val="14"/>
                <w:color w:val="auto"/>
              </w:rPr>
              <w:t>For the nine months ended September 30, 2023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60" w:type="dxa"/>
            <w:vAlign w:val="bottom"/>
            <w:gridSpan w:val="2"/>
          </w:tcPr>
          <w:p>
            <w:pPr>
              <w:ind w:left="600"/>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Loss on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 Loss</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on Available-for-</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t Plans</w:t>
            </w:r>
          </w:p>
        </w:tc>
        <w:tc>
          <w:tcPr>
            <w:tcW w:w="1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Sale Securities</w:t>
            </w: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(2,427 )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(10,127 )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382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(12,172 )</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(3,023 )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290</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(2,733 )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Amounts reclassified from AOCI</w:t>
            </w:r>
          </w:p>
        </w:tc>
        <w:tc>
          <w:tcPr>
            <w:tcW w:w="7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123</w:t>
            </w:r>
          </w:p>
        </w:tc>
        <w:tc>
          <w:tcPr>
            <w:tcW w:w="1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1,426</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232"/>
        </w:trPr>
        <w:tc>
          <w:tcPr>
            <w:tcW w:w="4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74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(2,304 )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(11,724 )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672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(13,356 )</w:t>
            </w:r>
          </w:p>
        </w:tc>
        <w:tc>
          <w:tcPr>
            <w:tcW w:w="0" w:type="dxa"/>
            <w:vAlign w:val="bottom"/>
          </w:tcPr>
          <w:p>
            <w:pPr>
              <w:spacing w:after="0"/>
              <w:rPr>
                <w:sz w:val="1"/>
                <w:szCs w:val="1"/>
                <w:color w:val="auto"/>
              </w:rPr>
            </w:pPr>
          </w:p>
        </w:tc>
      </w:tr>
      <w:tr>
        <w:trPr>
          <w:trHeight w:val="357"/>
        </w:trPr>
        <w:tc>
          <w:tcPr>
            <w:tcW w:w="4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5"/>
          </w:tcPr>
          <w:p>
            <w:pPr>
              <w:jc w:val="right"/>
              <w:ind w:right="348"/>
              <w:spacing w:after="0"/>
              <w:rPr>
                <w:sz w:val="20"/>
                <w:szCs w:val="20"/>
                <w:color w:val="auto"/>
              </w:rPr>
            </w:pPr>
            <w:r>
              <w:rPr>
                <w:rFonts w:ascii="Arial" w:cs="Arial" w:eastAsia="Arial" w:hAnsi="Arial"/>
                <w:sz w:val="14"/>
                <w:szCs w:val="14"/>
                <w:color w:val="auto"/>
              </w:rPr>
              <w:t>For the nine months ended September 30, 2022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60" w:type="dxa"/>
            <w:vAlign w:val="bottom"/>
            <w:gridSpan w:val="2"/>
          </w:tcPr>
          <w:p>
            <w:pPr>
              <w:ind w:left="600"/>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Loss on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 Loss</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on Available-for-</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t Plans</w:t>
            </w:r>
          </w:p>
        </w:tc>
        <w:tc>
          <w:tcPr>
            <w:tcW w:w="1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Sale Securities</w:t>
            </w: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(1,412 )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(286 )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(1,268 )</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(12,220 )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803</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(11,417 )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Amounts reclassified from AOCI</w:t>
            </w:r>
          </w:p>
        </w:tc>
        <w:tc>
          <w:tcPr>
            <w:tcW w:w="7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118</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32"/>
        </w:trPr>
        <w:tc>
          <w:tcPr>
            <w:tcW w:w="4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74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(1,410 )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(11,674 )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(12,565 )</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amounts reclassified out of each component of AOCI for the indicated period: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left="194"/>
              <w:spacing w:after="0"/>
              <w:rPr>
                <w:sz w:val="20"/>
                <w:szCs w:val="20"/>
                <w:color w:val="auto"/>
              </w:rPr>
            </w:pPr>
            <w:r>
              <w:rPr>
                <w:rFonts w:ascii="Arial" w:cs="Arial" w:eastAsia="Arial" w:hAnsi="Arial"/>
                <w:sz w:val="13"/>
                <w:szCs w:val="13"/>
                <w:color w:val="auto"/>
              </w:rPr>
              <w:t>Amount Reclassified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94"/>
              <w:spacing w:after="0"/>
              <w:rPr>
                <w:sz w:val="20"/>
                <w:szCs w:val="20"/>
                <w:color w:val="auto"/>
              </w:rPr>
            </w:pPr>
            <w:r>
              <w:rPr>
                <w:rFonts w:ascii="Arial" w:cs="Arial" w:eastAsia="Arial" w:hAnsi="Arial"/>
                <w:sz w:val="13"/>
                <w:szCs w:val="13"/>
                <w:color w:val="auto"/>
              </w:rPr>
              <w:t>Amount Reclassified</w:t>
            </w: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left="194"/>
              <w:spacing w:after="0"/>
              <w:rPr>
                <w:sz w:val="20"/>
                <w:szCs w:val="20"/>
                <w:color w:val="auto"/>
              </w:rPr>
            </w:pPr>
            <w:r>
              <w:rPr>
                <w:rFonts w:ascii="Arial" w:cs="Arial" w:eastAsia="Arial" w:hAnsi="Arial"/>
                <w:sz w:val="13"/>
                <w:szCs w:val="13"/>
                <w:color w:val="auto"/>
                <w:w w:val="97"/>
              </w:rPr>
              <w:t xml:space="preserve">from AOCI </w:t>
            </w:r>
            <w:r>
              <w:rPr>
                <w:rFonts w:ascii="Arial" w:cs="Arial" w:eastAsia="Arial" w:hAnsi="Arial"/>
                <w:sz w:val="16"/>
                <w:szCs w:val="16"/>
                <w:color w:val="auto"/>
                <w:w w:val="97"/>
                <w:vertAlign w:val="superscript"/>
              </w:rPr>
              <w:t>(1)</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2"/>
          </w:tcPr>
          <w:p>
            <w:pPr>
              <w:jc w:val="center"/>
              <w:ind w:right="94"/>
              <w:spacing w:after="0"/>
              <w:rPr>
                <w:sz w:val="20"/>
                <w:szCs w:val="20"/>
                <w:color w:val="auto"/>
              </w:rPr>
            </w:pPr>
            <w:r>
              <w:rPr>
                <w:rFonts w:ascii="Arial" w:cs="Arial" w:eastAsia="Arial" w:hAnsi="Arial"/>
                <w:sz w:val="13"/>
                <w:szCs w:val="13"/>
                <w:color w:val="auto"/>
                <w:w w:val="97"/>
              </w:rPr>
              <w:t xml:space="preserve">from AOCI </w:t>
            </w:r>
            <w:r>
              <w:rPr>
                <w:rFonts w:ascii="Arial" w:cs="Arial" w:eastAsia="Arial" w:hAnsi="Arial"/>
                <w:sz w:val="16"/>
                <w:szCs w:val="16"/>
                <w:color w:val="auto"/>
                <w:w w:val="97"/>
                <w:vertAlign w:val="superscript"/>
              </w:rPr>
              <w:t>(1)</w:t>
            </w: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left="214"/>
              <w:spacing w:after="0"/>
              <w:rPr>
                <w:sz w:val="20"/>
                <w:szCs w:val="20"/>
                <w:color w:val="auto"/>
              </w:rPr>
            </w:pPr>
            <w:r>
              <w:rPr>
                <w:rFonts w:ascii="Arial" w:cs="Arial" w:eastAsia="Arial" w:hAnsi="Arial"/>
                <w:sz w:val="13"/>
                <w:szCs w:val="13"/>
                <w:color w:val="auto"/>
              </w:rPr>
              <w:t>(Unaudited)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94"/>
              <w:spacing w:after="0"/>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180"/>
        </w:trPr>
        <w:tc>
          <w:tcPr>
            <w:tcW w:w="272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3"/>
          </w:tcPr>
          <w:p>
            <w:pPr>
              <w:jc w:val="center"/>
              <w:ind w:right="194"/>
              <w:spacing w:after="0"/>
              <w:rPr>
                <w:sz w:val="20"/>
                <w:szCs w:val="20"/>
                <w:color w:val="auto"/>
              </w:rPr>
            </w:pPr>
            <w:r>
              <w:rPr>
                <w:rFonts w:ascii="Arial" w:cs="Arial" w:eastAsia="Arial" w:hAnsi="Arial"/>
                <w:sz w:val="13"/>
                <w:szCs w:val="13"/>
                <w:color w:val="auto"/>
              </w:rPr>
              <w:t>For the three months ended</w:t>
            </w:r>
          </w:p>
        </w:tc>
        <w:tc>
          <w:tcPr>
            <w:tcW w:w="140" w:type="dxa"/>
            <w:vAlign w:val="bottom"/>
          </w:tcPr>
          <w:p>
            <w:pPr>
              <w:spacing w:after="0"/>
              <w:rPr>
                <w:sz w:val="15"/>
                <w:szCs w:val="15"/>
                <w:color w:val="auto"/>
              </w:rPr>
            </w:pPr>
          </w:p>
        </w:tc>
        <w:tc>
          <w:tcPr>
            <w:tcW w:w="2040" w:type="dxa"/>
            <w:vAlign w:val="bottom"/>
            <w:gridSpan w:val="2"/>
          </w:tcPr>
          <w:p>
            <w:pPr>
              <w:jc w:val="center"/>
              <w:ind w:right="94"/>
              <w:spacing w:after="0"/>
              <w:rPr>
                <w:sz w:val="20"/>
                <w:szCs w:val="20"/>
                <w:color w:val="auto"/>
              </w:rPr>
            </w:pPr>
            <w:r>
              <w:rPr>
                <w:rFonts w:ascii="Arial" w:cs="Arial" w:eastAsia="Arial" w:hAnsi="Arial"/>
                <w:sz w:val="13"/>
                <w:szCs w:val="13"/>
                <w:color w:val="auto"/>
              </w:rPr>
              <w:t>For the nine months ended</w:t>
            </w:r>
          </w:p>
        </w:tc>
        <w:tc>
          <w:tcPr>
            <w:tcW w:w="0" w:type="dxa"/>
            <w:vAlign w:val="bottom"/>
          </w:tcPr>
          <w:p>
            <w:pPr>
              <w:spacing w:after="0"/>
              <w:rPr>
                <w:sz w:val="1"/>
                <w:szCs w:val="1"/>
                <w:color w:val="auto"/>
              </w:rPr>
            </w:pPr>
          </w:p>
        </w:tc>
      </w:tr>
      <w:tr>
        <w:trPr>
          <w:trHeight w:val="171"/>
        </w:trPr>
        <w:tc>
          <w:tcPr>
            <w:tcW w:w="2720" w:type="dxa"/>
            <w:vAlign w:val="bottom"/>
            <w:gridSpan w:val="3"/>
            <w:vMerge w:val="restart"/>
          </w:tcPr>
          <w:p>
            <w:pPr>
              <w:ind w:left="20"/>
              <w:spacing w:after="0"/>
              <w:rPr>
                <w:sz w:val="20"/>
                <w:szCs w:val="20"/>
                <w:color w:val="auto"/>
              </w:rPr>
            </w:pPr>
            <w:r>
              <w:rPr>
                <w:rFonts w:ascii="Arial" w:cs="Arial" w:eastAsia="Arial" w:hAnsi="Arial"/>
                <w:sz w:val="13"/>
                <w:szCs w:val="13"/>
                <w:color w:val="auto"/>
              </w:rPr>
              <w:t xml:space="preserve">Details about AOCI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components</w:t>
            </w: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September 30,</w:t>
            </w:r>
          </w:p>
        </w:tc>
        <w:tc>
          <w:tcPr>
            <w:tcW w:w="1160" w:type="dxa"/>
            <w:vAlign w:val="bottom"/>
            <w:gridSpan w:val="2"/>
          </w:tcPr>
          <w:p>
            <w:pPr>
              <w:jc w:val="right"/>
              <w:ind w:right="94"/>
              <w:spacing w:after="0"/>
              <w:rPr>
                <w:sz w:val="20"/>
                <w:szCs w:val="20"/>
                <w:color w:val="auto"/>
              </w:rPr>
            </w:pPr>
            <w:r>
              <w:rPr>
                <w:rFonts w:ascii="Arial" w:cs="Arial" w:eastAsia="Arial" w:hAnsi="Arial"/>
                <w:sz w:val="13"/>
                <w:szCs w:val="13"/>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3"/>
                <w:szCs w:val="13"/>
                <w:color w:val="auto"/>
              </w:rPr>
              <w:t>September 30,</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76"/>
        </w:trPr>
        <w:tc>
          <w:tcPr>
            <w:tcW w:w="2720" w:type="dxa"/>
            <w:vAlign w:val="bottom"/>
            <w:gridSpan w:val="3"/>
            <w:vMerge w:val="continue"/>
          </w:tcPr>
          <w:p>
            <w:pPr>
              <w:spacing w:after="0"/>
              <w:rPr>
                <w:sz w:val="15"/>
                <w:szCs w:val="15"/>
                <w:color w:val="auto"/>
              </w:rPr>
            </w:pPr>
          </w:p>
        </w:tc>
        <w:tc>
          <w:tcPr>
            <w:tcW w:w="3180" w:type="dxa"/>
            <w:vAlign w:val="bottom"/>
          </w:tcPr>
          <w:p>
            <w:pPr>
              <w:ind w:left="340"/>
              <w:spacing w:after="0"/>
              <w:rPr>
                <w:sz w:val="20"/>
                <w:szCs w:val="20"/>
                <w:color w:val="auto"/>
              </w:rPr>
            </w:pPr>
            <w:r>
              <w:rPr>
                <w:rFonts w:ascii="Arial" w:cs="Arial" w:eastAsia="Arial" w:hAnsi="Arial"/>
                <w:sz w:val="13"/>
                <w:szCs w:val="13"/>
                <w:color w:val="auto"/>
              </w:rPr>
              <w:t>Affected Line Item in the Statement of Income</w:t>
            </w:r>
          </w:p>
        </w:tc>
        <w:tc>
          <w:tcPr>
            <w:tcW w:w="280" w:type="dxa"/>
            <w:vAlign w:val="bottom"/>
          </w:tcPr>
          <w:p>
            <w:pPr>
              <w:spacing w:after="0"/>
              <w:rPr>
                <w:sz w:val="15"/>
                <w:szCs w:val="15"/>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2023</w:t>
            </w:r>
          </w:p>
        </w:tc>
        <w:tc>
          <w:tcPr>
            <w:tcW w:w="62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2022</w:t>
            </w:r>
          </w:p>
        </w:tc>
        <w:tc>
          <w:tcPr>
            <w:tcW w:w="140" w:type="dxa"/>
            <w:vAlign w:val="bottom"/>
          </w:tcPr>
          <w:p>
            <w:pPr>
              <w:spacing w:after="0"/>
              <w:rPr>
                <w:sz w:val="15"/>
                <w:szCs w:val="15"/>
                <w:color w:val="auto"/>
              </w:rPr>
            </w:pPr>
          </w:p>
        </w:tc>
        <w:tc>
          <w:tcPr>
            <w:tcW w:w="1080" w:type="dxa"/>
            <w:vAlign w:val="bottom"/>
          </w:tcPr>
          <w:p>
            <w:pPr>
              <w:jc w:val="right"/>
              <w:ind w:right="134"/>
              <w:spacing w:after="0"/>
              <w:rPr>
                <w:sz w:val="20"/>
                <w:szCs w:val="20"/>
                <w:color w:val="auto"/>
              </w:rPr>
            </w:pPr>
            <w:r>
              <w:rPr>
                <w:rFonts w:ascii="Arial" w:cs="Arial" w:eastAsia="Arial" w:hAnsi="Arial"/>
                <w:sz w:val="13"/>
                <w:szCs w:val="13"/>
                <w:color w:val="auto"/>
              </w:rPr>
              <w:t>2023</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44"/>
        </w:trPr>
        <w:tc>
          <w:tcPr>
            <w:tcW w:w="2720" w:type="dxa"/>
            <w:vAlign w:val="bottom"/>
            <w:tcBorders>
              <w:left w:val="single" w:sz="8" w:color="CFF0FC"/>
            </w:tcBorders>
            <w:gridSpan w:val="3"/>
            <w:shd w:val="clear" w:color="auto" w:fill="CFF0FC"/>
          </w:tcPr>
          <w:p>
            <w:pPr>
              <w:ind w:left="20"/>
              <w:spacing w:after="0" w:line="144" w:lineRule="exact"/>
              <w:rPr>
                <w:sz w:val="20"/>
                <w:szCs w:val="20"/>
                <w:color w:val="auto"/>
              </w:rPr>
            </w:pPr>
            <w:r>
              <w:rPr>
                <w:rFonts w:ascii="Arial" w:cs="Arial" w:eastAsia="Arial" w:hAnsi="Arial"/>
                <w:sz w:val="13"/>
                <w:szCs w:val="13"/>
                <w:color w:val="auto"/>
              </w:rPr>
              <w:t>Retirement plan items</w:t>
            </w:r>
          </w:p>
        </w:tc>
        <w:tc>
          <w:tcPr>
            <w:tcW w:w="3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tcBorders>
              <w:left w:val="single" w:sz="8" w:color="CFF0FC"/>
            </w:tcBorders>
            <w:shd w:val="clear" w:color="auto" w:fill="000000"/>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31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720" w:type="dxa"/>
            <w:vAlign w:val="bottom"/>
            <w:gridSpan w:val="3"/>
          </w:tcPr>
          <w:p>
            <w:pPr>
              <w:ind w:left="60"/>
              <w:spacing w:after="0" w:line="146" w:lineRule="exact"/>
              <w:rPr>
                <w:sz w:val="20"/>
                <w:szCs w:val="20"/>
                <w:color w:val="auto"/>
              </w:rPr>
            </w:pPr>
            <w:r>
              <w:rPr>
                <w:rFonts w:ascii="Arial" w:cs="Arial" w:eastAsia="Arial" w:hAnsi="Arial"/>
                <w:sz w:val="13"/>
                <w:szCs w:val="13"/>
                <w:color w:val="auto"/>
              </w:rPr>
              <w:t>Retirement plan net losses</w:t>
            </w: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ind w:left="120"/>
              <w:spacing w:after="0"/>
              <w:rPr>
                <w:sz w:val="20"/>
                <w:szCs w:val="20"/>
                <w:color w:val="auto"/>
              </w:rPr>
            </w:pPr>
            <w:r>
              <w:rPr>
                <w:rFonts w:ascii="Arial" w:cs="Arial" w:eastAsia="Arial" w:hAnsi="Arial"/>
                <w:sz w:val="13"/>
                <w:szCs w:val="13"/>
                <w:color w:val="auto"/>
              </w:rPr>
              <w:t xml:space="preserve">recognized in plan expenses </w:t>
            </w:r>
            <w:r>
              <w:rPr>
                <w:rFonts w:ascii="Arial" w:cs="Arial" w:eastAsia="Arial" w:hAnsi="Arial"/>
                <w:sz w:val="16"/>
                <w:szCs w:val="16"/>
                <w:color w:val="auto"/>
                <w:vertAlign w:val="superscript"/>
              </w:rPr>
              <w:t>(2)</w:t>
            </w:r>
          </w:p>
        </w:tc>
        <w:tc>
          <w:tcPr>
            <w:tcW w:w="3180" w:type="dxa"/>
            <w:vAlign w:val="bottom"/>
          </w:tcPr>
          <w:p>
            <w:pPr>
              <w:ind w:left="380"/>
              <w:spacing w:after="0"/>
              <w:rPr>
                <w:sz w:val="20"/>
                <w:szCs w:val="20"/>
                <w:color w:val="auto"/>
              </w:rPr>
            </w:pPr>
            <w:r>
              <w:rPr>
                <w:rFonts w:ascii="Arial" w:cs="Arial" w:eastAsia="Arial" w:hAnsi="Arial"/>
                <w:sz w:val="13"/>
                <w:szCs w:val="13"/>
                <w:color w:val="auto"/>
              </w:rPr>
              <w:t>Salaries and employee benefits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(56 )</w:t>
            </w:r>
          </w:p>
        </w:tc>
        <w:tc>
          <w:tcPr>
            <w:tcW w:w="62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(167 ) $</w:t>
            </w:r>
          </w:p>
        </w:tc>
        <w:tc>
          <w:tcPr>
            <w:tcW w:w="960" w:type="dxa"/>
            <w:vAlign w:val="bottom"/>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80"/>
        </w:trPr>
        <w:tc>
          <w:tcPr>
            <w:tcW w:w="27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Tax effect</w:t>
            </w:r>
          </w:p>
        </w:tc>
        <w:tc>
          <w:tcPr>
            <w:tcW w:w="3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15</w:t>
            </w:r>
          </w:p>
        </w:tc>
        <w:tc>
          <w:tcPr>
            <w:tcW w:w="6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44</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5"/>
        </w:trPr>
        <w:tc>
          <w:tcPr>
            <w:tcW w:w="1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Net (losses)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(41 )</w:t>
            </w:r>
          </w:p>
        </w:tc>
        <w:tc>
          <w:tcPr>
            <w:tcW w:w="6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(123 )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720" w:type="dxa"/>
            <w:vAlign w:val="bottom"/>
            <w:tcBorders>
              <w:left w:val="single" w:sz="8" w:color="CFF0FC"/>
            </w:tcBorders>
            <w:gridSpan w:val="3"/>
            <w:shd w:val="clear" w:color="auto" w:fill="CFF0FC"/>
          </w:tcPr>
          <w:p>
            <w:pPr>
              <w:ind w:left="20"/>
              <w:spacing w:after="0" w:line="125" w:lineRule="exact"/>
              <w:rPr>
                <w:sz w:val="20"/>
                <w:szCs w:val="20"/>
                <w:color w:val="auto"/>
              </w:rPr>
            </w:pPr>
            <w:r>
              <w:rPr>
                <w:rFonts w:ascii="Arial" w:cs="Arial" w:eastAsia="Arial" w:hAnsi="Arial"/>
                <w:sz w:val="13"/>
                <w:szCs w:val="13"/>
                <w:color w:val="auto"/>
              </w:rPr>
              <w:t>Available-for-sale securities</w:t>
            </w:r>
          </w:p>
        </w:tc>
        <w:tc>
          <w:tcPr>
            <w:tcW w:w="3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3180" w:type="dxa"/>
            <w:vAlign w:val="bottom"/>
            <w:tcBorders>
              <w:top w:val="single" w:sz="8" w:color="CFF0FC"/>
            </w:tcBorders>
          </w:tcPr>
          <w:p>
            <w:pPr>
              <w:ind w:left="380"/>
              <w:spacing w:after="0"/>
              <w:rPr>
                <w:sz w:val="20"/>
                <w:szCs w:val="20"/>
                <w:color w:val="auto"/>
              </w:rPr>
            </w:pPr>
            <w:r>
              <w:rPr>
                <w:rFonts w:ascii="Arial" w:cs="Arial" w:eastAsia="Arial" w:hAnsi="Arial"/>
                <w:sz w:val="13"/>
                <w:szCs w:val="13"/>
                <w:color w:val="auto"/>
              </w:rPr>
              <w:t>Net gains on sales and redemptions</w:t>
            </w:r>
          </w:p>
        </w:tc>
        <w:tc>
          <w:tcPr>
            <w:tcW w:w="280" w:type="dxa"/>
            <w:vAlign w:val="bottom"/>
            <w:tcBorders>
              <w:top w:val="single" w:sz="8" w:color="CFF0FC"/>
            </w:tcBorders>
          </w:tcPr>
          <w:p>
            <w:pPr>
              <w:spacing w:after="0"/>
              <w:rPr>
                <w:sz w:val="13"/>
                <w:szCs w:val="13"/>
                <w:color w:val="auto"/>
              </w:rPr>
            </w:pPr>
          </w:p>
        </w:tc>
        <w:tc>
          <w:tcPr>
            <w:tcW w:w="1040" w:type="dxa"/>
            <w:vAlign w:val="bottom"/>
            <w:tcBorders>
              <w:top w:val="single" w:sz="8" w:color="CFF0FC"/>
            </w:tcBorders>
          </w:tcPr>
          <w:p>
            <w:pPr>
              <w:spacing w:after="0"/>
              <w:rPr>
                <w:sz w:val="13"/>
                <w:szCs w:val="13"/>
                <w:color w:val="auto"/>
              </w:rPr>
            </w:pPr>
          </w:p>
        </w:tc>
        <w:tc>
          <w:tcPr>
            <w:tcW w:w="620" w:type="dxa"/>
            <w:vAlign w:val="bottom"/>
            <w:tcBorders>
              <w:top w:val="single" w:sz="8" w:color="CFF0FC"/>
            </w:tcBorders>
          </w:tcPr>
          <w:p>
            <w:pPr>
              <w:spacing w:after="0"/>
              <w:rPr>
                <w:sz w:val="13"/>
                <w:szCs w:val="13"/>
                <w:color w:val="auto"/>
              </w:rPr>
            </w:pPr>
          </w:p>
        </w:tc>
        <w:tc>
          <w:tcPr>
            <w:tcW w:w="54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8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20" w:type="dxa"/>
            <w:vAlign w:val="bottom"/>
            <w:gridSpan w:val="3"/>
          </w:tcPr>
          <w:p>
            <w:pPr>
              <w:ind w:left="20"/>
              <w:spacing w:after="0"/>
              <w:rPr>
                <w:sz w:val="20"/>
                <w:szCs w:val="20"/>
                <w:color w:val="auto"/>
              </w:rPr>
            </w:pPr>
            <w:r>
              <w:rPr>
                <w:rFonts w:ascii="Arial" w:cs="Arial" w:eastAsia="Arial" w:hAnsi="Arial"/>
                <w:sz w:val="13"/>
                <w:szCs w:val="13"/>
                <w:color w:val="auto"/>
              </w:rPr>
              <w:t>Realized gain (loss) on sale of securities</w:t>
            </w:r>
          </w:p>
        </w:tc>
        <w:tc>
          <w:tcPr>
            <w:tcW w:w="3180" w:type="dxa"/>
            <w:vAlign w:val="bottom"/>
          </w:tcPr>
          <w:p>
            <w:pPr>
              <w:ind w:left="440"/>
              <w:spacing w:after="0"/>
              <w:rPr>
                <w:sz w:val="20"/>
                <w:szCs w:val="20"/>
                <w:color w:val="auto"/>
              </w:rPr>
            </w:pPr>
            <w:r>
              <w:rPr>
                <w:rFonts w:ascii="Arial" w:cs="Arial" w:eastAsia="Arial" w:hAnsi="Arial"/>
                <w:sz w:val="13"/>
                <w:szCs w:val="13"/>
                <w:color w:val="auto"/>
              </w:rPr>
              <w:t>of investment securities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w:t>
            </w:r>
          </w:p>
        </w:tc>
        <w:tc>
          <w:tcPr>
            <w:tcW w:w="62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(186 )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(1,932 ) $</w:t>
            </w:r>
          </w:p>
        </w:tc>
        <w:tc>
          <w:tcPr>
            <w:tcW w:w="960" w:type="dxa"/>
            <w:vAlign w:val="bottom"/>
          </w:tcPr>
          <w:p>
            <w:pPr>
              <w:jc w:val="right"/>
              <w:spacing w:after="0"/>
              <w:rPr>
                <w:sz w:val="20"/>
                <w:szCs w:val="20"/>
                <w:color w:val="auto"/>
              </w:rPr>
            </w:pPr>
            <w:r>
              <w:rPr>
                <w:rFonts w:ascii="Arial" w:cs="Arial" w:eastAsia="Arial" w:hAnsi="Arial"/>
                <w:sz w:val="13"/>
                <w:szCs w:val="13"/>
                <w:color w:val="auto"/>
              </w:rPr>
              <w:t>(160 )</w:t>
            </w:r>
          </w:p>
        </w:tc>
        <w:tc>
          <w:tcPr>
            <w:tcW w:w="0" w:type="dxa"/>
            <w:vAlign w:val="bottom"/>
          </w:tcPr>
          <w:p>
            <w:pPr>
              <w:spacing w:after="0"/>
              <w:rPr>
                <w:sz w:val="1"/>
                <w:szCs w:val="1"/>
                <w:color w:val="auto"/>
              </w:rPr>
            </w:pPr>
          </w:p>
        </w:tc>
      </w:tr>
      <w:tr>
        <w:trPr>
          <w:trHeight w:val="185"/>
        </w:trPr>
        <w:tc>
          <w:tcPr>
            <w:tcW w:w="27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Tax effect</w:t>
            </w:r>
          </w:p>
        </w:tc>
        <w:tc>
          <w:tcPr>
            <w:tcW w:w="3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506</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5"/>
        </w:trPr>
        <w:tc>
          <w:tcPr>
            <w:tcW w:w="1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Net income (losses)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w:t>
            </w:r>
          </w:p>
        </w:tc>
        <w:tc>
          <w:tcPr>
            <w:tcW w:w="6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(136 )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(1,426 )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(117 )</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(1)Amounts in parentheses indicates debits in net income.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(2)These items are included in net periodic pension cost.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See Note 5 for additional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33" w:right="68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13: Noninterest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included the following table regarding the Company’s noninterest income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3"/>
          </w:tcPr>
          <w:p>
            <w:pPr>
              <w:jc w:val="right"/>
              <w:ind w:right="582"/>
              <w:spacing w:after="0"/>
              <w:rPr>
                <w:sz w:val="20"/>
                <w:szCs w:val="20"/>
                <w:color w:val="auto"/>
              </w:rPr>
            </w:pPr>
            <w:r>
              <w:rPr>
                <w:rFonts w:ascii="Arial" w:cs="Arial" w:eastAsia="Arial" w:hAnsi="Arial"/>
                <w:sz w:val="16"/>
                <w:szCs w:val="16"/>
                <w:color w:val="auto"/>
              </w:rPr>
              <w:t>For the three months ended</w:t>
            </w:r>
          </w:p>
        </w:tc>
        <w:tc>
          <w:tcPr>
            <w:tcW w:w="260" w:type="dxa"/>
            <w:vAlign w:val="bottom"/>
          </w:tcPr>
          <w:p>
            <w:pPr>
              <w:spacing w:after="0"/>
              <w:rPr>
                <w:sz w:val="17"/>
                <w:szCs w:val="17"/>
                <w:color w:val="auto"/>
              </w:rPr>
            </w:pPr>
          </w:p>
        </w:tc>
        <w:tc>
          <w:tcPr>
            <w:tcW w:w="276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187"/>
        </w:trPr>
        <w:tc>
          <w:tcPr>
            <w:tcW w:w="43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6"/>
                <w:szCs w:val="16"/>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6"/>
                <w:szCs w:val="16"/>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6"/>
                <w:szCs w:val="16"/>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198"/>
        </w:trPr>
        <w:tc>
          <w:tcPr>
            <w:tcW w:w="4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Service charges on deposit accounts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Insufficient funds fees</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181</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154</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488</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Deposit related fees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112</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321</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ATM fees</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service charges on deposit accounts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343</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334</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913</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Fee Income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Insurance agency revenue</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310</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258</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1,001</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Investment services revenue</w:t>
            </w:r>
          </w:p>
        </w:tc>
        <w:tc>
          <w:tcPr>
            <w:tcW w:w="280" w:type="dxa"/>
            <w:vAlign w:val="bottom"/>
          </w:tcPr>
          <w:p>
            <w:pPr>
              <w:spacing w:after="0"/>
              <w:rPr>
                <w:sz w:val="17"/>
                <w:szCs w:val="17"/>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128</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360</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ATM fees surcharge</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66</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168</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Banking house rents collected</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150</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41"/>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fee income</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553</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534</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1,679</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Card income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Debit card interchange fees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455</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Merchant card fees</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61"/>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card income</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41</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201</w:t>
            </w:r>
          </w:p>
        </w:tc>
        <w:tc>
          <w:tcPr>
            <w:tcW w:w="26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501</w:t>
            </w: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77"/>
        </w:trPr>
        <w:tc>
          <w:tcPr>
            <w:tcW w:w="4380" w:type="dxa"/>
            <w:vAlign w:val="bottom"/>
          </w:tcPr>
          <w:p>
            <w:pPr>
              <w:ind w:left="20"/>
              <w:spacing w:after="0" w:line="177" w:lineRule="exact"/>
              <w:rPr>
                <w:sz w:val="20"/>
                <w:szCs w:val="20"/>
                <w:color w:val="auto"/>
              </w:rPr>
            </w:pPr>
            <w:r>
              <w:rPr>
                <w:rFonts w:ascii="Arial" w:cs="Arial" w:eastAsia="Arial" w:hAnsi="Arial"/>
                <w:sz w:val="16"/>
                <w:szCs w:val="16"/>
                <w:b w:val="1"/>
                <w:bCs w:val="1"/>
                <w:color w:val="auto"/>
              </w:rPr>
              <w:t>Mortgage fee income and realized gain on sale of loans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100"/>
              <w:spacing w:after="0"/>
              <w:rPr>
                <w:sz w:val="20"/>
                <w:szCs w:val="20"/>
                <w:color w:val="auto"/>
              </w:rPr>
            </w:pPr>
            <w:r>
              <w:rPr>
                <w:rFonts w:ascii="Arial" w:cs="Arial" w:eastAsia="Arial" w:hAnsi="Arial"/>
                <w:sz w:val="16"/>
                <w:szCs w:val="16"/>
                <w:b w:val="1"/>
                <w:bCs w:val="1"/>
                <w:color w:val="auto"/>
              </w:rPr>
              <w:t>and foreclosed real estate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Loan servicing fees</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99</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238</w:t>
            </w: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Net gains on sales of loans and foreclosed real estate</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183</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6"/>
        </w:trPr>
        <w:tc>
          <w:tcPr>
            <w:tcW w:w="4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mortgage fee income and realized gain on sale of</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loans and foreclosed real estate</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140</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421</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4"/>
        </w:trPr>
        <w:tc>
          <w:tcPr>
            <w:tcW w:w="438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1,077</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1,190</w:t>
            </w:r>
          </w:p>
        </w:tc>
        <w:tc>
          <w:tcPr>
            <w:tcW w:w="2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3,514</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Earnings and gain on bank owned life insurance</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165</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156</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466</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77"/>
        </w:trPr>
        <w:tc>
          <w:tcPr>
            <w:tcW w:w="4380" w:type="dxa"/>
            <w:vAlign w:val="bottom"/>
          </w:tcPr>
          <w:p>
            <w:pPr>
              <w:ind w:left="100"/>
              <w:spacing w:after="0" w:line="177" w:lineRule="exact"/>
              <w:rPr>
                <w:sz w:val="20"/>
                <w:szCs w:val="20"/>
                <w:color w:val="auto"/>
              </w:rPr>
            </w:pPr>
            <w:r>
              <w:rPr>
                <w:rFonts w:ascii="Arial" w:cs="Arial" w:eastAsia="Arial" w:hAnsi="Arial"/>
                <w:sz w:val="16"/>
                <w:szCs w:val="16"/>
                <w:b w:val="1"/>
                <w:bCs w:val="1"/>
                <w:color w:val="auto"/>
                <w:w w:val="99"/>
              </w:rPr>
              <w:t>Net (losses) gains on sale and redemption of investment</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220"/>
              <w:spacing w:after="0"/>
              <w:rPr>
                <w:sz w:val="20"/>
                <w:szCs w:val="20"/>
                <w:color w:val="auto"/>
              </w:rPr>
            </w:pPr>
            <w:r>
              <w:rPr>
                <w:rFonts w:ascii="Arial" w:cs="Arial" w:eastAsia="Arial" w:hAnsi="Arial"/>
                <w:sz w:val="16"/>
                <w:szCs w:val="16"/>
                <w:b w:val="1"/>
                <w:bCs w:val="1"/>
                <w:color w:val="auto"/>
              </w:rPr>
              <w:t>securities</w:t>
            </w:r>
          </w:p>
        </w:tc>
        <w:tc>
          <w:tcPr>
            <w:tcW w:w="280" w:type="dxa"/>
            <w:vAlign w:val="bottom"/>
          </w:tcPr>
          <w:p>
            <w:pPr>
              <w:spacing w:after="0"/>
              <w:rPr>
                <w:sz w:val="18"/>
                <w:szCs w:val="18"/>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(198 )</w:t>
            </w:r>
          </w:p>
        </w:tc>
        <w:tc>
          <w:tcPr>
            <w:tcW w:w="260" w:type="dxa"/>
            <w:vAlign w:val="bottom"/>
          </w:tcPr>
          <w:p>
            <w:pPr>
              <w:spacing w:after="0"/>
              <w:rPr>
                <w:sz w:val="18"/>
                <w:szCs w:val="18"/>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04"/>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(Losses) gains on marketable equity securities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(208 )</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4"/>
        </w:trPr>
        <w:tc>
          <w:tcPr>
            <w:tcW w:w="4380" w:type="dxa"/>
            <w:vAlign w:val="bottom"/>
          </w:tcPr>
          <w:p>
            <w:pPr>
              <w:ind w:left="100"/>
              <w:spacing w:after="0"/>
              <w:rPr>
                <w:sz w:val="20"/>
                <w:szCs w:val="20"/>
                <w:color w:val="auto"/>
              </w:rPr>
            </w:pPr>
            <w:r>
              <w:rPr>
                <w:rFonts w:ascii="Arial" w:cs="Arial" w:eastAsia="Arial" w:hAnsi="Arial"/>
                <w:sz w:val="16"/>
                <w:szCs w:val="16"/>
                <w:b w:val="1"/>
                <w:bCs w:val="1"/>
                <w:color w:val="auto"/>
              </w:rPr>
              <w:t>Other miscellaneous income</w:t>
            </w:r>
          </w:p>
        </w:tc>
        <w:tc>
          <w:tcPr>
            <w:tcW w:w="280" w:type="dxa"/>
            <w:vAlign w:val="bottom"/>
          </w:tcPr>
          <w:p>
            <w:pPr>
              <w:spacing w:after="0"/>
              <w:rPr>
                <w:sz w:val="17"/>
                <w:szCs w:val="17"/>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44"/>
        </w:trPr>
        <w:tc>
          <w:tcPr>
            <w:tcW w:w="4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noninterest income</w:t>
            </w:r>
          </w:p>
        </w:tc>
        <w:tc>
          <w:tcPr>
            <w:tcW w:w="2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1,193</w:t>
            </w:r>
          </w:p>
        </w:tc>
        <w:tc>
          <w:tcPr>
            <w:tcW w:w="2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1,161</w:t>
            </w:r>
          </w:p>
        </w:tc>
        <w:tc>
          <w:tcPr>
            <w:tcW w:w="2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3,872</w:t>
            </w:r>
          </w:p>
        </w:tc>
        <w:tc>
          <w:tcPr>
            <w:tcW w:w="2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4,060</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key revenues within the scope of ASC 606 guidance:</w:t>
      </w:r>
    </w:p>
    <w:p>
      <w:pPr>
        <w:spacing w:after="0" w:line="21" w:lineRule="exact"/>
        <w:rPr>
          <w:sz w:val="20"/>
          <w:szCs w:val="20"/>
          <w:color w:val="auto"/>
        </w:rPr>
      </w:pPr>
    </w:p>
    <w:p>
      <w:pPr>
        <w:ind w:left="360" w:right="1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charges on deposit accounts –</w:t>
      </w:r>
      <w:r>
        <w:rPr>
          <w:rFonts w:ascii="Arial" w:cs="Arial" w:eastAsia="Arial" w:hAnsi="Arial"/>
          <w:sz w:val="18"/>
          <w:szCs w:val="18"/>
          <w:color w:val="auto"/>
        </w:rPr>
        <w:t xml:space="preserve"> Revenue is earned through insufficient funds fees, customer initiated activities or passage of time for deposit related fees, and ATM service fees. Transaction- 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2" w:lineRule="exact"/>
        <w:rPr>
          <w:sz w:val="20"/>
          <w:szCs w:val="20"/>
          <w:color w:val="auto"/>
        </w:rPr>
      </w:pPr>
    </w:p>
    <w:p>
      <w:pPr>
        <w:ind w:left="360" w:right="22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income –</w:t>
      </w:r>
      <w:r>
        <w:rPr>
          <w:rFonts w:ascii="Arial" w:cs="Arial" w:eastAsia="Arial" w:hAnsi="Arial"/>
          <w:sz w:val="18"/>
          <w:szCs w:val="18"/>
          <w:color w:val="auto"/>
        </w:rPr>
        <w:t xml:space="preserve"> Revenue is earned through commissions on insurance and securities sales, ATM surcharge 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2" w:lineRule="exact"/>
        <w:rPr>
          <w:sz w:val="20"/>
          <w:szCs w:val="20"/>
          <w:color w:val="auto"/>
        </w:rPr>
      </w:pPr>
    </w:p>
    <w:p>
      <w:pPr>
        <w:ind w:left="360" w:right="3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Card income –</w:t>
      </w:r>
      <w:r>
        <w:rPr>
          <w:rFonts w:ascii="Arial" w:cs="Arial" w:eastAsia="Arial" w:hAnsi="Arial"/>
          <w:sz w:val="18"/>
          <w:szCs w:val="18"/>
          <w:color w:val="auto"/>
        </w:rPr>
        <w:t xml:space="preserve"> Card income consists of interchange fees from consumer debit card networks and other related services. Interchange rates are set by the card networks. Interchange fees are based on purchase volumes and other factors and are recognized as transactions occur.</w:t>
      </w:r>
    </w:p>
    <w:p>
      <w:pPr>
        <w:spacing w:after="0" w:line="1" w:lineRule="exact"/>
        <w:rPr>
          <w:sz w:val="20"/>
          <w:szCs w:val="20"/>
          <w:color w:val="auto"/>
        </w:rPr>
      </w:pPr>
    </w:p>
    <w:p>
      <w:pPr>
        <w:ind w:left="360" w:right="200"/>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fee income and realized gain on sale of loans and foreclosed real estate</w:t>
      </w:r>
      <w:r>
        <w:rPr>
          <w:rFonts w:ascii="Arial" w:cs="Arial" w:eastAsia="Arial" w:hAnsi="Arial"/>
          <w:sz w:val="18"/>
          <w:szCs w:val="18"/>
          <w:color w:val="auto"/>
        </w:rPr>
        <w:t xml:space="preserve"> – Revenue from mortgage fee income and realized gain on sale of loans and foreclosed real estate is earned through the origination of residential and commercial mortgage loans, sales of one-to-four family residential mortgage loans, sales of government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73" w:right="680" w:bottom="1440" w:gutter="0" w:footer="0" w:header="0"/>
        </w:sectPr>
      </w:pPr>
    </w:p>
    <w:bookmarkStart w:id="44" w:name="page45"/>
    <w:bookmarkEnd w:id="44"/>
    <w:p>
      <w:pPr>
        <w:ind w:left="360" w:right="140"/>
        <w:spacing w:after="0" w:line="275" w:lineRule="auto"/>
        <w:rPr>
          <w:sz w:val="20"/>
          <w:szCs w:val="20"/>
          <w:color w:val="auto"/>
        </w:rPr>
      </w:pPr>
      <w:r>
        <w:rPr>
          <w:rFonts w:ascii="Arial" w:cs="Arial" w:eastAsia="Arial" w:hAnsi="Arial"/>
          <w:sz w:val="18"/>
          <w:szCs w:val="18"/>
          <w:color w:val="auto"/>
        </w:rPr>
        <w:t>guarantees portions of Small Business Administration loans (“SBA loans”), and sales of foreclosed real estate, and is earned as the transaction occurs.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operating and finance leases for certain banking offices and land under noncancelable agreements. Our leases have remaining lease terms that vary from 2 years up to 29 years, some of which include options to extend the leases for various renewal periods. All options to renew are included in the current lease term when we believe it is reasonably certain that the renewal options will be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8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three months ended</w:t>
            </w:r>
          </w:p>
        </w:tc>
        <w:tc>
          <w:tcPr>
            <w:tcW w:w="300" w:type="dxa"/>
            <w:vAlign w:val="bottom"/>
          </w:tcPr>
          <w:p>
            <w:pPr>
              <w:spacing w:after="0"/>
              <w:rPr>
                <w:sz w:val="17"/>
                <w:szCs w:val="17"/>
                <w:color w:val="auto"/>
              </w:rPr>
            </w:pPr>
          </w:p>
        </w:tc>
        <w:tc>
          <w:tcPr>
            <w:tcW w:w="2680" w:type="dxa"/>
            <w:vAlign w:val="bottom"/>
            <w:gridSpan w:val="3"/>
          </w:tcPr>
          <w:p>
            <w:pPr>
              <w:jc w:val="right"/>
              <w:ind w:right="442"/>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187"/>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tcPr>
          <w:p>
            <w:pPr>
              <w:spacing w:after="0"/>
              <w:rPr>
                <w:sz w:val="16"/>
                <w:szCs w:val="16"/>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w w:val="99"/>
              </w:rPr>
              <w:t>September 30,</w:t>
            </w:r>
          </w:p>
        </w:tc>
        <w:tc>
          <w:tcPr>
            <w:tcW w:w="300" w:type="dxa"/>
            <w:vAlign w:val="bottom"/>
          </w:tcPr>
          <w:p>
            <w:pPr>
              <w:spacing w:after="0"/>
              <w:rPr>
                <w:sz w:val="16"/>
                <w:szCs w:val="16"/>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September 30,</w:t>
            </w:r>
          </w:p>
        </w:tc>
        <w:tc>
          <w:tcPr>
            <w:tcW w:w="300" w:type="dxa"/>
            <w:vAlign w:val="bottom"/>
          </w:tcPr>
          <w:p>
            <w:pPr>
              <w:spacing w:after="0"/>
              <w:rPr>
                <w:sz w:val="16"/>
                <w:szCs w:val="16"/>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w w:val="99"/>
              </w:rPr>
              <w:t>September 30,</w:t>
            </w:r>
          </w:p>
        </w:tc>
        <w:tc>
          <w:tcPr>
            <w:tcW w:w="0" w:type="dxa"/>
            <w:vAlign w:val="bottom"/>
          </w:tcPr>
          <w:p>
            <w:pPr>
              <w:spacing w:after="0"/>
              <w:rPr>
                <w:sz w:val="1"/>
                <w:szCs w:val="1"/>
                <w:color w:val="auto"/>
              </w:rPr>
            </w:pPr>
          </w:p>
        </w:tc>
      </w:tr>
      <w:tr>
        <w:trPr>
          <w:trHeight w:val="198"/>
        </w:trPr>
        <w:tc>
          <w:tcPr>
            <w:tcW w:w="30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5"/>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cost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170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174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7"/>
                <w:szCs w:val="17"/>
                <w:color w:val="auto"/>
              </w:rPr>
            </w:pPr>
          </w:p>
        </w:tc>
        <w:tc>
          <w:tcPr>
            <w:tcW w:w="1240" w:type="dxa"/>
            <w:vAlign w:val="bottom"/>
            <w:vMerge w:val="restart"/>
          </w:tcPr>
          <w:p>
            <w:pPr>
              <w:jc w:val="right"/>
              <w:ind w:right="82"/>
              <w:spacing w:after="0"/>
              <w:rPr>
                <w:sz w:val="20"/>
                <w:szCs w:val="20"/>
                <w:color w:val="auto"/>
              </w:rPr>
            </w:pPr>
            <w:r>
              <w:rPr>
                <w:rFonts w:ascii="Arial" w:cs="Arial" w:eastAsia="Arial" w:hAnsi="Arial"/>
                <w:sz w:val="16"/>
                <w:szCs w:val="16"/>
                <w:color w:val="auto"/>
              </w:rPr>
              <w:t>167</w:t>
            </w:r>
          </w:p>
        </w:tc>
        <w:tc>
          <w:tcPr>
            <w:tcW w:w="2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72"/>
        </w:trPr>
        <w:tc>
          <w:tcPr>
            <w:tcW w:w="3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8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three months ended</w:t>
            </w:r>
          </w:p>
        </w:tc>
        <w:tc>
          <w:tcPr>
            <w:tcW w:w="300" w:type="dxa"/>
            <w:vAlign w:val="bottom"/>
          </w:tcPr>
          <w:p>
            <w:pPr>
              <w:spacing w:after="0"/>
              <w:rPr>
                <w:sz w:val="17"/>
                <w:szCs w:val="17"/>
                <w:color w:val="auto"/>
              </w:rPr>
            </w:pPr>
          </w:p>
        </w:tc>
        <w:tc>
          <w:tcPr>
            <w:tcW w:w="2680" w:type="dxa"/>
            <w:vAlign w:val="bottom"/>
            <w:gridSpan w:val="3"/>
          </w:tcPr>
          <w:p>
            <w:pPr>
              <w:jc w:val="right"/>
              <w:ind w:right="442"/>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187"/>
        </w:trPr>
        <w:tc>
          <w:tcPr>
            <w:tcW w:w="3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860" w:type="dxa"/>
            <w:vAlign w:val="bottom"/>
          </w:tcPr>
          <w:p>
            <w:pPr>
              <w:spacing w:after="0"/>
              <w:rPr>
                <w:sz w:val="16"/>
                <w:szCs w:val="16"/>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w w:val="99"/>
              </w:rPr>
              <w:t>September 30,</w:t>
            </w:r>
          </w:p>
        </w:tc>
        <w:tc>
          <w:tcPr>
            <w:tcW w:w="300" w:type="dxa"/>
            <w:vAlign w:val="bottom"/>
          </w:tcPr>
          <w:p>
            <w:pPr>
              <w:spacing w:after="0"/>
              <w:rPr>
                <w:sz w:val="16"/>
                <w:szCs w:val="16"/>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September 30,</w:t>
            </w:r>
          </w:p>
        </w:tc>
        <w:tc>
          <w:tcPr>
            <w:tcW w:w="300" w:type="dxa"/>
            <w:vAlign w:val="bottom"/>
          </w:tcPr>
          <w:p>
            <w:pPr>
              <w:spacing w:after="0"/>
              <w:rPr>
                <w:sz w:val="16"/>
                <w:szCs w:val="16"/>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w w:val="99"/>
              </w:rPr>
              <w:t>September 30,</w:t>
            </w:r>
          </w:p>
        </w:tc>
        <w:tc>
          <w:tcPr>
            <w:tcW w:w="0" w:type="dxa"/>
            <w:vAlign w:val="bottom"/>
          </w:tcPr>
          <w:p>
            <w:pPr>
              <w:spacing w:after="0"/>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5"/>
        </w:trPr>
        <w:tc>
          <w:tcPr>
            <w:tcW w:w="60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Cash paid for amount included in the measurement of lease liabilities: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48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53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156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5"/>
        </w:trPr>
        <w:tc>
          <w:tcPr>
            <w:tcW w:w="3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8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56</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167</w:t>
            </w: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2"/>
        </w:trPr>
        <w:tc>
          <w:tcPr>
            <w:tcW w:w="394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86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lease term and discount rate)</w:t>
            </w:r>
          </w:p>
        </w:tc>
        <w:tc>
          <w:tcPr>
            <w:tcW w:w="2420" w:type="dxa"/>
            <w:vAlign w:val="bottom"/>
          </w:tcPr>
          <w:p>
            <w:pPr>
              <w:spacing w:after="0"/>
              <w:rPr>
                <w:sz w:val="17"/>
                <w:szCs w:val="17"/>
                <w:color w:val="auto"/>
              </w:rPr>
            </w:pPr>
          </w:p>
        </w:tc>
        <w:tc>
          <w:tcPr>
            <w:tcW w:w="1820" w:type="dxa"/>
            <w:vAlign w:val="bottom"/>
          </w:tcPr>
          <w:p>
            <w:pPr>
              <w:jc w:val="right"/>
              <w:ind w:right="202"/>
              <w:spacing w:after="0"/>
              <w:rPr>
                <w:sz w:val="20"/>
                <w:szCs w:val="20"/>
                <w:color w:val="auto"/>
              </w:rPr>
            </w:pPr>
            <w:r>
              <w:rPr>
                <w:rFonts w:ascii="Arial" w:cs="Arial" w:eastAsia="Arial" w:hAnsi="Arial"/>
                <w:sz w:val="16"/>
                <w:szCs w:val="16"/>
                <w:color w:val="auto"/>
              </w:rPr>
              <w:t>September 30, 2023</w:t>
            </w:r>
          </w:p>
        </w:tc>
        <w:tc>
          <w:tcPr>
            <w:tcW w:w="36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December 31, 2022</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Leases:</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ind w:left="100"/>
              <w:spacing w:after="0"/>
              <w:rPr>
                <w:sz w:val="20"/>
                <w:szCs w:val="20"/>
                <w:color w:val="auto"/>
              </w:rPr>
            </w:pPr>
            <w:r>
              <w:rPr>
                <w:rFonts w:ascii="Arial" w:cs="Arial" w:eastAsia="Arial" w:hAnsi="Arial"/>
                <w:sz w:val="16"/>
                <w:szCs w:val="16"/>
                <w:color w:val="auto"/>
              </w:rPr>
              <w:t>Operating lease right-of-use assets</w:t>
            </w:r>
          </w:p>
        </w:tc>
        <w:tc>
          <w:tcPr>
            <w:tcW w:w="24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02"/>
              <w:spacing w:after="0"/>
              <w:rPr>
                <w:sz w:val="20"/>
                <w:szCs w:val="20"/>
                <w:color w:val="auto"/>
              </w:rPr>
            </w:pPr>
            <w:r>
              <w:rPr>
                <w:rFonts w:ascii="Arial" w:cs="Arial" w:eastAsia="Arial" w:hAnsi="Arial"/>
                <w:sz w:val="16"/>
                <w:szCs w:val="16"/>
                <w:color w:val="auto"/>
              </w:rPr>
              <w:t>1,559</w:t>
            </w:r>
          </w:p>
        </w:tc>
        <w:tc>
          <w:tcPr>
            <w:tcW w:w="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2,098</w:t>
            </w:r>
          </w:p>
        </w:tc>
        <w:tc>
          <w:tcPr>
            <w:tcW w:w="60" w:type="dxa"/>
            <w:vAlign w:val="bottom"/>
          </w:tcPr>
          <w:p>
            <w:pPr>
              <w:spacing w:after="0"/>
              <w:rPr>
                <w:sz w:val="17"/>
                <w:szCs w:val="17"/>
                <w:color w:val="auto"/>
              </w:rPr>
            </w:pPr>
          </w:p>
        </w:tc>
      </w:tr>
      <w:tr>
        <w:trPr>
          <w:trHeight w:val="205"/>
        </w:trPr>
        <w:tc>
          <w:tcPr>
            <w:tcW w:w="4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lease liabilities</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1,739</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2,417</w:t>
            </w:r>
          </w:p>
        </w:tc>
        <w:tc>
          <w:tcPr>
            <w:tcW w:w="60" w:type="dxa"/>
            <w:vAlign w:val="bottom"/>
          </w:tcPr>
          <w:p>
            <w:pPr>
              <w:spacing w:after="0"/>
              <w:rPr>
                <w:sz w:val="17"/>
                <w:szCs w:val="17"/>
                <w:color w:val="auto"/>
              </w:rPr>
            </w:pPr>
          </w:p>
        </w:tc>
      </w:tr>
      <w:tr>
        <w:trPr>
          <w:trHeight w:val="204"/>
        </w:trPr>
        <w:tc>
          <w:tcPr>
            <w:tcW w:w="4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Finance Leases:</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ind w:left="100"/>
              <w:spacing w:after="0"/>
              <w:rPr>
                <w:sz w:val="20"/>
                <w:szCs w:val="20"/>
                <w:color w:val="auto"/>
              </w:rPr>
            </w:pPr>
            <w:r>
              <w:rPr>
                <w:rFonts w:ascii="Arial" w:cs="Arial" w:eastAsia="Arial" w:hAnsi="Arial"/>
                <w:sz w:val="16"/>
                <w:szCs w:val="16"/>
                <w:color w:val="auto"/>
              </w:rPr>
              <w:t>Finance lease right-of-use assets</w:t>
            </w:r>
          </w:p>
        </w:tc>
        <w:tc>
          <w:tcPr>
            <w:tcW w:w="24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02"/>
              <w:spacing w:after="0"/>
              <w:rPr>
                <w:sz w:val="20"/>
                <w:szCs w:val="20"/>
                <w:color w:val="auto"/>
              </w:rPr>
            </w:pPr>
            <w:r>
              <w:rPr>
                <w:rFonts w:ascii="Arial" w:cs="Arial" w:eastAsia="Arial" w:hAnsi="Arial"/>
                <w:sz w:val="16"/>
                <w:szCs w:val="16"/>
                <w:color w:val="auto"/>
              </w:rPr>
              <w:t>4,108</w:t>
            </w:r>
          </w:p>
        </w:tc>
        <w:tc>
          <w:tcPr>
            <w:tcW w:w="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4,213</w:t>
            </w:r>
          </w:p>
        </w:tc>
        <w:tc>
          <w:tcPr>
            <w:tcW w:w="60" w:type="dxa"/>
            <w:vAlign w:val="bottom"/>
          </w:tcPr>
          <w:p>
            <w:pPr>
              <w:spacing w:after="0"/>
              <w:rPr>
                <w:sz w:val="17"/>
                <w:szCs w:val="17"/>
                <w:color w:val="auto"/>
              </w:rPr>
            </w:pPr>
          </w:p>
        </w:tc>
      </w:tr>
      <w:tr>
        <w:trPr>
          <w:trHeight w:val="205"/>
        </w:trPr>
        <w:tc>
          <w:tcPr>
            <w:tcW w:w="4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Finance lease liability</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4,391</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4,422</w:t>
            </w:r>
          </w:p>
        </w:tc>
        <w:tc>
          <w:tcPr>
            <w:tcW w:w="60" w:type="dxa"/>
            <w:vAlign w:val="bottom"/>
          </w:tcPr>
          <w:p>
            <w:pPr>
              <w:spacing w:after="0"/>
              <w:rPr>
                <w:sz w:val="17"/>
                <w:szCs w:val="17"/>
                <w:color w:val="auto"/>
              </w:rPr>
            </w:pPr>
          </w:p>
        </w:tc>
      </w:tr>
      <w:tr>
        <w:trPr>
          <w:trHeight w:val="204"/>
        </w:trPr>
        <w:tc>
          <w:tcPr>
            <w:tcW w:w="4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ind w:left="100"/>
              <w:spacing w:after="0"/>
              <w:rPr>
                <w:sz w:val="20"/>
                <w:szCs w:val="20"/>
                <w:color w:val="auto"/>
              </w:rPr>
            </w:pPr>
            <w:r>
              <w:rPr>
                <w:rFonts w:ascii="Arial" w:cs="Arial" w:eastAsia="Arial" w:hAnsi="Arial"/>
                <w:sz w:val="16"/>
                <w:szCs w:val="16"/>
                <w:color w:val="auto"/>
              </w:rPr>
              <w:t>Operating Leases</w:t>
            </w:r>
          </w:p>
        </w:tc>
        <w:tc>
          <w:tcPr>
            <w:tcW w:w="2420" w:type="dxa"/>
            <w:vAlign w:val="bottom"/>
          </w:tcPr>
          <w:p>
            <w:pPr>
              <w:spacing w:after="0"/>
              <w:rPr>
                <w:sz w:val="17"/>
                <w:szCs w:val="17"/>
                <w:color w:val="auto"/>
              </w:rPr>
            </w:pPr>
          </w:p>
        </w:tc>
        <w:tc>
          <w:tcPr>
            <w:tcW w:w="1820" w:type="dxa"/>
            <w:vAlign w:val="bottom"/>
          </w:tcPr>
          <w:p>
            <w:pPr>
              <w:jc w:val="right"/>
              <w:ind w:right="202"/>
              <w:spacing w:after="0"/>
              <w:rPr>
                <w:sz w:val="20"/>
                <w:szCs w:val="20"/>
                <w:color w:val="auto"/>
              </w:rPr>
            </w:pPr>
            <w:r>
              <w:rPr>
                <w:rFonts w:ascii="Arial" w:cs="Arial" w:eastAsia="Arial" w:hAnsi="Arial"/>
                <w:sz w:val="16"/>
                <w:szCs w:val="16"/>
                <w:color w:val="auto"/>
              </w:rPr>
              <w:t>17.28 years</w:t>
            </w:r>
          </w:p>
        </w:tc>
        <w:tc>
          <w:tcPr>
            <w:tcW w:w="36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18.28 years</w:t>
            </w:r>
          </w:p>
        </w:tc>
      </w:tr>
      <w:tr>
        <w:trPr>
          <w:trHeight w:val="205"/>
        </w:trPr>
        <w:tc>
          <w:tcPr>
            <w:tcW w:w="4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Finance Leases</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27.60 years</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28.35 years</w:t>
            </w:r>
          </w:p>
        </w:tc>
        <w:tc>
          <w:tcPr>
            <w:tcW w:w="60" w:type="dxa"/>
            <w:vAlign w:val="bottom"/>
          </w:tcPr>
          <w:p>
            <w:pPr>
              <w:spacing w:after="0"/>
              <w:rPr>
                <w:sz w:val="17"/>
                <w:szCs w:val="17"/>
                <w:color w:val="auto"/>
              </w:rPr>
            </w:pPr>
          </w:p>
        </w:tc>
      </w:tr>
      <w:tr>
        <w:trPr>
          <w:trHeight w:val="204"/>
        </w:trPr>
        <w:tc>
          <w:tcPr>
            <w:tcW w:w="4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4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340" w:type="dxa"/>
            <w:vAlign w:val="bottom"/>
          </w:tcPr>
          <w:p>
            <w:pPr>
              <w:ind w:left="100"/>
              <w:spacing w:after="0"/>
              <w:rPr>
                <w:sz w:val="20"/>
                <w:szCs w:val="20"/>
                <w:color w:val="auto"/>
              </w:rPr>
            </w:pPr>
            <w:r>
              <w:rPr>
                <w:rFonts w:ascii="Arial" w:cs="Arial" w:eastAsia="Arial" w:hAnsi="Arial"/>
                <w:sz w:val="16"/>
                <w:szCs w:val="16"/>
                <w:color w:val="auto"/>
              </w:rPr>
              <w:t>Operating Leases</w:t>
            </w:r>
          </w:p>
        </w:tc>
        <w:tc>
          <w:tcPr>
            <w:tcW w:w="2420" w:type="dxa"/>
            <w:vAlign w:val="bottom"/>
          </w:tcPr>
          <w:p>
            <w:pPr>
              <w:spacing w:after="0"/>
              <w:rPr>
                <w:sz w:val="17"/>
                <w:szCs w:val="17"/>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3.88 %</w:t>
            </w:r>
          </w:p>
        </w:tc>
        <w:tc>
          <w:tcPr>
            <w:tcW w:w="3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3.85 %</w:t>
            </w:r>
          </w:p>
        </w:tc>
      </w:tr>
      <w:tr>
        <w:trPr>
          <w:trHeight w:val="204"/>
        </w:trPr>
        <w:tc>
          <w:tcPr>
            <w:tcW w:w="4340" w:type="dxa"/>
            <w:vAlign w:val="bottom"/>
          </w:tcPr>
          <w:p>
            <w:pPr>
              <w:ind w:left="100"/>
              <w:spacing w:after="0"/>
              <w:rPr>
                <w:sz w:val="20"/>
                <w:szCs w:val="20"/>
                <w:color w:val="auto"/>
              </w:rPr>
            </w:pPr>
            <w:r>
              <w:rPr>
                <w:rFonts w:ascii="Arial" w:cs="Arial" w:eastAsia="Arial" w:hAnsi="Arial"/>
                <w:sz w:val="16"/>
                <w:szCs w:val="16"/>
                <w:color w:val="auto"/>
              </w:rPr>
              <w:t>Finance Leases</w:t>
            </w:r>
          </w:p>
        </w:tc>
        <w:tc>
          <w:tcPr>
            <w:tcW w:w="2420" w:type="dxa"/>
            <w:vAlign w:val="bottom"/>
          </w:tcPr>
          <w:p>
            <w:pPr>
              <w:spacing w:after="0"/>
              <w:rPr>
                <w:sz w:val="17"/>
                <w:szCs w:val="17"/>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9.40 %</w:t>
            </w:r>
          </w:p>
        </w:tc>
        <w:tc>
          <w:tcPr>
            <w:tcW w:w="3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9.41 %</w:t>
            </w:r>
          </w:p>
        </w:tc>
      </w:tr>
      <w:tr>
        <w:trPr>
          <w:trHeight w:val="384"/>
        </w:trPr>
        <w:tc>
          <w:tcPr>
            <w:tcW w:w="4340" w:type="dxa"/>
            <w:vAlign w:val="bottom"/>
          </w:tcPr>
          <w:p>
            <w:pPr>
              <w:spacing w:after="0"/>
              <w:rPr>
                <w:sz w:val="24"/>
                <w:szCs w:val="24"/>
                <w:color w:val="auto"/>
              </w:rPr>
            </w:pPr>
          </w:p>
        </w:tc>
        <w:tc>
          <w:tcPr>
            <w:tcW w:w="2420" w:type="dxa"/>
            <w:vAlign w:val="bottom"/>
          </w:tcPr>
          <w:p>
            <w:pPr>
              <w:jc w:val="right"/>
              <w:ind w:right="122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45</w:t>
            </w:r>
            <w:r>
              <w:rPr>
                <w:rFonts w:ascii="Arial" w:cs="Arial" w:eastAsia="Arial" w:hAnsi="Arial"/>
                <w:sz w:val="16"/>
                <w:szCs w:val="16"/>
                <w:color w:val="auto"/>
              </w:rPr>
              <w:t xml:space="preserve"> -</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6"/>
        </w:trPr>
        <w:tc>
          <w:tcPr>
            <w:tcW w:w="4340" w:type="dxa"/>
            <w:vAlign w:val="bottom"/>
            <w:tcBorders>
              <w:bottom w:val="single" w:sz="8" w:color="EEEEEE"/>
            </w:tcBorders>
          </w:tcPr>
          <w:p>
            <w:pPr>
              <w:spacing w:after="0"/>
              <w:rPr>
                <w:sz w:val="7"/>
                <w:szCs w:val="7"/>
                <w:color w:val="auto"/>
              </w:rPr>
            </w:pPr>
          </w:p>
        </w:tc>
        <w:tc>
          <w:tcPr>
            <w:tcW w:w="2420" w:type="dxa"/>
            <w:vAlign w:val="bottom"/>
            <w:tcBorders>
              <w:bottom w:val="single" w:sz="8" w:color="EEEEEE"/>
            </w:tcBorders>
          </w:tcPr>
          <w:p>
            <w:pPr>
              <w:spacing w:after="0"/>
              <w:rPr>
                <w:sz w:val="7"/>
                <w:szCs w:val="7"/>
                <w:color w:val="auto"/>
              </w:rPr>
            </w:pPr>
          </w:p>
        </w:tc>
        <w:tc>
          <w:tcPr>
            <w:tcW w:w="1820" w:type="dxa"/>
            <w:vAlign w:val="bottom"/>
            <w:tcBorders>
              <w:bottom w:val="single" w:sz="8" w:color="EEEEEE"/>
            </w:tcBorders>
          </w:tcPr>
          <w:p>
            <w:pPr>
              <w:spacing w:after="0"/>
              <w:rPr>
                <w:sz w:val="7"/>
                <w:szCs w:val="7"/>
                <w:color w:val="auto"/>
              </w:rPr>
            </w:pPr>
          </w:p>
        </w:tc>
        <w:tc>
          <w:tcPr>
            <w:tcW w:w="360" w:type="dxa"/>
            <w:vAlign w:val="bottom"/>
            <w:tcBorders>
              <w:bottom w:val="single" w:sz="8" w:color="EEEEEE"/>
            </w:tcBorders>
          </w:tcPr>
          <w:p>
            <w:pPr>
              <w:spacing w:after="0"/>
              <w:rPr>
                <w:sz w:val="7"/>
                <w:szCs w:val="7"/>
                <w:color w:val="auto"/>
              </w:rPr>
            </w:pPr>
          </w:p>
        </w:tc>
        <w:tc>
          <w:tcPr>
            <w:tcW w:w="1620" w:type="dxa"/>
            <w:vAlign w:val="bottom"/>
            <w:tcBorders>
              <w:bottom w:val="single" w:sz="8" w:color="EEEEEE"/>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-433705</wp:posOffset>
            </wp:positionV>
            <wp:extent cx="6707505"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887" w:right="62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20"/>
                <w:szCs w:val="20"/>
                <w:color w:val="auto"/>
              </w:rPr>
            </w:pPr>
            <w:r>
              <w:rPr>
                <w:rFonts w:ascii="Arial" w:cs="Arial" w:eastAsia="Arial" w:hAnsi="Arial"/>
                <w:sz w:val="16"/>
                <w:szCs w:val="16"/>
                <w:color w:val="auto"/>
              </w:rPr>
              <w:t>Maturities of lease liabilities are as follows: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96"/>
        </w:trPr>
        <w:tc>
          <w:tcPr>
            <w:tcW w:w="4560" w:type="dxa"/>
            <w:vAlign w:val="bottom"/>
          </w:tcPr>
          <w:p>
            <w:pPr>
              <w:ind w:left="20"/>
              <w:spacing w:after="0"/>
              <w:rPr>
                <w:sz w:val="20"/>
                <w:szCs w:val="20"/>
                <w:color w:val="auto"/>
              </w:rPr>
            </w:pPr>
            <w:r>
              <w:rPr>
                <w:rFonts w:ascii="Arial" w:cs="Arial" w:eastAsia="Arial" w:hAnsi="Arial"/>
                <w:sz w:val="16"/>
                <w:szCs w:val="16"/>
                <w:color w:val="auto"/>
              </w:rPr>
              <w:t>Twelve Months Ending September 30,</w:t>
            </w:r>
          </w:p>
        </w:tc>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4560" w:type="dxa"/>
            <w:vAlign w:val="bottom"/>
          </w:tcPr>
          <w:p>
            <w:pPr>
              <w:ind w:left="20"/>
              <w:spacing w:after="0"/>
              <w:rPr>
                <w:sz w:val="20"/>
                <w:szCs w:val="20"/>
                <w:color w:val="auto"/>
              </w:rPr>
            </w:pPr>
            <w:r>
              <w:rPr>
                <w:rFonts w:ascii="Arial" w:cs="Arial" w:eastAsia="Arial" w:hAnsi="Arial"/>
                <w:sz w:val="16"/>
                <w:szCs w:val="16"/>
                <w:color w:val="auto"/>
              </w:rPr>
              <w:t>2024</w:t>
            </w:r>
          </w:p>
        </w:tc>
        <w:tc>
          <w:tcPr>
            <w:tcW w:w="23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33</w:t>
            </w:r>
          </w:p>
        </w:tc>
      </w:tr>
      <w:tr>
        <w:trPr>
          <w:trHeight w:val="205"/>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164</w:t>
            </w:r>
          </w:p>
        </w:tc>
      </w:tr>
      <w:tr>
        <w:trPr>
          <w:trHeight w:val="203"/>
        </w:trPr>
        <w:tc>
          <w:tcPr>
            <w:tcW w:w="4560" w:type="dxa"/>
            <w:vAlign w:val="bottom"/>
          </w:tcPr>
          <w:p>
            <w:pPr>
              <w:ind w:left="20"/>
              <w:spacing w:after="0"/>
              <w:rPr>
                <w:sz w:val="20"/>
                <w:szCs w:val="20"/>
                <w:color w:val="auto"/>
              </w:rPr>
            </w:pPr>
            <w:r>
              <w:rPr>
                <w:rFonts w:ascii="Arial" w:cs="Arial" w:eastAsia="Arial" w:hAnsi="Arial"/>
                <w:sz w:val="16"/>
                <w:szCs w:val="16"/>
                <w:color w:val="auto"/>
              </w:rPr>
              <w:t>2026</w:t>
            </w:r>
          </w:p>
        </w:tc>
        <w:tc>
          <w:tcPr>
            <w:tcW w:w="2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166</w:t>
            </w:r>
          </w:p>
        </w:tc>
      </w:tr>
      <w:tr>
        <w:trPr>
          <w:trHeight w:val="205"/>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168</w:t>
            </w:r>
          </w:p>
        </w:tc>
      </w:tr>
      <w:tr>
        <w:trPr>
          <w:trHeight w:val="203"/>
        </w:trPr>
        <w:tc>
          <w:tcPr>
            <w:tcW w:w="4560" w:type="dxa"/>
            <w:vAlign w:val="bottom"/>
          </w:tcPr>
          <w:p>
            <w:pPr>
              <w:ind w:left="20"/>
              <w:spacing w:after="0"/>
              <w:rPr>
                <w:sz w:val="20"/>
                <w:szCs w:val="20"/>
                <w:color w:val="auto"/>
              </w:rPr>
            </w:pPr>
            <w:r>
              <w:rPr>
                <w:rFonts w:ascii="Arial" w:cs="Arial" w:eastAsia="Arial" w:hAnsi="Arial"/>
                <w:sz w:val="16"/>
                <w:szCs w:val="16"/>
                <w:color w:val="auto"/>
              </w:rPr>
              <w:t>2028</w:t>
            </w:r>
          </w:p>
        </w:tc>
        <w:tc>
          <w:tcPr>
            <w:tcW w:w="2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178</w:t>
            </w:r>
          </w:p>
        </w:tc>
      </w:tr>
      <w:tr>
        <w:trPr>
          <w:trHeight w:val="205"/>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Thereafter</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5,421</w:t>
            </w:r>
          </w:p>
        </w:tc>
      </w:tr>
      <w:tr>
        <w:trPr>
          <w:trHeight w:val="20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 minimum lease payments</w:t>
            </w:r>
          </w:p>
        </w:tc>
        <w:tc>
          <w:tcPr>
            <w:tcW w:w="23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6,130</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certain properties that it leases to unaffiliated third parties at market rates. Lease rental income was $53,000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$70,000 for the three months ended September 30, 2023 and 2022, respectively. Lease rental income was $149,000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$172,000 for the nine months ended September 30, 2023 and 2022, respectively. The lease agreements in which the Company is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lessor are a mix of operating and finance leases.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September 30, 2023 or December 31, 2022.</w:t>
      </w:r>
    </w:p>
    <w:p>
      <w:pPr>
        <w:spacing w:after="0" w:line="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following represents the activity associated with loans to related parties during the nine months ended September 30, 2023 and the year ended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September 30,</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December 31,</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4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the beginning of the year</w:t>
            </w:r>
          </w:p>
        </w:tc>
        <w:tc>
          <w:tcPr>
            <w:tcW w:w="2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32,531</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22,427</w:t>
            </w:r>
          </w:p>
        </w:tc>
      </w:tr>
      <w:tr>
        <w:trPr>
          <w:trHeight w:val="203"/>
        </w:trPr>
        <w:tc>
          <w:tcPr>
            <w:tcW w:w="5300" w:type="dxa"/>
            <w:vAlign w:val="bottom"/>
          </w:tcPr>
          <w:p>
            <w:pPr>
              <w:ind w:left="100"/>
              <w:spacing w:after="0"/>
              <w:rPr>
                <w:sz w:val="20"/>
                <w:szCs w:val="20"/>
                <w:color w:val="auto"/>
              </w:rPr>
            </w:pPr>
            <w:r>
              <w:rPr>
                <w:rFonts w:ascii="Arial" w:cs="Arial" w:eastAsia="Arial" w:hAnsi="Arial"/>
                <w:sz w:val="16"/>
                <w:szCs w:val="16"/>
                <w:color w:val="auto"/>
              </w:rPr>
              <w:t>Originations and related party additions</w:t>
            </w:r>
          </w:p>
        </w:tc>
        <w:tc>
          <w:tcPr>
            <w:tcW w:w="224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3,010</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15,278</w:t>
            </w:r>
          </w:p>
        </w:tc>
      </w:tr>
      <w:tr>
        <w:trPr>
          <w:trHeight w:val="205"/>
        </w:trPr>
        <w:tc>
          <w:tcPr>
            <w:tcW w:w="5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Principal payments and related party removals</w:t>
            </w:r>
          </w:p>
        </w:tc>
        <w:tc>
          <w:tcPr>
            <w:tcW w:w="2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(2,558)</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w:t>
            </w:r>
          </w:p>
        </w:tc>
      </w:tr>
      <w:tr>
        <w:trPr>
          <w:trHeight w:val="20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the end of the period</w:t>
            </w:r>
          </w:p>
        </w:tc>
        <w:tc>
          <w:tcPr>
            <w:tcW w:w="2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32,983</w:t>
            </w:r>
          </w:p>
        </w:tc>
        <w:tc>
          <w:tcPr>
            <w:tcW w:w="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32,531</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220"/>
        <w:spacing w:after="0" w:line="451" w:lineRule="auto"/>
        <w:rPr>
          <w:sz w:val="20"/>
          <w:szCs w:val="20"/>
          <w:color w:val="auto"/>
        </w:rPr>
      </w:pPr>
      <w:r>
        <w:rPr>
          <w:rFonts w:ascii="Arial" w:cs="Arial" w:eastAsia="Arial" w:hAnsi="Arial"/>
          <w:sz w:val="18"/>
          <w:szCs w:val="18"/>
          <w:b w:val="1"/>
          <w:bCs w:val="1"/>
          <w:color w:val="auto"/>
        </w:rPr>
        <w:t>Item 2 - Management's Discussion and Analysis of Financial Condition and Results of Operations (Unaudited) General</w:t>
      </w:r>
    </w:p>
    <w:p>
      <w:pPr>
        <w:ind w:right="140"/>
        <w:spacing w:after="0" w:line="253" w:lineRule="auto"/>
        <w:rPr>
          <w:sz w:val="20"/>
          <w:szCs w:val="20"/>
          <w:color w:val="auto"/>
        </w:rPr>
      </w:pPr>
      <w:r>
        <w:rPr>
          <w:rFonts w:ascii="Arial" w:cs="Arial" w:eastAsia="Arial" w:hAnsi="Arial"/>
          <w:sz w:val="18"/>
          <w:szCs w:val="18"/>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owns, through its subsidiary PRMC, 51% of the membership interest in FitzGibbons Agency, LLC (“FitzGibbons” or “Agency”), the Company is required to consolidate 100% of FitzGibbons within the consolidated financial statements. The 49% of which the Company does not own, is accounted for separately as a noncontrolling interest within the consolidated financial statements. At September 30, 2023, the Company and subsidiaries had total consolidated assets of $1.40 billion, total consolidated liabilities of $1.29 billion and shareholders' equity of $113.8 million, plus noncontrolling interest of $672,000, which represents the 49% of FitzGibbons not owned by the Company.</w:t>
      </w:r>
    </w:p>
    <w:p>
      <w:pPr>
        <w:spacing w:after="0" w:line="147"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The following discussion reviews the Company's financial condition at September 30, 2023 and the results of operations for the three and nine month periods ended September 30, 2023 and 2022. Operating results for the three and nine months ended September 30, 2023 are not necessarily indicative of the results that may be expected for the year ending December 31, 2023 or any other period.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86" w:right="640" w:bottom="1440" w:gutter="0" w:footer="0" w:header="0"/>
        </w:sectPr>
      </w:pPr>
    </w:p>
    <w:bookmarkStart w:id="46" w:name="page47"/>
    <w:bookmarkEnd w:id="46"/>
    <w:p>
      <w:pPr>
        <w:ind w:right="80"/>
        <w:spacing w:after="0" w:line="273" w:lineRule="auto"/>
        <w:rPr>
          <w:sz w:val="20"/>
          <w:szCs w:val="20"/>
          <w:color w:val="auto"/>
        </w:rPr>
      </w:pPr>
      <w:r>
        <w:rPr>
          <w:rFonts w:ascii="Arial" w:cs="Arial" w:eastAsia="Arial" w:hAnsi="Arial"/>
          <w:sz w:val="17"/>
          <w:szCs w:val="17"/>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2022 Annual Report on Form 10 -K filed with the Securities and Exchange Commission on March 31, 2023 (“the consolidated annual financial statements”) as of December 31, 2022 and 2021 and for the two years then ended. Therefore, only material changes in financial condition and results of operations are discussed in the remainder of Item 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statements contained herein are “forward looking statements” within the meaning of Section 27A of the Securities Act of 1933 and Section 21E of the Securities Exchange Act of 1934. These forward-looking statements are generally identified by use of the words "believe,"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and competitive uncertainties and contingencies, many of which are beyond the Company’s and the Bank’s control. In addition, these forward-looking statements are subject to assumptions with respect to future business strategies and decisions that are subject to change. Actual results may differ materially from those set forth in the forward-looking statements as a result of numerous factors. Factors that could cause such differences to exist include, but are not limited to: risks related to the real estate and economic environment, particularly in the market areas in which the Company and the Bank operate; fiscal and monetary policies of the U.S. Government; inflation; changes in government regulations affecting financial institutions, including regulatory compliance costs and capital requirements; fluctuations in the adequacy of the allowance for credit losses; decreases in deposit levels necessitating increased borrowing to fund loans and investments; the effects of the COVID-19 pandemic; operational risks including, but not limited to, cybersecurity, fraud and natural disasters; the risk that the Company may not be successful in the implementation of its business strategy; changes in prevailing interest rates; credit risk management; asset-liability management; recent events involving the failure of financial institutions and the impact on the Company's business and the market price of its common stock; any future increase in FDIC insurance assessments or special assessments; and other risks described in the Company’s filings with the Securities and Exchange Commission, which are available at the SEC’s website, www.sec.gov.</w:t>
      </w:r>
    </w:p>
    <w:p>
      <w:pPr>
        <w:spacing w:after="0" w:line="19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and the Bank caution prospective investors not to place undue reliance on any such forward-looking statements, which speak only as of the date made. The Company disclaims any obligation to revise or update any forward-looking statements contained in this quarterly report on Form 10-Q to reflect future events or developments.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53"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59" w:right="660" w:bottom="1440" w:gutter="0" w:footer="0" w:header="0"/>
        </w:sectPr>
      </w:pPr>
    </w:p>
    <w:bookmarkStart w:id="47" w:name="page48"/>
    <w:bookmarkEnd w:id="47"/>
    <w:p>
      <w:pPr>
        <w:ind w:right="100"/>
        <w:spacing w:after="0" w:line="255" w:lineRule="auto"/>
        <w:rPr>
          <w:sz w:val="20"/>
          <w:szCs w:val="20"/>
          <w:color w:val="auto"/>
        </w:rPr>
      </w:pPr>
      <w:r>
        <w:rPr>
          <w:rFonts w:ascii="Arial" w:cs="Arial" w:eastAsia="Arial" w:hAnsi="Arial"/>
          <w:sz w:val="18"/>
          <w:szCs w:val="18"/>
          <w:color w:val="auto"/>
        </w:rPr>
        <w:t>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1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2016, the FASB issued Accounting Standards Update (ASU) 2016-13, Financial Instruments - Credit Losses (Topic 326): Measurement of Credit Losses on Financial Instruments. The standard’s stated main goal is to improve financial reporting by requiring earlier recognition of credit losses on financing receivables (such as loans) and other financial assets in scope. The ASU requires entities to measure credit losses on most financial assets carried at amortized costs and certain other instruments using an expected credit loss model. Banks in the United States above $5.0 billion in assets generally adopted this new way of measuring loan losses called the “Current Expected Credit Loss” (“CECL”) model in 2020, with smaller public and private banks, such as Pathfinder, required to convert to this method in fiscal years beginning after December 15, 2022. The Company computed its Allowance for Loan Losses at December 31, 2022 using a methodology called the "Incurred Loss Model" ("ILM"), which remained applicable GAAP at that date. ILM (previous GAAP) assumes that all loans will be repaid until evidence to the contrary (known as a loss or trigger event) is identified. Only at that point is the impaired loan (or portfolio of loans) written down to a lower value. CECL requires that an estimate of loss for the entire life cycle of each asset with credit loss exposure be recorded at the funding date of that asset as a component of the reported Allowance for Credit Losses ("ACL").</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ACL represents management's estimate of probable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impaired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$ 300,000 identified as being impaired which are on nonaccrual and have been risk rated under the Company’s risk rating system as substandard, doubtful, or loss. In addition, an accruing substandard loan could be identified as being impaired.</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Loan impairment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probable incurred loss for each risk-rating category. The measurement of impaired loans is generally based upon the present value of future cash flows discounted at the historical effective interest rate, except that all collateral-dependent loans are measured for impairment based on the fair value of the collateral, less costs to sell. At September 30, 2023, the Bank’s position in impaired loans consisted of 73 loans totaling $22.8 million. Of these loans, 17 loans, totaling $1.7 million, were valued using the present value of future cash flows method; and 56 loans, totaling $21.1 million, were valued based on a collateral analysis. For all other loans, the Company uses the general allocation methodology that establishes an allowance to estimate the probable incurred loss for each risk-rating category.</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estimating the ACL on loans, management considers the sensitivity of the model and significant judgments and assumptions that could result in an amount that is materially different from management’s estimate. At September 30, 2023, the Bank held $521.8 million in commercial real estate and commercial &amp; industrial loans (collectively, commercial loans) representing 58.2% of the Bank’s entire loan portfolio. The Bank allocated $10.0 million to the ACL for these loans, including $2.9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$712,000,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September 30, 2023 in the final recorded estimation of the ACL on loans recognized on the Statements of Financial Condition.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59" w:right="700"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w:t>
      </w:r>
    </w:p>
    <w:p>
      <w:pPr>
        <w:ind w:right="220"/>
        <w:spacing w:after="0" w:line="252" w:lineRule="auto"/>
        <w:rPr>
          <w:sz w:val="20"/>
          <w:szCs w:val="20"/>
          <w:color w:val="auto"/>
        </w:rPr>
      </w:pPr>
      <w:r>
        <w:rPr>
          <w:rFonts w:ascii="Arial" w:cs="Arial" w:eastAsia="Arial" w:hAnsi="Arial"/>
          <w:sz w:val="18"/>
          <w:szCs w:val="18"/>
          <w:color w:val="auto"/>
        </w:rPr>
        <w:t>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the fair value of a security categorized as available -for-sale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impairment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4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87" w:right="720" w:bottom="1440" w:gutter="0" w:footer="0" w:header="0"/>
        </w:sectPr>
      </w:pPr>
    </w:p>
    <w:bookmarkStart w:id="49" w:name="page50"/>
    <w:bookmarkEnd w:id="49"/>
    <w:p>
      <w:pPr>
        <w:ind w:right="220"/>
        <w:spacing w:after="0" w:line="275" w:lineRule="auto"/>
        <w:rPr>
          <w:sz w:val="20"/>
          <w:szCs w:val="20"/>
          <w:color w:val="auto"/>
        </w:rPr>
      </w:pPr>
      <w:r>
        <w:rPr>
          <w:rFonts w:ascii="Arial" w:cs="Arial" w:eastAsia="Arial" w:hAnsi="Arial"/>
          <w:sz w:val="18"/>
          <w:szCs w:val="18"/>
          <w:color w:val="auto"/>
        </w:rPr>
        <w:t>and the underlying collateral value of impaired loans are typically determined based on evaluations by third parties, less estimated costs to sell. When necessary, appraisals are updated to reflect changes in market conditions.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performs an annual evaluation of our goodwill for possible impairment at each of our reporting units. Based on the results of the December 31, 2022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the pandemic or recent banking crisis, or the future economic consequences thereof, require a significant and sustained change in the operations of the Bank, re-evaluations of the Bank’s goodwill valuation will be conducted on a more frequent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September 30, 2023, the Company announced that its Board of Directors declared a cash dividend of $0.09 per share on the Company's voting common and non-voting common stock, and a cash dividend of $0.09 per notional share for the issued warrant relating to the fiscal quarter ended September 30, 2023. The dividends were payable to all shareholders of record on October 20, 2023 and were paid on November 10,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Results of Operations</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following represents the significant highlights of the Company’s operating results between the third quarter of 2023 and the third quarter of 2022.</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income attributable to Pathfinder Bancorp, Inc. decreased $1.0 million or 31.6% to $2.2 million.</w:t>
      </w:r>
    </w:p>
    <w:p>
      <w:pPr>
        <w:spacing w:after="0" w:line="21" w:lineRule="exact"/>
        <w:rPr>
          <w:sz w:val="20"/>
          <w:szCs w:val="20"/>
          <w:color w:val="auto"/>
        </w:rPr>
      </w:pPr>
    </w:p>
    <w:p>
      <w:pPr>
        <w:ind w:left="480" w:right="220"/>
        <w:spacing w:after="0" w:line="250" w:lineRule="auto"/>
        <w:rPr>
          <w:sz w:val="20"/>
          <w:szCs w:val="20"/>
          <w:color w:val="auto"/>
        </w:rPr>
      </w:pPr>
      <w:r>
        <w:rPr>
          <w:rFonts w:ascii="Arial" w:cs="Arial" w:eastAsia="Arial" w:hAnsi="Arial"/>
          <w:sz w:val="18"/>
          <w:szCs w:val="18"/>
          <w:color w:val="auto"/>
        </w:rPr>
        <w:t>•Basic and diluted earnings per voting common share were both $0.35 per share and decreased $0.17 per share from $0.52 per share.</w:t>
      </w:r>
    </w:p>
    <w:p>
      <w:pPr>
        <w:spacing w:after="0" w:line="1" w:lineRule="exact"/>
        <w:rPr>
          <w:sz w:val="20"/>
          <w:szCs w:val="20"/>
          <w:color w:val="auto"/>
        </w:rPr>
      </w:pPr>
    </w:p>
    <w:p>
      <w:pPr>
        <w:ind w:left="480" w:right="300"/>
        <w:spacing w:after="0" w:line="250" w:lineRule="auto"/>
        <w:rPr>
          <w:sz w:val="20"/>
          <w:szCs w:val="20"/>
          <w:color w:val="auto"/>
        </w:rPr>
      </w:pPr>
      <w:r>
        <w:rPr>
          <w:rFonts w:ascii="Arial" w:cs="Arial" w:eastAsia="Arial" w:hAnsi="Arial"/>
          <w:sz w:val="18"/>
          <w:szCs w:val="18"/>
          <w:color w:val="auto"/>
        </w:rPr>
        <w:t>•Return on average assets decreased 30 basis points to 0.63% due to a decrease in income and increase in average asset balances.</w:t>
      </w:r>
    </w:p>
    <w:p>
      <w:pPr>
        <w:spacing w:after="0" w:line="1" w:lineRule="exact"/>
        <w:rPr>
          <w:sz w:val="20"/>
          <w:szCs w:val="20"/>
          <w:color w:val="auto"/>
        </w:rPr>
      </w:pPr>
    </w:p>
    <w:p>
      <w:pPr>
        <w:ind w:left="480"/>
        <w:spacing w:after="0" w:line="250" w:lineRule="auto"/>
        <w:rPr>
          <w:sz w:val="20"/>
          <w:szCs w:val="20"/>
          <w:color w:val="auto"/>
        </w:rPr>
      </w:pPr>
      <w:r>
        <w:rPr>
          <w:rFonts w:ascii="Arial" w:cs="Arial" w:eastAsia="Arial" w:hAnsi="Arial"/>
          <w:sz w:val="18"/>
          <w:szCs w:val="18"/>
          <w:color w:val="auto"/>
        </w:rPr>
        <w:t>•Net interest income, after provision for credit losses, decreased $843,000, or 8.4% to $9.2 million. Excluding the provision, net interest income decreased $ 720,000, or 6.7%, to $10.1 million. The decrease in net interest income, before provision for credit losses, was primarily due to an increase in the average balance of interest-bearing liabilities of $28.9 million, combined with a 183 basis points increase in the average rates paid on interest-bearing liabilities. These increases in interest expense were partially offset by the increase in the average balance of interest-earning assets of $14.4 million, coupled with an increase in the average yield earned on those assets of 126 basis points, from 4.13% for the three months ended September 30, 2022 to 5.39% for the three months ended September 30, 2023.</w:t>
      </w:r>
    </w:p>
    <w:p>
      <w:pPr>
        <w:spacing w:after="0" w:line="3" w:lineRule="exact"/>
        <w:rPr>
          <w:sz w:val="20"/>
          <w:szCs w:val="20"/>
          <w:color w:val="auto"/>
        </w:rPr>
      </w:pPr>
    </w:p>
    <w:p>
      <w:pPr>
        <w:ind w:left="480" w:right="80"/>
        <w:spacing w:after="0" w:line="250" w:lineRule="auto"/>
        <w:rPr>
          <w:sz w:val="20"/>
          <w:szCs w:val="20"/>
          <w:color w:val="auto"/>
        </w:rPr>
      </w:pPr>
      <w:r>
        <w:rPr>
          <w:rFonts w:ascii="Arial" w:cs="Arial" w:eastAsia="Arial" w:hAnsi="Arial"/>
          <w:sz w:val="18"/>
          <w:szCs w:val="18"/>
          <w:color w:val="auto"/>
        </w:rPr>
        <w:t>•The increase in the provision for credit losses of $123,000 was primarily due to management's decision to downgrade certain commercial real estate and commercial loans within two large credit relationships.</w:t>
      </w:r>
    </w:p>
    <w:p>
      <w:pPr>
        <w:spacing w:after="0" w:line="1" w:lineRule="exact"/>
        <w:rPr>
          <w:sz w:val="20"/>
          <w:szCs w:val="20"/>
          <w:color w:val="auto"/>
        </w:rPr>
      </w:pPr>
    </w:p>
    <w:p>
      <w:pPr>
        <w:jc w:val="both"/>
        <w:ind w:left="480" w:right="40"/>
        <w:spacing w:after="0" w:line="250" w:lineRule="auto"/>
        <w:rPr>
          <w:sz w:val="20"/>
          <w:szCs w:val="20"/>
          <w:color w:val="auto"/>
        </w:rPr>
      </w:pPr>
      <w:r>
        <w:rPr>
          <w:rFonts w:ascii="Arial" w:cs="Arial" w:eastAsia="Arial" w:hAnsi="Arial"/>
          <w:sz w:val="18"/>
          <w:szCs w:val="18"/>
          <w:color w:val="auto"/>
        </w:rPr>
        <w:t>•The net interest margin for the third quarter of 2023 was 3.07%, a 25 basis points decrease compared to 3.32% for the same quarter in 2022. This reflects a 183 basis points increase in the average cost paid on interest-bearing liabilities, offset by a 126 basis points increase in the average yield earned on interest-earning assets.</w:t>
      </w:r>
    </w:p>
    <w:p>
      <w:pPr>
        <w:spacing w:after="0" w:line="1" w:lineRule="exact"/>
        <w:rPr>
          <w:sz w:val="20"/>
          <w:szCs w:val="20"/>
          <w:color w:val="auto"/>
        </w:rPr>
      </w:pPr>
    </w:p>
    <w:p>
      <w:pPr>
        <w:ind w:left="480" w:right="140"/>
        <w:spacing w:after="0" w:line="256" w:lineRule="auto"/>
        <w:rPr>
          <w:sz w:val="20"/>
          <w:szCs w:val="20"/>
          <w:color w:val="auto"/>
        </w:rPr>
      </w:pPr>
      <w:r>
        <w:rPr>
          <w:rFonts w:ascii="Arial" w:cs="Arial" w:eastAsia="Arial" w:hAnsi="Arial"/>
          <w:sz w:val="18"/>
          <w:szCs w:val="18"/>
          <w:color w:val="auto"/>
        </w:rPr>
        <w:t>•The effective income tax rate increased 1.2% to 20.7% for the three months ended September 30, 2023 as compared to 19.5% for the same three month period in 2022. The increase in the tax rate in the third quarter of 2023, as compared to the same quarter in 2022, was primarily related to fluctuations in permanent tax differences.</w:t>
      </w:r>
    </w:p>
    <w:p>
      <w:pPr>
        <w:spacing w:after="0" w:line="14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following represents the significant highlights of the Company’s operating results between the first nine months of 2023 and the first nine months of 2022.</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income decreased $2.6 million, or 28.1%, to $6.8 million.</w:t>
      </w:r>
    </w:p>
    <w:p>
      <w:pPr>
        <w:spacing w:after="0" w:line="21" w:lineRule="exact"/>
        <w:rPr>
          <w:sz w:val="20"/>
          <w:szCs w:val="20"/>
          <w:color w:val="auto"/>
        </w:rPr>
      </w:pPr>
    </w:p>
    <w:p>
      <w:pPr>
        <w:ind w:left="480" w:right="220"/>
        <w:spacing w:after="0" w:line="250" w:lineRule="auto"/>
        <w:rPr>
          <w:sz w:val="20"/>
          <w:szCs w:val="20"/>
          <w:color w:val="auto"/>
        </w:rPr>
      </w:pPr>
      <w:r>
        <w:rPr>
          <w:rFonts w:ascii="Arial" w:cs="Arial" w:eastAsia="Arial" w:hAnsi="Arial"/>
          <w:sz w:val="18"/>
          <w:szCs w:val="18"/>
          <w:color w:val="auto"/>
        </w:rPr>
        <w:t>•Basic and diluted earnings per voting common share were both $1.10 per share and decreased $0.45 per share from $1.55 per share</w:t>
      </w:r>
    </w:p>
    <w:p>
      <w:pPr>
        <w:spacing w:after="0" w:line="1" w:lineRule="exact"/>
        <w:rPr>
          <w:sz w:val="20"/>
          <w:szCs w:val="20"/>
          <w:color w:val="auto"/>
        </w:rPr>
      </w:pPr>
    </w:p>
    <w:p>
      <w:pPr>
        <w:ind w:left="480" w:right="300"/>
        <w:spacing w:after="0" w:line="250" w:lineRule="auto"/>
        <w:rPr>
          <w:sz w:val="20"/>
          <w:szCs w:val="20"/>
          <w:color w:val="auto"/>
        </w:rPr>
      </w:pPr>
      <w:r>
        <w:rPr>
          <w:rFonts w:ascii="Arial" w:cs="Arial" w:eastAsia="Arial" w:hAnsi="Arial"/>
          <w:sz w:val="18"/>
          <w:szCs w:val="18"/>
          <w:color w:val="auto"/>
        </w:rPr>
        <w:t>•Return on average assets decreased 29 basis points to 0.65% due to a decrease in income and increase in average asset balances.</w:t>
      </w:r>
    </w:p>
    <w:p>
      <w:pPr>
        <w:spacing w:after="0" w:line="1" w:lineRule="exact"/>
        <w:rPr>
          <w:sz w:val="20"/>
          <w:szCs w:val="20"/>
          <w:color w:val="auto"/>
        </w:rPr>
      </w:pPr>
    </w:p>
    <w:p>
      <w:pPr>
        <w:ind w:left="480" w:right="520"/>
        <w:spacing w:after="0" w:line="249" w:lineRule="auto"/>
        <w:rPr>
          <w:sz w:val="20"/>
          <w:szCs w:val="20"/>
          <w:color w:val="auto"/>
        </w:rPr>
      </w:pPr>
      <w:r>
        <w:rPr>
          <w:rFonts w:ascii="Arial" w:cs="Arial" w:eastAsia="Arial" w:hAnsi="Arial"/>
          <w:sz w:val="18"/>
          <w:szCs w:val="18"/>
          <w:color w:val="auto"/>
        </w:rPr>
        <w:t>•Net interest income, after provision for credit losses, decreased by $2.3 million, or 7.7%, to $27.1 million. Excluding the provision, net interest income decreased by $464,000, or 1.5%, to $29.8 million. The decrease in</w:t>
      </w: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59" w:right="700" w:bottom="1440" w:gutter="0" w:footer="0" w:header="0"/>
        </w:sectPr>
      </w:pPr>
    </w:p>
    <w:bookmarkStart w:id="50" w:name="page51"/>
    <w:bookmarkEnd w:id="50"/>
    <w:p>
      <w:pPr>
        <w:ind w:left="480" w:right="480"/>
        <w:spacing w:after="0" w:line="257" w:lineRule="auto"/>
        <w:rPr>
          <w:sz w:val="20"/>
          <w:szCs w:val="20"/>
          <w:color w:val="auto"/>
        </w:rPr>
      </w:pPr>
      <w:r>
        <w:rPr>
          <w:rFonts w:ascii="Arial" w:cs="Arial" w:eastAsia="Arial" w:hAnsi="Arial"/>
          <w:sz w:val="18"/>
          <w:szCs w:val="18"/>
          <w:color w:val="auto"/>
        </w:rPr>
        <w:t>net interest income, before provision for credit losses, was primarily due to the increase in total interest expense, partially offset by an increase in interest income.</w:t>
      </w:r>
    </w:p>
    <w:p>
      <w:pPr>
        <w:spacing w:after="0" w:line="1"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•Net interest margin decreased by 16 basis points to 3.02%, primarily as the result of a 165 basis points increase in the average cost of interest-bearing liabilities, offset by a 121 basis points increase in the average yield on interest-earning assets. •The effective income tax rate increased 1.3% to 20.6% for the nine months ended September 30, 2023 as compared to 19.3% for the same nine month period in 2022. The increase in the tax rate for the nine months ended September 30, 2023, as compared to the same period in 2022, was primarily related to fluctuations in permanent tax differences and the reversal of a deferred tax asset valuation allowance, during the nine months ended September 30, 2022.</w:t>
      </w:r>
    </w:p>
    <w:p>
      <w:pPr>
        <w:spacing w:after="0" w:line="148" w:lineRule="exact"/>
        <w:rPr>
          <w:sz w:val="20"/>
          <w:szCs w:val="20"/>
          <w:color w:val="auto"/>
        </w:rPr>
      </w:pPr>
    </w:p>
    <w:p>
      <w:pPr>
        <w:ind w:right="260"/>
        <w:spacing w:after="0" w:line="306" w:lineRule="auto"/>
        <w:rPr>
          <w:sz w:val="20"/>
          <w:szCs w:val="20"/>
          <w:color w:val="auto"/>
        </w:rPr>
      </w:pPr>
      <w:r>
        <w:rPr>
          <w:rFonts w:ascii="Arial" w:cs="Arial" w:eastAsia="Arial" w:hAnsi="Arial"/>
          <w:sz w:val="17"/>
          <w:szCs w:val="17"/>
          <w:color w:val="auto"/>
        </w:rPr>
        <w:t>The following reflects the significant changes in financial condition between September 30, 2023 and December 31, 2022. In addition, the following reflects significant changes in asset quality metrics between September 30, 2023 and September 30, 2022.</w:t>
      </w:r>
    </w:p>
    <w:p>
      <w:pPr>
        <w:spacing w:after="0" w:line="150" w:lineRule="exact"/>
        <w:rPr>
          <w:sz w:val="20"/>
          <w:szCs w:val="20"/>
          <w:color w:val="auto"/>
        </w:rPr>
      </w:pPr>
    </w:p>
    <w:p>
      <w:pPr>
        <w:ind w:left="480" w:right="560"/>
        <w:spacing w:after="0" w:line="257" w:lineRule="auto"/>
        <w:rPr>
          <w:sz w:val="20"/>
          <w:szCs w:val="20"/>
          <w:color w:val="auto"/>
        </w:rPr>
      </w:pPr>
      <w:r>
        <w:rPr>
          <w:rFonts w:ascii="Arial" w:cs="Arial" w:eastAsia="Arial" w:hAnsi="Arial"/>
          <w:sz w:val="18"/>
          <w:szCs w:val="18"/>
          <w:color w:val="auto"/>
        </w:rPr>
        <w:t>•Total assets increased $ 728,000, or 0.05% to $1.40 billion at September 30, 2023 as compared to December 31, 2022, primarily driven by higher investment securities balances.</w:t>
      </w:r>
    </w:p>
    <w:p>
      <w:pPr>
        <w:spacing w:after="0" w:line="1" w:lineRule="exact"/>
        <w:rPr>
          <w:sz w:val="20"/>
          <w:szCs w:val="20"/>
          <w:color w:val="auto"/>
        </w:rPr>
      </w:pPr>
    </w:p>
    <w:p>
      <w:pPr>
        <w:ind w:left="480" w:right="20"/>
        <w:spacing w:after="0" w:line="250" w:lineRule="auto"/>
        <w:rPr>
          <w:sz w:val="20"/>
          <w:szCs w:val="20"/>
          <w:color w:val="auto"/>
        </w:rPr>
      </w:pPr>
      <w:r>
        <w:rPr>
          <w:rFonts w:ascii="Arial" w:cs="Arial" w:eastAsia="Arial" w:hAnsi="Arial"/>
          <w:sz w:val="18"/>
          <w:szCs w:val="18"/>
          <w:color w:val="auto"/>
        </w:rPr>
        <w:t>•Asset quality metrics, as measured by net loan charge-offs, increased in comparison to the year prior reporting periods. The annualized net loan charge- offs to average loans ratio was 0.61% for the third quarter of 2023, compared to 0.03% for the third quarter of 2022, and 0.04% for the fourth quarter of 2022.</w:t>
      </w:r>
    </w:p>
    <w:p>
      <w:pPr>
        <w:spacing w:after="0" w:line="1" w:lineRule="exact"/>
        <w:rPr>
          <w:sz w:val="20"/>
          <w:szCs w:val="20"/>
          <w:color w:val="auto"/>
        </w:rPr>
      </w:pPr>
    </w:p>
    <w:p>
      <w:pPr>
        <w:ind w:left="480" w:right="60"/>
        <w:spacing w:after="0" w:line="256" w:lineRule="auto"/>
        <w:rPr>
          <w:sz w:val="20"/>
          <w:szCs w:val="20"/>
          <w:color w:val="auto"/>
        </w:rPr>
      </w:pPr>
      <w:r>
        <w:rPr>
          <w:rFonts w:ascii="Arial" w:cs="Arial" w:eastAsia="Arial" w:hAnsi="Arial"/>
          <w:sz w:val="18"/>
          <w:szCs w:val="18"/>
          <w:color w:val="auto"/>
        </w:rPr>
        <w:t>•Nonperforming loans to total loans were 1.8% at September 30, 2023, compared to 1.2% at September 30, 2022 and 1.0% at December 31, 2022. Correspondingly, the ratio of the allowance for credit losses to nonperforming loans was 97.5% at September 30, 2023, as compared to 128.3% at September 30, 2022, and 169.9% at December 31, 2022.</w:t>
      </w:r>
    </w:p>
    <w:p>
      <w:pPr>
        <w:spacing w:after="0" w:line="1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had net income of $ 2.2 million for the three months ended September 30, 2023 compared to net income of $3.2 million for the three months ended September 30, 2022. The $1.0 million decrease in net income was due primarily to a $5.0 million increase in total interest expense, a $123,000 increase in provision for credit losses, and a $386,000 increase in noninterest expense. These year- over-year changes were partially offset by a $4.3 million increase in interest and dividend income, a $199,000 decrease in provision for income taxes, and a $32,000 increase in total noninterest income.</w:t>
      </w:r>
    </w:p>
    <w:p>
      <w:pPr>
        <w:spacing w:after="0" w:line="1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interest income before the provision for credit losses decreased $720,000, or 6.7%, to $10.1 million for the three months ended September 30, 2023, as compared to $ 10.8 million for the same three month period in 2022. The decrease in net interest income was due to a 183 basis points increase in the average cost of total interest-bearing liabilities in the third quarter of 2023, as compared to the same quarter in 2022, combined with a $28.9 million increase in the average balance of total interest-bearing liabilities. The increase in the average rates paid on interest-bearing liabilities in the third quarter of 2023, as compared to the same quarter in 2022, reflects the generally increased rates of interest for all financial instruments that has occurred in 2023 due to the rising interest rate environment and increased competition for deposits.</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decreases in net interest income were partially offset by the result of increases in the average yields of loans and taxable and tax-exempt investment securities portfolios, combined with the increase in the average balance of the loan portfolio of $15.8 million. These increases resulted in a 126 basis points increase to 5.39% in total average interest- earning asset yield for the three months ended September 30, 2023 as compared to 4.13% for the same three month period of the previous year. The increase in the average yield received on interest-earning assets in the third quarter of 2023, as compared to the same quarter in 2022, reflects generally increased rates of interest for newly funded loans and investment securities, as compared to the average yields within these portfolios, as well as increases in coupon rates for certain adjustable-rate loans and securities in the rising interest rate environment that has occurred in 2022 and 2023. To some degree, these increases in the average yield on loans during 2023, were partially offset by reduced fee recognition related to PPP loans. PPP fee recognition revenues were nominal in the third quarter of 2023, as compared to $144,000 in the third quarter of the previous year.</w:t>
      </w:r>
    </w:p>
    <w:p>
      <w:pPr>
        <w:spacing w:after="0" w:line="195" w:lineRule="exact"/>
        <w:rPr>
          <w:sz w:val="20"/>
          <w:szCs w:val="20"/>
          <w:color w:val="auto"/>
        </w:rPr>
      </w:pPr>
    </w:p>
    <w:p>
      <w:pPr>
        <w:ind w:right="740"/>
        <w:spacing w:after="0" w:line="271" w:lineRule="auto"/>
        <w:rPr>
          <w:sz w:val="20"/>
          <w:szCs w:val="20"/>
          <w:color w:val="auto"/>
        </w:rPr>
      </w:pPr>
      <w:r>
        <w:rPr>
          <w:rFonts w:ascii="Arial" w:cs="Arial" w:eastAsia="Arial" w:hAnsi="Arial"/>
          <w:sz w:val="17"/>
          <w:szCs w:val="17"/>
          <w:color w:val="auto"/>
        </w:rPr>
        <w:t>The Company's noninterest income for the third quarter of 2023 amounted to $1.2 million, reflecting an increase of $32,000, compared to the same quarter of 2022. This modest increase was primarily attributable to a $185,000 increase in gains</w:t>
      </w: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51" w:name="page52"/>
    <w:bookmarkEnd w:id="51"/>
    <w:p>
      <w:pPr>
        <w:ind w:right="640"/>
        <w:spacing w:after="0" w:line="306" w:lineRule="auto"/>
        <w:rPr>
          <w:sz w:val="20"/>
          <w:szCs w:val="20"/>
          <w:color w:val="auto"/>
        </w:rPr>
      </w:pPr>
      <w:r>
        <w:rPr>
          <w:rFonts w:ascii="Arial" w:cs="Arial" w:eastAsia="Arial" w:hAnsi="Arial"/>
          <w:sz w:val="17"/>
          <w:szCs w:val="17"/>
          <w:color w:val="auto"/>
        </w:rPr>
        <w:t>(losses) on sales and redemptions of investment securities, a $52,000 increase in insurance agency revenue, and a $ 25,000 increase in loan servicing fees. These increases were largely offset by a $158,000 decrease in debit card interchange fees.</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decline in debit card income was due in part to the recognition of increased customer card rewards program redemption rates among the Bank’s active debit card users. During the third quarter of 2023, the Bank recognized a $ 73,000 nonrecurring reduction of debit card interchange income to increase its estimate of currently unused rewards that are likely to be redeemed by customers in future periods. This adjustment was made after a re-evaluation of recent customer reward program redemption patterns. Absent this one -time adjustment related to the rewards program, debit card interchange income would have declined by $85,000, or 47.2% for the three months ended September 30, 2023, compared to the same three month period in 2022. The $85,000 quarterly decline in debit card interchange income, not due to the one-time rewards program revenue adjustment, discussed above, was primarily due to changes in the number of debit card processor reporting cycles in the nine months ended September 30, 2023, as compared to the same nine month period in 2022, adjusted on a year-to-date basis in the third quarter of 2023. Debit card interchange income was also reduced by modest declines in consumer transactional deposit accounts and reduced consumer utilization of the Bank’s debit card offerings.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noninterest expense for the third quarter of 2023 was $7.7 million, an increase of $386,000, or 5.3%, compared to the same three month period in 2022. The increase was primarily a result of an increase of $ 225,000 in professional and other service expense, primarily the result of a $154,000 increase in third-party software service costs, related in part to the Company's continuing efforts to increase process automation, and a $61,000 increase in non-recurring consulting fees.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Management extensively reviews recent trends in changes in the size and composition of the loan portfolio, historical loss experience, qualitative factors, and specific reserve requirements on loans individually evaluated, in its determination of the adequacy of the allowance for credit losses. For the three months ended September 30, 2023, $833,000 was recorded in provision for credit losses as compared to $710,000 in the same prior year three month period. The primary driver of the increased provision expense in the third quarter of 2023, was management's decision to downgrade certain commercial real estate loans and commercial loans within two borrower relationships. These relationships are under active resolution management by the Company. Additionally, the provision in the quarter ended September 30, 2023 was reflective of the qualitative factors used in determining the adequacy of the allowance for credit losses and changes in the levels of delinquent and nonaccrual loans. The third quarter provision for credit losses reflects an addition to reserves considering loan growth and asset quality metrics. The credit-sensitive portfolios continue to be carefully monitored, and the Bank will consistently apply its loan classification and reserve building methodologies to the analysis of these portfolios.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2016 -13, Financial Instruments—Credit Losses (Topic 326): Measurement of Credit Losses on Financial Instruments, requiring financial institutions, such as the Bank, to adopt the Current Expected Credit Loss (“CECL”) methodology according to a specified implementation timeline. In order to meet this requirement, the Bank adopted the CECL methodology for calculating its Allowance for Credit Losses (“ACL”) on January 1, 2023. The amended guidance replaces the previously -required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 expected lives and also considers new items, such as open funding commitments, the initial ACL upon adoption would, in most cases, be expected to be greater than the ALLL that it replaced.</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transition to CECL also required that new reserves be created in the amounts of $450,000 and $552,000, related to held -to-maturity investments and unfunded commitments, respectively. Including the $1.9 million CECL transition adjustment related to loans, described above, the total CECL transition adjustment was $2.9 million on January 1, 2023, which was charged to retained earnings on that date.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87" w:right="700" w:bottom="1440" w:gutter="0" w:footer="0" w:header="0"/>
        </w:sectPr>
      </w:pPr>
    </w:p>
    <w:bookmarkStart w:id="52" w:name="page53"/>
    <w:bookmarkEnd w:id="52"/>
    <w:p>
      <w:pPr>
        <w:ind w:right="320"/>
        <w:spacing w:after="0" w:line="256" w:lineRule="auto"/>
        <w:rPr>
          <w:sz w:val="20"/>
          <w:szCs w:val="20"/>
          <w:color w:val="auto"/>
        </w:rPr>
      </w:pPr>
      <w:r>
        <w:rPr>
          <w:rFonts w:ascii="Arial" w:cs="Arial" w:eastAsia="Arial" w:hAnsi="Arial"/>
          <w:sz w:val="18"/>
          <w:szCs w:val="18"/>
          <w:color w:val="auto"/>
        </w:rPr>
        <w:t>The total PCL for the three and nine months ended September 30, 2023 was $ 833,000 and $2.7 million, respectively, of which $798,000 and $2.7 million related to the Company's loan portfolio for the three and nine months ended September 30, 2023, respectively. The ACL related to loans was therefore $15.8 million at September 30, 2023. In addition, during the third quarter of 2023, the Company recorded modest PCL charges of $5,000 and $30,000 for reserves related to held-to-maturity securities and unfunded commitments, respectively.</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comparing the year-over-year third quarter periods, the Company’s return on average assets decreased 30 basis points to 0.63% due to the combined effects of the decrease in net income (the numerator in the ratio), and an increase in average assets (the denominator in the ratio). Average assets increased mostly due to an increase of $15.8 million in the balances of average loans in the third quarter of 2023, as compared to the same quarter of 2022.</w:t>
      </w:r>
    </w:p>
    <w:p>
      <w:pPr>
        <w:spacing w:after="0" w:line="18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had net income of $6.8 million for the nine months ended September 30, 2023 compared to net income of $9.4 million for the nine months ended September 30, 2022. The $2.7 million decrease in net income was due primarily to a $ 13.7 million increase in total interest expense, a $1.8 million increase in the provision for credit losses, a $686,000 increase in total noninterest expense, and a $188,000 decrease in total noninterest income. These decreases were partially offset by a $13.3 million increase in interest and dividend income, and a $501,000 decrease in provision for income tax.</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interest income before the provision for credit losses decreased $464,000 to $29.8 million for the nine months ended September 30, 2023, as compared to $30.2 million for the same nine month period in 2022. Interest expense increased $13.7 million to $19.6 million for the nine months ended September 30, 2023 as compared to the prior year period. The average interest rate paid on interest-bearing liabilities increased by 165 basis points for the nine months ended September 30, 2023 as compared to the prior year period, and average interest- bearing liabilities increased by $ 60.7 million, or 6.0%. Offsetting the increase in interest expense was an increase in average loans for the first nine months of 2023 which grew by $37.7 million, or 4.4%, due to increased loan originations over the prior year period, while the average interest yield earned on average loans increased by 91 basis points, resulting in an increase of $7.4 million in interest income on loans for the nine months ended September 30, 2023 as compared to the prior year period. Income from investment securities increased $5.7 million to $14.2 million for the nine months ended September 30, 2023, as compared to the same prior year period.</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Noninterest income decreased $188,000 for the nine months ended September 30, 2023, when compared to the same nine month period in 2022. This decrease was primarily due to a $247,000 loss on marketable equity securities, and a $184,000 decrease in debit card interchange fees, partially offset by a $60,000 gain on sales and redemption of investment securities in the current nine months as compared to a $168,000 loss in the prior nine month period, and a $152,000 increase in insurance agency revenue. The decline in debit card income was due in part to the recognition of increased customer card rewards program redemption rates among the Bank’s active debit card users. During the third quarter of 2023, the Bank recognized a $73,000 nonrecurring reduction of debit card interchange income to increase its estimate of currently unused rewards that are likely to be redeemed by customers in future periods. This adjustment was made after a re-evaluation of recent customer reward program redemption patterns. Absent this one-time adjustment related to the rewards program, debit card interchange income would have declined $111,000, or 17.4%, for the nine months ended September 30, 2023 compared to the same nine month period in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Total noninterest expense for the first nine month period of 2023 was $22.4 million, an increase of $686,000, or 3.2%,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$21.7 million for the prior year period. The increase was primarily a result of an increase in professional and other services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$419,000, higher salaries and employee benefits expense of $213,000, and an increase in building and occupancy of $208,000.</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increase in professional and other services of $419,000 in the first nine months of 2023, as compared to the same period in 2022, was primarily the result of a $282,000 increase in third-party software service costs, related in part to the Company's continuing efforts to increase process automation, a $113,000 increase in non-recurring legal fees, and a $50,000 increase in non-recurring consulting fees. The increase of $213,000 in salaries for the nine months ended September 30, 2023, as compared to the same prior nine month period, was primarily due to increases in individual salaries, enacted early in 2023, as well as modest additions to staff headcount. The Company increased its salary structure where deemed appropriate in order to effectively respond to inflationary and competitive pressures within our marketplace to recruit and retain talent.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03" w:right="660" w:bottom="1440" w:gutter="0" w:footer="0" w:header="0"/>
        </w:sectPr>
      </w:pPr>
    </w:p>
    <w:bookmarkStart w:id="53" w:name="page54"/>
    <w:bookmarkEnd w:id="53"/>
    <w:p>
      <w:pPr>
        <w:ind w:right="200"/>
        <w:spacing w:after="0" w:line="275" w:lineRule="auto"/>
        <w:rPr>
          <w:sz w:val="20"/>
          <w:szCs w:val="20"/>
          <w:color w:val="auto"/>
        </w:rPr>
      </w:pPr>
      <w:r>
        <w:rPr>
          <w:rFonts w:ascii="Arial" w:cs="Arial" w:eastAsia="Arial" w:hAnsi="Arial"/>
          <w:sz w:val="18"/>
          <w:szCs w:val="18"/>
          <w:color w:val="auto"/>
        </w:rPr>
        <w:t>The increase in building and occupancy of $208,000 for the nine months ended September 30, 2023, when compared to the same prior year period, was primarily due to the addition of the Bank's eleventh full-service branch in November 2022.</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first nine months of 2023, the Bank recorded $2.7 million in provision for credit losses as compared to $871,000 in the same prior year nine month period. The provision was reflective of (1) the qualitative factors used in determining the adequacy of the allowance for credit losses, (2) the size of the loan portfolio, and (3) delinquent and nonaccrual loans. The increase in the provision for credit losses in the first nine months of 2023, as compared to the same period in 2022, was primarily related to the downgrade of two commercial real estate and commercial loan relationships, as compared to the same period in the previous year. The credit sensitive portfolios continue to be carefully monitored. Please refer to the asset quality section below for a further discussion of asset quality as it relates to the allowance for credit losses.</w:t>
      </w:r>
    </w:p>
    <w:p>
      <w:pPr>
        <w:spacing w:after="0" w:line="19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Return on average assets decreased 29 basis points to 0.65% between the year- over-year nine month periods as there was a decrease in net income in the nine month period ended September 30, 2023 (the numerator of the ratio) while the rate of average assets (the denominator of the ratio) grew during the period. Average assets increased due to increases in loans of $37.7 million and investment securities of $16.6 million in the nine month period ended September 30, 2023 as compared to the same period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87" w:right="700" w:bottom="1440" w:gutter="0" w:footer="0" w:header="0"/>
        </w:sectPr>
      </w:pPr>
    </w:p>
    <w:bookmarkStart w:id="54" w:name="page55"/>
    <w:bookmarkEnd w:id="54"/>
    <w:p>
      <w:pPr>
        <w:ind w:right="120"/>
        <w:spacing w:after="0" w:line="254" w:lineRule="auto"/>
        <w:rPr>
          <w:sz w:val="20"/>
          <w:szCs w:val="20"/>
          <w:color w:val="auto"/>
        </w:rPr>
      </w:pPr>
      <w:r>
        <w:rPr>
          <w:rFonts w:ascii="Arial" w:cs="Arial" w:eastAsia="Arial" w:hAnsi="Arial"/>
          <w:sz w:val="18"/>
          <w:szCs w:val="18"/>
          <w:color w:val="auto"/>
        </w:rPr>
        <w:t>The following tables set forth information concerning average interest-earning assets and interest -bearing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Yields and amounts earned include PPP loan fees income of $3,000 and $ 688,000 for the nine month periods ended September 30, 2023 and September 30, 2022, respectively. The decrease in loan fees for the year over year periods was primarily due to the decrease in PPP loan fee income. Nonaccrual loans have been included in interest-earning assets for purposes of these calculations.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(Unaudited)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4"/>
          </w:tcPr>
          <w:p>
            <w:pPr>
              <w:ind w:left="480"/>
              <w:spacing w:after="0"/>
              <w:rPr>
                <w:sz w:val="20"/>
                <w:szCs w:val="20"/>
                <w:color w:val="auto"/>
              </w:rPr>
            </w:pPr>
            <w:r>
              <w:rPr>
                <w:rFonts w:ascii="Arial" w:cs="Arial" w:eastAsia="Arial" w:hAnsi="Arial"/>
                <w:sz w:val="14"/>
                <w:szCs w:val="14"/>
                <w:color w:val="auto"/>
              </w:rPr>
              <w:t>For the three months ended September 30,</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728"/>
              <w:spacing w:after="0"/>
              <w:rPr>
                <w:sz w:val="20"/>
                <w:szCs w:val="20"/>
                <w:color w:val="auto"/>
              </w:rPr>
            </w:pPr>
            <w:r>
              <w:rPr>
                <w:rFonts w:ascii="Arial" w:cs="Arial" w:eastAsia="Arial" w:hAnsi="Arial"/>
                <w:sz w:val="14"/>
                <w:szCs w:val="14"/>
                <w:color w:val="auto"/>
              </w:rPr>
              <w:t>2023</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88"/>
              <w:spacing w:after="0"/>
              <w:rPr>
                <w:sz w:val="20"/>
                <w:szCs w:val="20"/>
                <w:color w:val="auto"/>
              </w:rPr>
            </w:pPr>
            <w:r>
              <w:rPr>
                <w:rFonts w:ascii="Arial" w:cs="Arial" w:eastAsia="Arial" w:hAnsi="Arial"/>
                <w:sz w:val="14"/>
                <w:szCs w:val="14"/>
                <w:color w:val="auto"/>
              </w:rPr>
              <w:t>2022</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Average</w:t>
            </w:r>
          </w:p>
        </w:tc>
      </w:tr>
      <w:tr>
        <w:trPr>
          <w:trHeight w:val="198"/>
        </w:trPr>
        <w:tc>
          <w:tcPr>
            <w:tcW w:w="3320" w:type="dxa"/>
            <w:vAlign w:val="bottom"/>
          </w:tcPr>
          <w:p>
            <w:pPr>
              <w:ind w:left="60"/>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Yield /</w:t>
            </w:r>
          </w:p>
        </w:tc>
        <w:tc>
          <w:tcPr>
            <w:tcW w:w="20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Yield /</w:t>
            </w: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Balance</w:t>
            </w:r>
          </w:p>
        </w:tc>
        <w:tc>
          <w:tcPr>
            <w:tcW w:w="240" w:type="dxa"/>
            <w:vAlign w:val="bottom"/>
          </w:tcPr>
          <w:p>
            <w:pPr>
              <w:spacing w:after="0"/>
              <w:rPr>
                <w:sz w:val="16"/>
                <w:szCs w:val="16"/>
                <w:color w:val="auto"/>
              </w:rPr>
            </w:pPr>
          </w:p>
        </w:tc>
        <w:tc>
          <w:tcPr>
            <w:tcW w:w="1180" w:type="dxa"/>
            <w:vAlign w:val="bottom"/>
          </w:tcPr>
          <w:p>
            <w:pPr>
              <w:ind w:left="460"/>
              <w:spacing w:after="0"/>
              <w:rPr>
                <w:sz w:val="20"/>
                <w:szCs w:val="20"/>
                <w:color w:val="auto"/>
              </w:rPr>
            </w:pPr>
            <w:r>
              <w:rPr>
                <w:rFonts w:ascii="Arial" w:cs="Arial" w:eastAsia="Arial" w:hAnsi="Arial"/>
                <w:sz w:val="14"/>
                <w:szCs w:val="14"/>
                <w:color w:val="auto"/>
              </w:rPr>
              <w:t>Interest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Cost</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Interest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Cost</w:t>
            </w:r>
          </w:p>
        </w:tc>
      </w:tr>
      <w:tr>
        <w:trPr>
          <w:trHeight w:val="205"/>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Interest-earning assets:</w:t>
            </w: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10"/>
        </w:trPr>
        <w:tc>
          <w:tcPr>
            <w:tcW w:w="33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60" w:type="dxa"/>
            <w:vAlign w:val="bottom"/>
          </w:tcPr>
          <w:p>
            <w:pPr>
              <w:spacing w:after="0"/>
              <w:rPr>
                <w:sz w:val="9"/>
                <w:szCs w:val="9"/>
                <w:color w:val="auto"/>
              </w:rPr>
            </w:pPr>
          </w:p>
        </w:tc>
      </w:tr>
      <w:tr>
        <w:trPr>
          <w:trHeight w:val="186"/>
        </w:trPr>
        <w:tc>
          <w:tcPr>
            <w:tcW w:w="3320" w:type="dxa"/>
            <w:vAlign w:val="bottom"/>
          </w:tcPr>
          <w:p>
            <w:pPr>
              <w:ind w:left="100"/>
              <w:spacing w:after="0"/>
              <w:rPr>
                <w:sz w:val="20"/>
                <w:szCs w:val="20"/>
                <w:color w:val="auto"/>
              </w:rPr>
            </w:pPr>
            <w:r>
              <w:rPr>
                <w:rFonts w:ascii="Arial" w:cs="Arial" w:eastAsia="Arial" w:hAnsi="Arial"/>
                <w:sz w:val="14"/>
                <w:szCs w:val="14"/>
                <w:color w:val="auto"/>
              </w:rPr>
              <w:t>Loans</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895,900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12,470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5.57 %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880,097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9,895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4.50 %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Taxable investment securities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376,455</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4,628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4.92 %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363,877</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3,108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3.42 %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Tax-exempt investment securities</w:t>
            </w:r>
          </w:p>
        </w:tc>
        <w:tc>
          <w:tcPr>
            <w:tcW w:w="6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27,831</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507</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7.29 %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42,855</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351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3.28 %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Fed funds sold and interest-earning deposits</w:t>
            </w:r>
          </w:p>
        </w:tc>
        <w:tc>
          <w:tcPr>
            <w:tcW w:w="6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11,395</w:t>
            </w:r>
          </w:p>
        </w:tc>
        <w:tc>
          <w:tcPr>
            <w:tcW w:w="24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66</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2.32 %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10,383</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1.12 %</w:t>
            </w:r>
          </w:p>
        </w:tc>
      </w:tr>
      <w:tr>
        <w:trPr>
          <w:trHeight w:val="195"/>
        </w:trPr>
        <w:tc>
          <w:tcPr>
            <w:tcW w:w="3320" w:type="dxa"/>
            <w:vAlign w:val="bottom"/>
          </w:tcPr>
          <w:p>
            <w:pPr>
              <w:ind w:left="180"/>
              <w:spacing w:after="0"/>
              <w:rPr>
                <w:sz w:val="20"/>
                <w:szCs w:val="20"/>
                <w:color w:val="auto"/>
              </w:rPr>
            </w:pPr>
            <w:r>
              <w:rPr>
                <w:rFonts w:ascii="Arial" w:cs="Arial" w:eastAsia="Arial" w:hAnsi="Arial"/>
                <w:sz w:val="14"/>
                <w:szCs w:val="14"/>
                <w:color w:val="auto"/>
              </w:rPr>
              <w:t>Total interest-earning assets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1,311,581</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17,671</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5.39 %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1,297,212</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13,383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4.13 %</w:t>
            </w:r>
          </w:p>
        </w:tc>
      </w:tr>
      <w:tr>
        <w:trPr>
          <w:trHeight w:val="195"/>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Noninterest-earning assets:</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320" w:type="dxa"/>
            <w:vAlign w:val="bottom"/>
          </w:tcPr>
          <w:p>
            <w:pPr>
              <w:ind w:left="100"/>
              <w:spacing w:after="0"/>
              <w:rPr>
                <w:sz w:val="20"/>
                <w:szCs w:val="20"/>
                <w:color w:val="auto"/>
              </w:rPr>
            </w:pPr>
            <w:r>
              <w:rPr>
                <w:rFonts w:ascii="Arial" w:cs="Arial" w:eastAsia="Arial" w:hAnsi="Arial"/>
                <w:sz w:val="14"/>
                <w:szCs w:val="14"/>
                <w:color w:val="auto"/>
              </w:rPr>
              <w:t>Other assets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102,738</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90,482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33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Allowance for credit losses</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(19,028 )</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(13,050 )</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72"/>
        </w:trPr>
        <w:tc>
          <w:tcPr>
            <w:tcW w:w="3320" w:type="dxa"/>
            <w:vAlign w:val="bottom"/>
          </w:tcPr>
          <w:p>
            <w:pPr>
              <w:ind w:left="100"/>
              <w:spacing w:after="0"/>
              <w:rPr>
                <w:sz w:val="20"/>
                <w:szCs w:val="20"/>
                <w:color w:val="auto"/>
              </w:rPr>
            </w:pPr>
            <w:r>
              <w:rPr>
                <w:rFonts w:ascii="Arial" w:cs="Arial" w:eastAsia="Arial" w:hAnsi="Arial"/>
                <w:sz w:val="14"/>
                <w:szCs w:val="14"/>
                <w:color w:val="auto"/>
              </w:rPr>
              <w:t>Net unrealized losses</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320" w:type="dxa"/>
            <w:vAlign w:val="bottom"/>
          </w:tcPr>
          <w:p>
            <w:pPr>
              <w:ind w:left="200"/>
              <w:spacing w:after="0"/>
              <w:rPr>
                <w:sz w:val="20"/>
                <w:szCs w:val="20"/>
                <w:color w:val="auto"/>
              </w:rPr>
            </w:pPr>
            <w:r>
              <w:rPr>
                <w:rFonts w:ascii="Arial" w:cs="Arial" w:eastAsia="Arial" w:hAnsi="Arial"/>
                <w:sz w:val="14"/>
                <w:szCs w:val="14"/>
                <w:color w:val="auto"/>
              </w:rPr>
              <w:t>on available-for-sale securities</w:t>
            </w:r>
          </w:p>
        </w:tc>
        <w:tc>
          <w:tcPr>
            <w:tcW w:w="6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(13,275 )</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(10,983 )</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332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color w:val="auto"/>
              </w:rPr>
              <w:t>Total assets</w:t>
            </w:r>
          </w:p>
        </w:tc>
        <w:tc>
          <w:tcPr>
            <w:tcW w:w="6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1,382,016</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1,363,661</w:t>
            </w: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Interest-bearing liabilities:</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320" w:type="dxa"/>
            <w:vAlign w:val="bottom"/>
          </w:tcPr>
          <w:p>
            <w:pPr>
              <w:ind w:left="100"/>
              <w:spacing w:after="0"/>
              <w:rPr>
                <w:sz w:val="20"/>
                <w:szCs w:val="20"/>
                <w:color w:val="auto"/>
              </w:rPr>
            </w:pPr>
            <w:r>
              <w:rPr>
                <w:rFonts w:ascii="Arial" w:cs="Arial" w:eastAsia="Arial" w:hAnsi="Arial"/>
                <w:sz w:val="14"/>
                <w:szCs w:val="14"/>
                <w:color w:val="auto"/>
              </w:rPr>
              <w:t>NOW accounts</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90,992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124</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0.55 %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101,907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85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0.33 %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Money management accounts</w:t>
            </w:r>
          </w:p>
        </w:tc>
        <w:tc>
          <w:tcPr>
            <w:tcW w:w="6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14,503</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0.11 %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16,097</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0.10 %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MMDA accounts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218,601</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1,642</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3.00 %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244,884</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427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0.70 %</w:t>
            </w:r>
          </w:p>
        </w:tc>
      </w:tr>
      <w:tr>
        <w:trPr>
          <w:trHeight w:val="204"/>
        </w:trPr>
        <w:tc>
          <w:tcPr>
            <w:tcW w:w="3320" w:type="dxa"/>
            <w:vAlign w:val="bottom"/>
          </w:tcPr>
          <w:p>
            <w:pPr>
              <w:ind w:left="100"/>
              <w:spacing w:after="0"/>
              <w:rPr>
                <w:sz w:val="20"/>
                <w:szCs w:val="20"/>
                <w:color w:val="auto"/>
              </w:rPr>
            </w:pPr>
            <w:r>
              <w:rPr>
                <w:rFonts w:ascii="Arial" w:cs="Arial" w:eastAsia="Arial" w:hAnsi="Arial"/>
                <w:sz w:val="14"/>
                <w:szCs w:val="14"/>
                <w:color w:val="auto"/>
              </w:rPr>
              <w:t>Savings and club accounts</w:t>
            </w:r>
          </w:p>
        </w:tc>
        <w:tc>
          <w:tcPr>
            <w:tcW w:w="68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121,710</w:t>
            </w:r>
          </w:p>
        </w:tc>
        <w:tc>
          <w:tcPr>
            <w:tcW w:w="240" w:type="dxa"/>
            <w:vAlign w:val="bottom"/>
          </w:tcPr>
          <w:p>
            <w:pPr>
              <w:spacing w:after="0"/>
              <w:rPr>
                <w:sz w:val="17"/>
                <w:szCs w:val="17"/>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68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0.22 %</w:t>
            </w:r>
          </w:p>
        </w:tc>
        <w:tc>
          <w:tcPr>
            <w:tcW w:w="20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140,425</w:t>
            </w:r>
          </w:p>
        </w:tc>
        <w:tc>
          <w:tcPr>
            <w:tcW w:w="2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52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0.15 %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Time deposits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493,907</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4,385</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3.55 %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440,227</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1,339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1.22 %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Subordinated debt</w:t>
            </w:r>
          </w:p>
        </w:tc>
        <w:tc>
          <w:tcPr>
            <w:tcW w:w="6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29,837</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492</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6.60 %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29,655</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442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5.96 %</w:t>
            </w:r>
          </w:p>
        </w:tc>
      </w:tr>
      <w:tr>
        <w:trPr>
          <w:trHeight w:val="192"/>
        </w:trPr>
        <w:tc>
          <w:tcPr>
            <w:tcW w:w="3320" w:type="dxa"/>
            <w:vAlign w:val="bottom"/>
          </w:tcPr>
          <w:p>
            <w:pPr>
              <w:ind w:left="100"/>
              <w:spacing w:after="0"/>
              <w:rPr>
                <w:sz w:val="20"/>
                <w:szCs w:val="20"/>
                <w:color w:val="auto"/>
              </w:rPr>
            </w:pPr>
            <w:r>
              <w:rPr>
                <w:rFonts w:ascii="Arial" w:cs="Arial" w:eastAsia="Arial" w:hAnsi="Arial"/>
                <w:sz w:val="14"/>
                <w:szCs w:val="14"/>
                <w:color w:val="auto"/>
              </w:rPr>
              <w:t>Borrowings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110,780</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896</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3.24 %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78,232</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254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1.30 %</w:t>
            </w:r>
          </w:p>
        </w:tc>
      </w:tr>
      <w:tr>
        <w:trPr>
          <w:trHeight w:val="195"/>
        </w:trPr>
        <w:tc>
          <w:tcPr>
            <w:tcW w:w="3320" w:type="dxa"/>
            <w:vAlign w:val="bottom"/>
          </w:tcPr>
          <w:p>
            <w:pPr>
              <w:ind w:left="180"/>
              <w:spacing w:after="0"/>
              <w:rPr>
                <w:sz w:val="20"/>
                <w:szCs w:val="20"/>
                <w:color w:val="auto"/>
              </w:rPr>
            </w:pPr>
            <w:r>
              <w:rPr>
                <w:rFonts w:ascii="Arial" w:cs="Arial" w:eastAsia="Arial" w:hAnsi="Arial"/>
                <w:sz w:val="14"/>
                <w:szCs w:val="14"/>
                <w:color w:val="auto"/>
              </w:rPr>
              <w:t>Total interest-bearing liabilities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1,080,330</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7,611</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2.82 %</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1,051,427</w:t>
            </w:r>
          </w:p>
        </w:tc>
        <w:tc>
          <w:tcPr>
            <w:tcW w:w="22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2,603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0.99 %</w:t>
            </w:r>
          </w:p>
        </w:tc>
      </w:tr>
      <w:tr>
        <w:trPr>
          <w:trHeight w:val="195"/>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Noninterest-bearing liabilities:</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320" w:type="dxa"/>
            <w:vAlign w:val="bottom"/>
          </w:tcPr>
          <w:p>
            <w:pPr>
              <w:ind w:left="100"/>
              <w:spacing w:after="0"/>
              <w:rPr>
                <w:sz w:val="20"/>
                <w:szCs w:val="20"/>
                <w:color w:val="auto"/>
              </w:rPr>
            </w:pPr>
            <w:r>
              <w:rPr>
                <w:rFonts w:ascii="Arial" w:cs="Arial" w:eastAsia="Arial" w:hAnsi="Arial"/>
                <w:sz w:val="14"/>
                <w:szCs w:val="14"/>
                <w:color w:val="auto"/>
              </w:rPr>
              <w:t>Demand deposits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169,825</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189,317</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33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liabilities</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15,768</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12,248</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32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6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1,265,923</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1,252,992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Shareholders' equity</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116,093</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110,669</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liabilities &amp; shareholders' equity</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1,382,016</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1,363,661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income</w:t>
            </w:r>
          </w:p>
        </w:tc>
        <w:tc>
          <w:tcPr>
            <w:tcW w:w="6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10,060</w:t>
            </w: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10,780</w:t>
            </w:r>
          </w:p>
        </w:tc>
        <w:tc>
          <w:tcPr>
            <w:tcW w:w="8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Net interest rate spread</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2.57 %</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3.14 %</w:t>
            </w: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Net interest margin</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3.07 %</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3.32 %</w:t>
            </w:r>
          </w:p>
        </w:tc>
      </w:tr>
      <w:tr>
        <w:trPr>
          <w:trHeight w:val="178"/>
        </w:trPr>
        <w:tc>
          <w:tcPr>
            <w:tcW w:w="3320" w:type="dxa"/>
            <w:vAlign w:val="bottom"/>
          </w:tcPr>
          <w:p>
            <w:pPr>
              <w:ind w:left="20"/>
              <w:spacing w:after="0"/>
              <w:rPr>
                <w:sz w:val="20"/>
                <w:szCs w:val="20"/>
                <w:color w:val="auto"/>
              </w:rPr>
            </w:pPr>
            <w:r>
              <w:rPr>
                <w:rFonts w:ascii="Arial" w:cs="Arial" w:eastAsia="Arial" w:hAnsi="Arial"/>
                <w:sz w:val="14"/>
                <w:szCs w:val="14"/>
                <w:color w:val="auto"/>
              </w:rPr>
              <w:t>Ratio of average interest-earning assets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3320" w:type="dxa"/>
            <w:vAlign w:val="bottom"/>
          </w:tcPr>
          <w:p>
            <w:pPr>
              <w:ind w:left="140"/>
              <w:spacing w:after="0"/>
              <w:rPr>
                <w:sz w:val="20"/>
                <w:szCs w:val="20"/>
                <w:color w:val="auto"/>
              </w:rPr>
            </w:pPr>
            <w:r>
              <w:rPr>
                <w:rFonts w:ascii="Arial" w:cs="Arial" w:eastAsia="Arial" w:hAnsi="Arial"/>
                <w:sz w:val="14"/>
                <w:szCs w:val="14"/>
                <w:color w:val="auto"/>
              </w:rPr>
              <w:t>to average interest-bearing liabilities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121.41 %</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123.38 %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-3677285</wp:posOffset>
            </wp:positionV>
            <wp:extent cx="6707505" cy="121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-3432810</wp:posOffset>
            </wp:positionV>
            <wp:extent cx="6707505" cy="12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-2327910</wp:posOffset>
            </wp:positionV>
            <wp:extent cx="6707505"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-2084070</wp:posOffset>
            </wp:positionV>
            <wp:extent cx="6707505" cy="121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-1832610</wp:posOffset>
            </wp:positionV>
            <wp:extent cx="6707505" cy="12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-1588770</wp:posOffset>
            </wp:positionV>
            <wp:extent cx="6707505" cy="121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-346075</wp:posOffset>
            </wp:positionV>
            <wp:extent cx="6707505" cy="12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59" w:right="62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gridSpan w:val="5"/>
          </w:tcPr>
          <w:p>
            <w:pPr>
              <w:jc w:val="right"/>
              <w:ind w:right="28"/>
              <w:spacing w:after="0"/>
              <w:rPr>
                <w:sz w:val="20"/>
                <w:szCs w:val="20"/>
                <w:color w:val="auto"/>
              </w:rPr>
            </w:pPr>
            <w:r>
              <w:rPr>
                <w:rFonts w:ascii="Arial" w:cs="Arial" w:eastAsia="Arial" w:hAnsi="Arial"/>
                <w:sz w:val="14"/>
                <w:szCs w:val="14"/>
                <w:color w:val="auto"/>
              </w:rPr>
              <w:t>For the nine months ended September 30,</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2"/>
          </w:tcPr>
          <w:p>
            <w:pPr>
              <w:jc w:val="right"/>
              <w:ind w:right="528"/>
              <w:spacing w:after="0"/>
              <w:rPr>
                <w:sz w:val="20"/>
                <w:szCs w:val="20"/>
                <w:color w:val="auto"/>
              </w:rPr>
            </w:pPr>
            <w:r>
              <w:rPr>
                <w:rFonts w:ascii="Arial" w:cs="Arial" w:eastAsia="Arial" w:hAnsi="Arial"/>
                <w:sz w:val="14"/>
                <w:szCs w:val="14"/>
                <w:color w:val="auto"/>
              </w:rPr>
              <w:t>2023</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88"/>
              <w:spacing w:after="0"/>
              <w:rPr>
                <w:sz w:val="20"/>
                <w:szCs w:val="20"/>
                <w:color w:val="auto"/>
              </w:rPr>
            </w:pPr>
            <w:r>
              <w:rPr>
                <w:rFonts w:ascii="Arial" w:cs="Arial" w:eastAsia="Arial" w:hAnsi="Arial"/>
                <w:sz w:val="14"/>
                <w:szCs w:val="14"/>
                <w:color w:val="auto"/>
              </w:rPr>
              <w:t>2022</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color w:val="auto"/>
                <w:w w:val="99"/>
              </w:rPr>
              <w:t>Average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98"/>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7"/>
                <w:szCs w:val="17"/>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color w:val="auto"/>
              </w:rPr>
              <w:t>Yield /</w:t>
            </w:r>
          </w:p>
        </w:tc>
        <w:tc>
          <w:tcPr>
            <w:tcW w:w="22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rPr>
              <w:t>Yield /</w:t>
            </w: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6"/>
                <w:szCs w:val="16"/>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Interest</w:t>
            </w:r>
          </w:p>
        </w:tc>
        <w:tc>
          <w:tcPr>
            <w:tcW w:w="1040" w:type="dxa"/>
            <w:vAlign w:val="bottom"/>
          </w:tcPr>
          <w:p>
            <w:pPr>
              <w:jc w:val="center"/>
              <w:ind w:right="88"/>
              <w:spacing w:after="0"/>
              <w:rPr>
                <w:sz w:val="20"/>
                <w:szCs w:val="20"/>
                <w:color w:val="auto"/>
              </w:rPr>
            </w:pPr>
            <w:r>
              <w:rPr>
                <w:rFonts w:ascii="Arial" w:cs="Arial" w:eastAsia="Arial" w:hAnsi="Arial"/>
                <w:sz w:val="14"/>
                <w:szCs w:val="14"/>
                <w:color w:val="auto"/>
                <w:w w:val="97"/>
              </w:rPr>
              <w:t>Cost</w:t>
            </w:r>
          </w:p>
        </w:tc>
        <w:tc>
          <w:tcPr>
            <w:tcW w:w="22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Interest</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rPr>
              <w:t>Cost</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Interest-earning assets:</w:t>
            </w:r>
          </w:p>
        </w:tc>
        <w:tc>
          <w:tcPr>
            <w:tcW w:w="60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900,917</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863,191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40" w:type="dxa"/>
            <w:vAlign w:val="bottom"/>
            <w:vMerge w:val="restart"/>
          </w:tcPr>
          <w:p>
            <w:pPr>
              <w:ind w:left="100"/>
              <w:spacing w:after="0"/>
              <w:rPr>
                <w:sz w:val="20"/>
                <w:szCs w:val="20"/>
                <w:color w:val="auto"/>
              </w:rPr>
            </w:pPr>
            <w:r>
              <w:rPr>
                <w:rFonts w:ascii="Arial" w:cs="Arial" w:eastAsia="Arial" w:hAnsi="Arial"/>
                <w:sz w:val="14"/>
                <w:szCs w:val="14"/>
                <w:color w:val="auto"/>
              </w:rPr>
              <w:t>Loans</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continue"/>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34,919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5.17 %</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color w:val="auto"/>
              </w:rPr>
              <w:t>27,561</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4.26 %</w:t>
            </w:r>
          </w:p>
        </w:tc>
        <w:tc>
          <w:tcPr>
            <w:tcW w:w="0" w:type="dxa"/>
            <w:vAlign w:val="bottom"/>
          </w:tcPr>
          <w:p>
            <w:pPr>
              <w:spacing w:after="0"/>
              <w:rPr>
                <w:sz w:val="1"/>
                <w:szCs w:val="1"/>
                <w:color w:val="auto"/>
              </w:rPr>
            </w:pPr>
          </w:p>
        </w:tc>
      </w:tr>
      <w:tr>
        <w:trPr>
          <w:trHeight w:val="72"/>
        </w:trPr>
        <w:tc>
          <w:tcPr>
            <w:tcW w:w="33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Taxable investment securities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371,615</w:t>
            </w:r>
          </w:p>
        </w:tc>
        <w:tc>
          <w:tcPr>
            <w:tcW w:w="2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12,749</w:t>
            </w:r>
          </w:p>
        </w:tc>
        <w:tc>
          <w:tcPr>
            <w:tcW w:w="1040" w:type="dxa"/>
            <w:vAlign w:val="bottom"/>
          </w:tcPr>
          <w:p>
            <w:pPr>
              <w:jc w:val="right"/>
              <w:spacing w:after="0"/>
              <w:rPr>
                <w:sz w:val="20"/>
                <w:szCs w:val="20"/>
                <w:color w:val="auto"/>
              </w:rPr>
            </w:pPr>
            <w:r>
              <w:rPr>
                <w:rFonts w:ascii="Arial" w:cs="Arial" w:eastAsia="Arial" w:hAnsi="Arial"/>
                <w:sz w:val="14"/>
                <w:szCs w:val="14"/>
                <w:color w:val="auto"/>
              </w:rPr>
              <w:t>4.57 %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348,499</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7,850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Tax-exempt investment securities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31,077</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1,441</w:t>
            </w:r>
          </w:p>
        </w:tc>
        <w:tc>
          <w:tcPr>
            <w:tcW w:w="1040" w:type="dxa"/>
            <w:vAlign w:val="bottom"/>
          </w:tcPr>
          <w:p>
            <w:pPr>
              <w:jc w:val="right"/>
              <w:spacing w:after="0"/>
              <w:rPr>
                <w:sz w:val="20"/>
                <w:szCs w:val="20"/>
                <w:color w:val="auto"/>
              </w:rPr>
            </w:pPr>
            <w:r>
              <w:rPr>
                <w:rFonts w:ascii="Arial" w:cs="Arial" w:eastAsia="Arial" w:hAnsi="Arial"/>
                <w:sz w:val="14"/>
                <w:szCs w:val="14"/>
                <w:color w:val="auto"/>
              </w:rPr>
              <w:t>6.18 %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37,593</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612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2.17 %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Fed funds sold and interest-earning deposits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11,750</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226</w:t>
            </w:r>
          </w:p>
        </w:tc>
        <w:tc>
          <w:tcPr>
            <w:tcW w:w="1040" w:type="dxa"/>
            <w:vAlign w:val="bottom"/>
          </w:tcPr>
          <w:p>
            <w:pPr>
              <w:jc w:val="right"/>
              <w:spacing w:after="0"/>
              <w:rPr>
                <w:sz w:val="20"/>
                <w:szCs w:val="20"/>
                <w:color w:val="auto"/>
              </w:rPr>
            </w:pPr>
            <w:r>
              <w:rPr>
                <w:rFonts w:ascii="Arial" w:cs="Arial" w:eastAsia="Arial" w:hAnsi="Arial"/>
                <w:sz w:val="14"/>
                <w:szCs w:val="14"/>
                <w:color w:val="auto"/>
              </w:rPr>
              <w:t>2.56 %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19,950</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48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0.32 %</w:t>
            </w:r>
          </w:p>
        </w:tc>
        <w:tc>
          <w:tcPr>
            <w:tcW w:w="0" w:type="dxa"/>
            <w:vAlign w:val="bottom"/>
          </w:tcPr>
          <w:p>
            <w:pPr>
              <w:spacing w:after="0"/>
              <w:rPr>
                <w:sz w:val="1"/>
                <w:szCs w:val="1"/>
                <w:color w:val="auto"/>
              </w:rPr>
            </w:pPr>
          </w:p>
        </w:tc>
      </w:tr>
      <w:tr>
        <w:trPr>
          <w:trHeight w:val="192"/>
        </w:trPr>
        <w:tc>
          <w:tcPr>
            <w:tcW w:w="3340" w:type="dxa"/>
            <w:vAlign w:val="bottom"/>
          </w:tcPr>
          <w:p>
            <w:pPr>
              <w:ind w:left="180"/>
              <w:spacing w:after="0"/>
              <w:rPr>
                <w:sz w:val="20"/>
                <w:szCs w:val="20"/>
                <w:color w:val="auto"/>
              </w:rPr>
            </w:pPr>
            <w:r>
              <w:rPr>
                <w:rFonts w:ascii="Arial" w:cs="Arial" w:eastAsia="Arial" w:hAnsi="Arial"/>
                <w:sz w:val="14"/>
                <w:szCs w:val="14"/>
                <w:color w:val="auto"/>
              </w:rPr>
              <w:t>Total interest-earning assets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1,315,359</w:t>
            </w:r>
          </w:p>
        </w:tc>
        <w:tc>
          <w:tcPr>
            <w:tcW w:w="2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49,335</w:t>
            </w:r>
          </w:p>
        </w:tc>
        <w:tc>
          <w:tcPr>
            <w:tcW w:w="1040" w:type="dxa"/>
            <w:vAlign w:val="bottom"/>
          </w:tcPr>
          <w:p>
            <w:pPr>
              <w:jc w:val="right"/>
              <w:spacing w:after="0"/>
              <w:rPr>
                <w:sz w:val="20"/>
                <w:szCs w:val="20"/>
                <w:color w:val="auto"/>
              </w:rPr>
            </w:pPr>
            <w:r>
              <w:rPr>
                <w:rFonts w:ascii="Arial" w:cs="Arial" w:eastAsia="Arial" w:hAnsi="Arial"/>
                <w:sz w:val="14"/>
                <w:szCs w:val="14"/>
                <w:color w:val="auto"/>
              </w:rPr>
              <w:t>5.00 %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1,269,233</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36,071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3.79 %</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Noninterest-earning assets:</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assets</w:t>
            </w:r>
          </w:p>
        </w:tc>
        <w:tc>
          <w:tcPr>
            <w:tcW w:w="6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99,431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85,652</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00"/>
              <w:spacing w:after="0"/>
              <w:rPr>
                <w:sz w:val="20"/>
                <w:szCs w:val="20"/>
                <w:color w:val="auto"/>
              </w:rPr>
            </w:pPr>
            <w:r>
              <w:rPr>
                <w:rFonts w:ascii="Arial" w:cs="Arial" w:eastAsia="Arial" w:hAnsi="Arial"/>
                <w:sz w:val="14"/>
                <w:szCs w:val="14"/>
                <w:color w:val="auto"/>
              </w:rPr>
              <w:t>Allowance for credit losses</w:t>
            </w:r>
          </w:p>
        </w:tc>
        <w:tc>
          <w:tcPr>
            <w:tcW w:w="6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(18,043 )</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(13,040 )</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unrealized losses</w:t>
            </w:r>
          </w:p>
        </w:tc>
        <w:tc>
          <w:tcPr>
            <w:tcW w:w="6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on available-for-sale securities</w:t>
            </w:r>
          </w:p>
        </w:tc>
        <w:tc>
          <w:tcPr>
            <w:tcW w:w="6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(12,919 )</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(7,230 )</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assets</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1,383,828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1,334,615</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Interest-bearing liabilities:</w:t>
            </w:r>
          </w:p>
        </w:tc>
        <w:tc>
          <w:tcPr>
            <w:tcW w:w="6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100"/>
              <w:spacing w:after="0"/>
              <w:rPr>
                <w:sz w:val="20"/>
                <w:szCs w:val="20"/>
                <w:color w:val="auto"/>
              </w:rPr>
            </w:pPr>
            <w:r>
              <w:rPr>
                <w:rFonts w:ascii="Arial" w:cs="Arial" w:eastAsia="Arial" w:hAnsi="Arial"/>
                <w:sz w:val="14"/>
                <w:szCs w:val="14"/>
                <w:color w:val="auto"/>
              </w:rPr>
              <w:t>NOW accounts</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94,116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315</w:t>
            </w:r>
          </w:p>
        </w:tc>
        <w:tc>
          <w:tcPr>
            <w:tcW w:w="1040" w:type="dxa"/>
            <w:vAlign w:val="bottom"/>
          </w:tcPr>
          <w:p>
            <w:pPr>
              <w:jc w:val="right"/>
              <w:spacing w:after="0"/>
              <w:rPr>
                <w:sz w:val="20"/>
                <w:szCs w:val="20"/>
                <w:color w:val="auto"/>
              </w:rPr>
            </w:pPr>
            <w:r>
              <w:rPr>
                <w:rFonts w:ascii="Arial" w:cs="Arial" w:eastAsia="Arial" w:hAnsi="Arial"/>
                <w:sz w:val="14"/>
                <w:szCs w:val="14"/>
                <w:color w:val="auto"/>
              </w:rPr>
              <w:t>0.45 %</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104,874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234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0.30 %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Money management accounts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14,651</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40" w:type="dxa"/>
            <w:vAlign w:val="bottom"/>
          </w:tcPr>
          <w:p>
            <w:pPr>
              <w:jc w:val="right"/>
              <w:spacing w:after="0"/>
              <w:rPr>
                <w:sz w:val="20"/>
                <w:szCs w:val="20"/>
                <w:color w:val="auto"/>
              </w:rPr>
            </w:pPr>
            <w:r>
              <w:rPr>
                <w:rFonts w:ascii="Arial" w:cs="Arial" w:eastAsia="Arial" w:hAnsi="Arial"/>
                <w:sz w:val="14"/>
                <w:szCs w:val="14"/>
                <w:color w:val="auto"/>
              </w:rPr>
              <w:t>0.11 %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16,212</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MMDA accounts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241,550</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4,539</w:t>
            </w:r>
          </w:p>
        </w:tc>
        <w:tc>
          <w:tcPr>
            <w:tcW w:w="1040" w:type="dxa"/>
            <w:vAlign w:val="bottom"/>
          </w:tcPr>
          <w:p>
            <w:pPr>
              <w:jc w:val="right"/>
              <w:spacing w:after="0"/>
              <w:rPr>
                <w:sz w:val="20"/>
                <w:szCs w:val="20"/>
                <w:color w:val="auto"/>
              </w:rPr>
            </w:pPr>
            <w:r>
              <w:rPr>
                <w:rFonts w:ascii="Arial" w:cs="Arial" w:eastAsia="Arial" w:hAnsi="Arial"/>
                <w:sz w:val="14"/>
                <w:szCs w:val="14"/>
                <w:color w:val="auto"/>
              </w:rPr>
              <w:t>2.51 %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255,933</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985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0.51 %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Savings and club accounts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127,490</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199</w:t>
            </w:r>
          </w:p>
        </w:tc>
        <w:tc>
          <w:tcPr>
            <w:tcW w:w="1040" w:type="dxa"/>
            <w:vAlign w:val="bottom"/>
          </w:tcPr>
          <w:p>
            <w:pPr>
              <w:jc w:val="right"/>
              <w:spacing w:after="0"/>
              <w:rPr>
                <w:sz w:val="20"/>
                <w:szCs w:val="20"/>
                <w:color w:val="auto"/>
              </w:rPr>
            </w:pPr>
            <w:r>
              <w:rPr>
                <w:rFonts w:ascii="Arial" w:cs="Arial" w:eastAsia="Arial" w:hAnsi="Arial"/>
                <w:sz w:val="14"/>
                <w:szCs w:val="14"/>
                <w:color w:val="auto"/>
              </w:rPr>
              <w:t>0.21 %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139,798</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150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0.14 %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Time deposits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472,614</w:t>
            </w:r>
          </w:p>
        </w:tc>
        <w:tc>
          <w:tcPr>
            <w:tcW w:w="2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10,820</w:t>
            </w:r>
          </w:p>
        </w:tc>
        <w:tc>
          <w:tcPr>
            <w:tcW w:w="1040" w:type="dxa"/>
            <w:vAlign w:val="bottom"/>
          </w:tcPr>
          <w:p>
            <w:pPr>
              <w:jc w:val="right"/>
              <w:spacing w:after="0"/>
              <w:rPr>
                <w:sz w:val="20"/>
                <w:szCs w:val="20"/>
                <w:color w:val="auto"/>
              </w:rPr>
            </w:pPr>
            <w:r>
              <w:rPr>
                <w:rFonts w:ascii="Arial" w:cs="Arial" w:eastAsia="Arial" w:hAnsi="Arial"/>
                <w:sz w:val="14"/>
                <w:szCs w:val="14"/>
                <w:color w:val="auto"/>
              </w:rPr>
              <w:t>3.05 %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401,297</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2,625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0.87 %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Subordinated debt</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29,793</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1,447</w:t>
            </w:r>
          </w:p>
        </w:tc>
        <w:tc>
          <w:tcPr>
            <w:tcW w:w="1040" w:type="dxa"/>
            <w:vAlign w:val="bottom"/>
          </w:tcPr>
          <w:p>
            <w:pPr>
              <w:jc w:val="right"/>
              <w:spacing w:after="0"/>
              <w:rPr>
                <w:sz w:val="20"/>
                <w:szCs w:val="20"/>
                <w:color w:val="auto"/>
              </w:rPr>
            </w:pPr>
            <w:r>
              <w:rPr>
                <w:rFonts w:ascii="Arial" w:cs="Arial" w:eastAsia="Arial" w:hAnsi="Arial"/>
                <w:sz w:val="14"/>
                <w:szCs w:val="14"/>
                <w:color w:val="auto"/>
              </w:rPr>
              <w:t>6.48 %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29,617</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1,284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5.78 %</w:t>
            </w:r>
          </w:p>
        </w:tc>
        <w:tc>
          <w:tcPr>
            <w:tcW w:w="0" w:type="dxa"/>
            <w:vAlign w:val="bottom"/>
          </w:tcPr>
          <w:p>
            <w:pPr>
              <w:spacing w:after="0"/>
              <w:rPr>
                <w:sz w:val="1"/>
                <w:szCs w:val="1"/>
                <w:color w:val="auto"/>
              </w:rPr>
            </w:pPr>
          </w:p>
        </w:tc>
      </w:tr>
      <w:tr>
        <w:trPr>
          <w:trHeight w:val="192"/>
        </w:trPr>
        <w:tc>
          <w:tcPr>
            <w:tcW w:w="3340" w:type="dxa"/>
            <w:vAlign w:val="bottom"/>
          </w:tcPr>
          <w:p>
            <w:pPr>
              <w:ind w:left="100"/>
              <w:spacing w:after="0"/>
              <w:rPr>
                <w:sz w:val="20"/>
                <w:szCs w:val="20"/>
                <w:color w:val="auto"/>
              </w:rPr>
            </w:pPr>
            <w:r>
              <w:rPr>
                <w:rFonts w:ascii="Arial" w:cs="Arial" w:eastAsia="Arial" w:hAnsi="Arial"/>
                <w:sz w:val="14"/>
                <w:szCs w:val="14"/>
                <w:color w:val="auto"/>
              </w:rPr>
              <w:t>Borrowings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99,029</w:t>
            </w:r>
          </w:p>
        </w:tc>
        <w:tc>
          <w:tcPr>
            <w:tcW w:w="2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2,243</w:t>
            </w:r>
          </w:p>
        </w:tc>
        <w:tc>
          <w:tcPr>
            <w:tcW w:w="1040" w:type="dxa"/>
            <w:vAlign w:val="bottom"/>
          </w:tcPr>
          <w:p>
            <w:pPr>
              <w:jc w:val="right"/>
              <w:spacing w:after="0"/>
              <w:rPr>
                <w:sz w:val="20"/>
                <w:szCs w:val="20"/>
                <w:color w:val="auto"/>
              </w:rPr>
            </w:pPr>
            <w:r>
              <w:rPr>
                <w:rFonts w:ascii="Arial" w:cs="Arial" w:eastAsia="Arial" w:hAnsi="Arial"/>
                <w:sz w:val="14"/>
                <w:szCs w:val="14"/>
                <w:color w:val="auto"/>
              </w:rPr>
              <w:t>3.02 %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70,833</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557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92"/>
        </w:trPr>
        <w:tc>
          <w:tcPr>
            <w:tcW w:w="3340" w:type="dxa"/>
            <w:vAlign w:val="bottom"/>
          </w:tcPr>
          <w:p>
            <w:pPr>
              <w:ind w:left="180"/>
              <w:spacing w:after="0"/>
              <w:rPr>
                <w:sz w:val="20"/>
                <w:szCs w:val="20"/>
                <w:color w:val="auto"/>
              </w:rPr>
            </w:pPr>
            <w:r>
              <w:rPr>
                <w:rFonts w:ascii="Arial" w:cs="Arial" w:eastAsia="Arial" w:hAnsi="Arial"/>
                <w:sz w:val="14"/>
                <w:szCs w:val="14"/>
                <w:color w:val="auto"/>
              </w:rPr>
              <w:t>Total interest-bearing liabilities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1,079,243</w:t>
            </w:r>
          </w:p>
        </w:tc>
        <w:tc>
          <w:tcPr>
            <w:tcW w:w="2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19,575</w:t>
            </w:r>
          </w:p>
        </w:tc>
        <w:tc>
          <w:tcPr>
            <w:tcW w:w="1040" w:type="dxa"/>
            <w:vAlign w:val="bottom"/>
          </w:tcPr>
          <w:p>
            <w:pPr>
              <w:jc w:val="right"/>
              <w:spacing w:after="0"/>
              <w:rPr>
                <w:sz w:val="20"/>
                <w:szCs w:val="20"/>
                <w:color w:val="auto"/>
              </w:rPr>
            </w:pPr>
            <w:r>
              <w:rPr>
                <w:rFonts w:ascii="Arial" w:cs="Arial" w:eastAsia="Arial" w:hAnsi="Arial"/>
                <w:sz w:val="14"/>
                <w:szCs w:val="14"/>
                <w:color w:val="auto"/>
              </w:rPr>
              <w:t>2.42 %</w:t>
            </w: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1,018,564</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5,847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0.77 %</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Noninterest-bearing liabilities:</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Demand deposits</w:t>
            </w:r>
          </w:p>
        </w:tc>
        <w:tc>
          <w:tcPr>
            <w:tcW w:w="60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174,143</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194,220</w:t>
            </w:r>
          </w:p>
        </w:tc>
        <w:tc>
          <w:tcPr>
            <w:tcW w:w="20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00"/>
              <w:spacing w:after="0"/>
              <w:rPr>
                <w:sz w:val="20"/>
                <w:szCs w:val="20"/>
                <w:color w:val="auto"/>
              </w:rPr>
            </w:pPr>
            <w:r>
              <w:rPr>
                <w:rFonts w:ascii="Arial" w:cs="Arial" w:eastAsia="Arial" w:hAnsi="Arial"/>
                <w:sz w:val="14"/>
                <w:szCs w:val="14"/>
                <w:color w:val="auto"/>
              </w:rPr>
              <w:t>Other liabilities</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16,100</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11,808</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liabilities</w:t>
            </w:r>
          </w:p>
        </w:tc>
        <w:tc>
          <w:tcPr>
            <w:tcW w:w="6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1,269,486</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1,224,592</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6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114,342</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110,023</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color w:val="auto"/>
              </w:rPr>
              <w:t>Total liabilities &amp; shareholders' equity</w:t>
            </w: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1,383,828</w:t>
            </w: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1,334,615</w:t>
            </w: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34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29,760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30,224</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20"/>
              <w:spacing w:after="0"/>
              <w:rPr>
                <w:sz w:val="20"/>
                <w:szCs w:val="20"/>
                <w:color w:val="auto"/>
              </w:rPr>
            </w:pPr>
            <w:r>
              <w:rPr>
                <w:rFonts w:ascii="Arial" w:cs="Arial" w:eastAsia="Arial" w:hAnsi="Arial"/>
                <w:sz w:val="14"/>
                <w:szCs w:val="14"/>
                <w:color w:val="auto"/>
              </w:rPr>
              <w:t>Net interest rate spread</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2.58 %</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3.02 %</w:t>
            </w:r>
          </w:p>
        </w:tc>
        <w:tc>
          <w:tcPr>
            <w:tcW w:w="0" w:type="dxa"/>
            <w:vAlign w:val="bottom"/>
          </w:tcPr>
          <w:p>
            <w:pPr>
              <w:spacing w:after="0"/>
              <w:rPr>
                <w:sz w:val="1"/>
                <w:szCs w:val="1"/>
                <w:color w:val="auto"/>
              </w:rPr>
            </w:pPr>
          </w:p>
        </w:tc>
      </w:tr>
      <w:tr>
        <w:trPr>
          <w:trHeight w:val="192"/>
        </w:trPr>
        <w:tc>
          <w:tcPr>
            <w:tcW w:w="3340" w:type="dxa"/>
            <w:vAlign w:val="bottom"/>
          </w:tcPr>
          <w:p>
            <w:pPr>
              <w:ind w:left="20"/>
              <w:spacing w:after="0"/>
              <w:rPr>
                <w:sz w:val="20"/>
                <w:szCs w:val="20"/>
                <w:color w:val="auto"/>
              </w:rPr>
            </w:pPr>
            <w:r>
              <w:rPr>
                <w:rFonts w:ascii="Arial" w:cs="Arial" w:eastAsia="Arial" w:hAnsi="Arial"/>
                <w:sz w:val="14"/>
                <w:szCs w:val="14"/>
                <w:color w:val="auto"/>
              </w:rPr>
              <w:t>Net interest margin</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3.02 %</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3.18 %</w:t>
            </w:r>
          </w:p>
        </w:tc>
        <w:tc>
          <w:tcPr>
            <w:tcW w:w="0" w:type="dxa"/>
            <w:vAlign w:val="bottom"/>
          </w:tcPr>
          <w:p>
            <w:pPr>
              <w:spacing w:after="0"/>
              <w:rPr>
                <w:sz w:val="1"/>
                <w:szCs w:val="1"/>
                <w:color w:val="auto"/>
              </w:rPr>
            </w:pPr>
          </w:p>
        </w:tc>
      </w:tr>
      <w:tr>
        <w:trPr>
          <w:trHeight w:val="178"/>
        </w:trPr>
        <w:tc>
          <w:tcPr>
            <w:tcW w:w="3340" w:type="dxa"/>
            <w:vAlign w:val="bottom"/>
          </w:tcPr>
          <w:p>
            <w:pPr>
              <w:ind w:left="20"/>
              <w:spacing w:after="0"/>
              <w:rPr>
                <w:sz w:val="20"/>
                <w:szCs w:val="20"/>
                <w:color w:val="auto"/>
              </w:rPr>
            </w:pPr>
            <w:r>
              <w:rPr>
                <w:rFonts w:ascii="Arial" w:cs="Arial" w:eastAsia="Arial" w:hAnsi="Arial"/>
                <w:sz w:val="14"/>
                <w:szCs w:val="14"/>
                <w:color w:val="auto"/>
              </w:rPr>
              <w:t>Ratio of average interest-earning assets</w:t>
            </w: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140"/>
              <w:spacing w:after="0"/>
              <w:rPr>
                <w:sz w:val="20"/>
                <w:szCs w:val="20"/>
                <w:color w:val="auto"/>
              </w:rPr>
            </w:pPr>
            <w:r>
              <w:rPr>
                <w:rFonts w:ascii="Arial" w:cs="Arial" w:eastAsia="Arial" w:hAnsi="Arial"/>
                <w:sz w:val="14"/>
                <w:szCs w:val="14"/>
                <w:color w:val="auto"/>
              </w:rPr>
              <w:t>to average interest-bearing liabilities</w:t>
            </w: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121.88 %</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124.61 %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-3890645</wp:posOffset>
            </wp:positionV>
            <wp:extent cx="6707505" cy="167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-3601085</wp:posOffset>
            </wp:positionV>
            <wp:extent cx="6707505" cy="121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-3356610</wp:posOffset>
            </wp:positionV>
            <wp:extent cx="6707505" cy="121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-2251710</wp:posOffset>
            </wp:positionV>
            <wp:extent cx="6707505" cy="121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-2007870</wp:posOffset>
            </wp:positionV>
            <wp:extent cx="6707505" cy="121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-1764030</wp:posOffset>
            </wp:positionV>
            <wp:extent cx="6707505" cy="121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-1520190</wp:posOffset>
            </wp:positionV>
            <wp:extent cx="6707505" cy="121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-467995</wp:posOffset>
            </wp:positionV>
            <wp:extent cx="6707505" cy="121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6707505" cy="228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19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third quarter of 2023, net interest income, before provision for credit losses, for the Company decreased by $720,000 or 6.7%, to $10.1 million compared to $10.8 million for the same quarter in 2022. This decrease was due principally to a 183 basis points increase on the average cost of interest-bearing liabilities, partially offset by an increase of 126 basis points in the average yield of interest-earning assets. Net interest income was positively impacted by an increase in the average balance of interest -earning assets of $14.4 million, or 1.1%. The positive effect of this increase on the average balance of interest- earning assets was offset by an increase of $28.9 million, or 2.8%, in average interest-bearing liabilities. In total, net interest margin decreased 25 basis points to 3.07% for the three months ended September 30, 2023 as compared to the same prior year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increased by $4.3 million, or 32.0%, to $17.7 million for the three months ended September 30, 2023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compared to $13.4 million for the same three month period in 2022. The increase in interest and dividend income between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comparable quarters was a result of a $2.6 million increase in loan interest income, and a $1.6 million increase in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derived from investment securities. The positive effect on interest income was the result of a 107 basis points increase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loan yield, accompanied by a $15.8 million increase in the average outstanding balance of loans and a 168 basis points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the average yield on investment securities, accompanied by a $2.4 million increase in the average outstanding balance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investment securities. The increase in the average yield received on interest-earning assets in the third quarter of 2023,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quarter in 2022, reflects generally increased rates of interest for newly funded loans and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as compared to the average yields within these portfolios, as well as increases in coupon rates for certain adjustable-rate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and securities in the rising interest rate environment that has occurred in 2022 and 2023. These increases in the average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loans during 2023 were partially offset by reduced fee recognition related to PPP loans. PPP fee recognition revenues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for the three months ended September 30, 2023, as compared to $144,000 for the same three month period of the previous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21" w:right="620"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8"/>
          <w:szCs w:val="18"/>
          <w:color w:val="auto"/>
        </w:rPr>
        <w:t>Interest expense for the three months ended September 30, 2023 increased by $5.0 million to $7.6 million when compared to the same prior year period due primarily to an increase in interest expense on time deposits and the Company's short-term and long-term borrowings. Interest expense increased due to a 183 basis points increase in the average rates paid on interest- bearing liabilities between the two periods, accompanied by an increase in the average outstanding balance of those liabilities of $28.9 million. The increase in the quarterly interest expense was primarily a result of the increase in cost of deposits resulting from the rapidly rising interest rate environment and increased competition. The deposit mix included a $53.7 million increase in average time deposit balances, an increase of $32.5 million in the Company's average borrowings, partially offset by a decrease of $3.8 million in the average balance of all other types of interest-bearing deposits.</w:t>
      </w:r>
    </w:p>
    <w:p>
      <w:pPr>
        <w:spacing w:after="0" w:line="1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nine month period ended September 30, 2023, net interest income before provision for credit losses slightly decreased by $464,000, or 1.5%, to $29.8 million compared to the same nine month period in 2022. This downtrend was primarily attributable to the increase in interest expense of $ 19.6 million, marking a 235% increase from the corresponding period in 2022. These increases were the result of general increases in short-term rates that have occurred in persistent upward increments since the first quarter of 2022.</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interest and dividend income increased to $49.3 million, a 36.8%, or $13.3 million increase from $36.0 million during the same nine months in 2022. The average yield of interest earning assets increased 121 basis points primarily due to the rising interest rate environment. The change in interest and dividend income for the first nine months of 2023 was mainly from an increase in interest generated from loans totaling $34.9 million, up $ 7.4 million from $27.5 million in the same nine months of 2022. In addition to the increase in interest generated from loans in the nine month period ended September 30, 2023, there was a $5.7 million increase in interest earned on investment securities totaling $ 14.2 million, up from $8.5 million during the same period in 2022. The average balance of all interest-earning assets for the nine month period ended September 30, 2023 was $1.32 billion, an increase of $46.1 million from $1.27 billion, primarily due to loan growth, in the same nine month period in 2022.</w:t>
      </w:r>
    </w:p>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increase in interest and dividend income was offset by an increase of $13.7 million in interest expense on the Company's interest-bearing liabilities reaching $19.6 million in the nine month period ended September 30, 2023, up from $5.9 million in the same period in 2022. There was an increase in the average balance of the Company's interest-bearing liabilities in the first nine months of 2023 totaling $1.08 billion, up $60.7 million from the same nine month period in 2022. This upward change in interest-bearing liabilities was primarily due to an increase of $ 71.3 million in average time deposits and a $1.7 million increase in expense on the Company's average borrowings in the first nine months of 2023 compared to the same nine months in 2022. The increase in average time deposits for the nine month period ended September 30, 2023 compared to the same nine months in 2022 was partially offset by the decrease of all other average interest-bearing deposits of $39.0 million in the first nine months of 2023. The 165 basis points increase in the Company's average cost of interest-bearing liabilities for the nine month period ended September 30, 2023 exemplified the effect rising interest rates have on this competitive deposit market.</w:t>
      </w:r>
    </w:p>
    <w:p>
      <w:pPr>
        <w:spacing w:after="0" w:line="19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resultant net interest margin for the first nine months of 2023 was 3.02%, a 16 basis points decrease compared to a net interest margin of 3.18% in the first nine months of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Rate/Volume Analysis</w:t>
      </w:r>
    </w:p>
    <w:p>
      <w:pPr>
        <w:spacing w:after="0" w:line="18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03" w:right="680" w:bottom="1440" w:gutter="0" w:footer="0" w:header="0"/>
        </w:sectPr>
      </w:pPr>
    </w:p>
    <w:bookmarkStart w:id="57" w:name="page58"/>
    <w:bookmarkEnd w:id="57"/>
    <w:p>
      <w:pPr>
        <w:ind w:right="560"/>
        <w:spacing w:after="0" w:line="275" w:lineRule="auto"/>
        <w:rPr>
          <w:sz w:val="20"/>
          <w:szCs w:val="20"/>
          <w:color w:val="auto"/>
        </w:rPr>
      </w:pPr>
      <w:r>
        <w:rPr>
          <w:rFonts w:ascii="Arial" w:cs="Arial" w:eastAsia="Arial" w:hAnsi="Arial"/>
          <w:sz w:val="18"/>
          <w:szCs w:val="18"/>
          <w:color w:val="auto"/>
        </w:rPr>
        <w:t>or decrease. Changes attributable to both rate and volume have been allocated ratably. Tax-exempt securities have not been adjusted for tax equivalency.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180" w:type="dxa"/>
            <w:vAlign w:val="bottom"/>
            <w:gridSpan w:val="5"/>
          </w:tcPr>
          <w:p>
            <w:pPr>
              <w:jc w:val="center"/>
              <w:ind w:right="262"/>
              <w:spacing w:after="0"/>
              <w:rPr>
                <w:sz w:val="20"/>
                <w:szCs w:val="20"/>
                <w:color w:val="auto"/>
              </w:rPr>
            </w:pPr>
            <w:r>
              <w:rPr>
                <w:rFonts w:ascii="Arial" w:cs="Arial" w:eastAsia="Arial" w:hAnsi="Arial"/>
                <w:sz w:val="16"/>
                <w:szCs w:val="16"/>
                <w:b w:val="1"/>
                <w:bCs w:val="1"/>
                <w:color w:val="auto"/>
                <w:w w:val="97"/>
              </w:rPr>
              <w:t>Three months ended September 30,</w:t>
            </w:r>
          </w:p>
        </w:tc>
        <w:tc>
          <w:tcPr>
            <w:tcW w:w="260" w:type="dxa"/>
            <w:vAlign w:val="bottom"/>
          </w:tcPr>
          <w:p>
            <w:pPr>
              <w:spacing w:after="0"/>
              <w:rPr>
                <w:sz w:val="17"/>
                <w:szCs w:val="17"/>
                <w:color w:val="auto"/>
              </w:rPr>
            </w:pPr>
          </w:p>
        </w:tc>
        <w:tc>
          <w:tcPr>
            <w:tcW w:w="2960" w:type="dxa"/>
            <w:vAlign w:val="bottom"/>
            <w:gridSpan w:val="5"/>
          </w:tcPr>
          <w:p>
            <w:pPr>
              <w:jc w:val="center"/>
              <w:ind w:right="162"/>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04"/>
        </w:trPr>
        <w:tc>
          <w:tcPr>
            <w:tcW w:w="3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2023 vs. 2022</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642"/>
              <w:spacing w:after="0"/>
              <w:rPr>
                <w:sz w:val="20"/>
                <w:szCs w:val="20"/>
                <w:color w:val="auto"/>
              </w:rPr>
            </w:pPr>
            <w:r>
              <w:rPr>
                <w:rFonts w:ascii="Arial" w:cs="Arial" w:eastAsia="Arial" w:hAnsi="Arial"/>
                <w:sz w:val="16"/>
                <w:szCs w:val="16"/>
                <w:b w:val="1"/>
                <w:bCs w:val="1"/>
                <w:color w:val="auto"/>
                <w:w w:val="97"/>
              </w:rPr>
              <w:t>2023 vs. 2022</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3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180" w:type="dxa"/>
            <w:vAlign w:val="bottom"/>
            <w:gridSpan w:val="5"/>
          </w:tcPr>
          <w:p>
            <w:pPr>
              <w:jc w:val="center"/>
              <w:ind w:right="262"/>
              <w:spacing w:after="0"/>
              <w:rPr>
                <w:sz w:val="20"/>
                <w:szCs w:val="20"/>
                <w:color w:val="auto"/>
              </w:rPr>
            </w:pPr>
            <w:r>
              <w:rPr>
                <w:rFonts w:ascii="Arial" w:cs="Arial" w:eastAsia="Arial" w:hAnsi="Arial"/>
                <w:sz w:val="16"/>
                <w:szCs w:val="16"/>
                <w:b w:val="1"/>
                <w:bCs w:val="1"/>
                <w:color w:val="auto"/>
                <w:w w:val="97"/>
              </w:rPr>
              <w:t>Increase/(Decrease) Due to</w:t>
            </w:r>
          </w:p>
        </w:tc>
        <w:tc>
          <w:tcPr>
            <w:tcW w:w="260" w:type="dxa"/>
            <w:vAlign w:val="bottom"/>
          </w:tcPr>
          <w:p>
            <w:pPr>
              <w:spacing w:after="0"/>
              <w:rPr>
                <w:sz w:val="17"/>
                <w:szCs w:val="17"/>
                <w:color w:val="auto"/>
              </w:rPr>
            </w:pPr>
          </w:p>
        </w:tc>
        <w:tc>
          <w:tcPr>
            <w:tcW w:w="2960" w:type="dxa"/>
            <w:vAlign w:val="bottom"/>
            <w:gridSpan w:val="5"/>
          </w:tcPr>
          <w:p>
            <w:pPr>
              <w:jc w:val="center"/>
              <w:ind w:right="162"/>
              <w:spacing w:after="0"/>
              <w:rPr>
                <w:sz w:val="20"/>
                <w:szCs w:val="20"/>
                <w:color w:val="auto"/>
              </w:rPr>
            </w:pPr>
            <w:r>
              <w:rPr>
                <w:rFonts w:ascii="Arial" w:cs="Arial" w:eastAsia="Arial" w:hAnsi="Arial"/>
                <w:sz w:val="16"/>
                <w:szCs w:val="16"/>
                <w:b w:val="1"/>
                <w:bCs w:val="1"/>
                <w:color w:val="auto"/>
                <w:w w:val="97"/>
              </w:rPr>
              <w:t>Increase/(Decrease) Due to</w:t>
            </w:r>
          </w:p>
        </w:tc>
      </w:tr>
      <w:tr>
        <w:trPr>
          <w:trHeight w:val="204"/>
        </w:trPr>
        <w:tc>
          <w:tcPr>
            <w:tcW w:w="3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rPr>
              <w:t>Total</w:t>
            </w:r>
          </w:p>
        </w:tc>
      </w:tr>
      <w:tr>
        <w:trPr>
          <w:trHeight w:val="204"/>
        </w:trPr>
        <w:tc>
          <w:tcPr>
            <w:tcW w:w="3200" w:type="dxa"/>
            <w:vAlign w:val="bottom"/>
          </w:tcPr>
          <w:p>
            <w:pPr>
              <w:ind w:left="60"/>
              <w:spacing w:after="0"/>
              <w:rPr>
                <w:sz w:val="20"/>
                <w:szCs w:val="20"/>
                <w:color w:val="auto"/>
              </w:rPr>
            </w:pPr>
            <w:r>
              <w:rPr>
                <w:rFonts w:ascii="Arial" w:cs="Arial" w:eastAsia="Arial" w:hAnsi="Arial"/>
                <w:sz w:val="16"/>
                <w:szCs w:val="16"/>
                <w:b w:val="1"/>
                <w:bCs w:val="1"/>
                <w:color w:val="auto"/>
              </w:rPr>
              <w:t>Unaudited</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b w:val="1"/>
                <w:bCs w:val="1"/>
                <w:color w:val="auto"/>
              </w:rPr>
              <w:t>Increase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w w:val="95"/>
              </w:rPr>
              <w:t>Increase</w:t>
            </w:r>
          </w:p>
        </w:tc>
      </w:tr>
      <w:tr>
        <w:trPr>
          <w:trHeight w:val="180"/>
        </w:trPr>
        <w:tc>
          <w:tcPr>
            <w:tcW w:w="3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gridSpan w:val="2"/>
          </w:tcPr>
          <w:p>
            <w:pPr>
              <w:ind w:left="120"/>
              <w:spacing w:after="0" w:line="180" w:lineRule="exact"/>
              <w:rPr>
                <w:sz w:val="20"/>
                <w:szCs w:val="20"/>
                <w:color w:val="auto"/>
              </w:rPr>
            </w:pPr>
            <w:r>
              <w:rPr>
                <w:rFonts w:ascii="Arial" w:cs="Arial" w:eastAsia="Arial" w:hAnsi="Arial"/>
                <w:sz w:val="16"/>
                <w:szCs w:val="16"/>
                <w:b w:val="1"/>
                <w:bCs w:val="1"/>
                <w:color w:val="auto"/>
              </w:rPr>
              <w:t>(Decrease</w:t>
            </w:r>
          </w:p>
        </w:tc>
      </w:tr>
      <w:tr>
        <w:trPr>
          <w:trHeight w:val="207"/>
        </w:trPr>
        <w:tc>
          <w:tcPr>
            <w:tcW w:w="32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Pr>
          <w:p>
            <w:pPr>
              <w:spacing w:after="0"/>
              <w:rPr>
                <w:sz w:val="18"/>
                <w:szCs w:val="18"/>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b w:val="1"/>
                <w:bCs w:val="1"/>
                <w:color w:val="auto"/>
              </w:rPr>
              <w:t>Volume</w:t>
            </w:r>
          </w:p>
        </w:tc>
        <w:tc>
          <w:tcPr>
            <w:tcW w:w="540" w:type="dxa"/>
            <w:vAlign w:val="bottom"/>
          </w:tcPr>
          <w:p>
            <w:pPr>
              <w:spacing w:after="0"/>
              <w:rPr>
                <w:sz w:val="18"/>
                <w:szCs w:val="18"/>
                <w:color w:val="auto"/>
              </w:rPr>
            </w:pPr>
          </w:p>
        </w:tc>
        <w:tc>
          <w:tcPr>
            <w:tcW w:w="640" w:type="dxa"/>
            <w:vAlign w:val="bottom"/>
          </w:tcPr>
          <w:p>
            <w:pPr>
              <w:jc w:val="right"/>
              <w:ind w:right="102"/>
              <w:spacing w:after="0"/>
              <w:rPr>
                <w:sz w:val="20"/>
                <w:szCs w:val="20"/>
                <w:color w:val="auto"/>
              </w:rPr>
            </w:pPr>
            <w:r>
              <w:rPr>
                <w:rFonts w:ascii="Arial" w:cs="Arial" w:eastAsia="Arial" w:hAnsi="Arial"/>
                <w:sz w:val="16"/>
                <w:szCs w:val="16"/>
                <w:b w:val="1"/>
                <w:bCs w:val="1"/>
                <w:color w:val="auto"/>
              </w:rPr>
              <w:t>Rate</w:t>
            </w:r>
          </w:p>
        </w:tc>
        <w:tc>
          <w:tcPr>
            <w:tcW w:w="116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(Decrease)</w:t>
            </w:r>
          </w:p>
        </w:tc>
        <w:tc>
          <w:tcPr>
            <w:tcW w:w="2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b w:val="1"/>
                <w:bCs w:val="1"/>
                <w:color w:val="auto"/>
              </w:rPr>
              <w:t>Volume</w:t>
            </w:r>
          </w:p>
        </w:tc>
        <w:tc>
          <w:tcPr>
            <w:tcW w:w="280" w:type="dxa"/>
            <w:vAlign w:val="bottom"/>
          </w:tcPr>
          <w:p>
            <w:pPr>
              <w:spacing w:after="0"/>
              <w:rPr>
                <w:sz w:val="18"/>
                <w:szCs w:val="18"/>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b w:val="1"/>
                <w:bCs w:val="1"/>
                <w:color w:val="auto"/>
              </w:rPr>
              <w:t>Rate</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r>
      <w:tr>
        <w:trPr>
          <w:trHeight w:val="204"/>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Interest Income:</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Loans</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181</w:t>
            </w:r>
          </w:p>
        </w:tc>
        <w:tc>
          <w:tcPr>
            <w:tcW w:w="5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2,394</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2,575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1,248</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6,110</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7,358</w:t>
            </w: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Taxable investment securities</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111</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1,409</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1,520</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551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4,348</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4,899</w:t>
            </w:r>
          </w:p>
        </w:tc>
      </w:tr>
      <w:tr>
        <w:trPr>
          <w:trHeight w:val="240"/>
        </w:trPr>
        <w:tc>
          <w:tcPr>
            <w:tcW w:w="3200" w:type="dxa"/>
            <w:vAlign w:val="bottom"/>
          </w:tcPr>
          <w:p>
            <w:pPr>
              <w:ind w:left="100"/>
              <w:spacing w:after="0"/>
              <w:rPr>
                <w:sz w:val="20"/>
                <w:szCs w:val="20"/>
                <w:color w:val="auto"/>
              </w:rPr>
            </w:pPr>
            <w:r>
              <w:rPr>
                <w:rFonts w:ascii="Arial" w:cs="Arial" w:eastAsia="Arial" w:hAnsi="Arial"/>
                <w:sz w:val="16"/>
                <w:szCs w:val="16"/>
                <w:color w:val="auto"/>
              </w:rPr>
              <w:t>Tax-exempt investment securities</w:t>
            </w:r>
          </w:p>
        </w:tc>
        <w:tc>
          <w:tcPr>
            <w:tcW w:w="960" w:type="dxa"/>
            <w:vAlign w:val="bottom"/>
          </w:tcPr>
          <w:p>
            <w:pPr>
              <w:spacing w:after="0"/>
              <w:rPr>
                <w:sz w:val="20"/>
                <w:szCs w:val="20"/>
                <w:color w:val="auto"/>
              </w:rPr>
            </w:pPr>
          </w:p>
        </w:tc>
        <w:tc>
          <w:tcPr>
            <w:tcW w:w="840" w:type="dxa"/>
            <w:vAlign w:val="bottom"/>
          </w:tcPr>
          <w:p>
            <w:pPr>
              <w:jc w:val="right"/>
              <w:spacing w:after="0" w:line="240" w:lineRule="exact"/>
              <w:rPr>
                <w:sz w:val="20"/>
                <w:szCs w:val="20"/>
                <w:color w:val="auto"/>
              </w:rPr>
            </w:pPr>
            <w:r>
              <w:rPr>
                <w:rFonts w:ascii="Arial" w:cs="Arial" w:eastAsia="Arial" w:hAnsi="Arial"/>
                <w:sz w:val="14"/>
                <w:szCs w:val="14"/>
                <w:color w:val="auto"/>
              </w:rPr>
              <w:t xml:space="preserve">(731 </w:t>
            </w:r>
            <w:r>
              <w:rPr>
                <w:rFonts w:ascii="Arial" w:cs="Arial" w:eastAsia="Arial" w:hAnsi="Arial"/>
                <w:sz w:val="27"/>
                <w:szCs w:val="27"/>
                <w:color w:val="auto"/>
                <w:vertAlign w:val="superscript"/>
              </w:rPr>
              <w:t>)</w:t>
            </w:r>
          </w:p>
        </w:tc>
        <w:tc>
          <w:tcPr>
            <w:tcW w:w="540" w:type="dxa"/>
            <w:vAlign w:val="bottom"/>
          </w:tcPr>
          <w:p>
            <w:pPr>
              <w:spacing w:after="0"/>
              <w:rPr>
                <w:sz w:val="20"/>
                <w:szCs w:val="20"/>
                <w:color w:val="auto"/>
              </w:rPr>
            </w:pPr>
          </w:p>
        </w:tc>
        <w:tc>
          <w:tcPr>
            <w:tcW w:w="640" w:type="dxa"/>
            <w:vAlign w:val="bottom"/>
          </w:tcPr>
          <w:p>
            <w:pPr>
              <w:jc w:val="right"/>
              <w:ind w:right="102"/>
              <w:spacing w:after="0"/>
              <w:rPr>
                <w:sz w:val="20"/>
                <w:szCs w:val="20"/>
                <w:color w:val="auto"/>
              </w:rPr>
            </w:pPr>
            <w:r>
              <w:rPr>
                <w:rFonts w:ascii="Arial" w:cs="Arial" w:eastAsia="Arial" w:hAnsi="Arial"/>
                <w:sz w:val="16"/>
                <w:szCs w:val="16"/>
                <w:color w:val="auto"/>
              </w:rPr>
              <w:t>887</w:t>
            </w:r>
          </w:p>
        </w:tc>
        <w:tc>
          <w:tcPr>
            <w:tcW w:w="280" w:type="dxa"/>
            <w:vAlign w:val="bottom"/>
          </w:tcPr>
          <w:p>
            <w:pPr>
              <w:spacing w:after="0"/>
              <w:rPr>
                <w:sz w:val="20"/>
                <w:szCs w:val="20"/>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156</w:t>
            </w:r>
          </w:p>
        </w:tc>
        <w:tc>
          <w:tcPr>
            <w:tcW w:w="260" w:type="dxa"/>
            <w:vAlign w:val="bottom"/>
          </w:tcPr>
          <w:p>
            <w:pPr>
              <w:spacing w:after="0"/>
              <w:rPr>
                <w:sz w:val="20"/>
                <w:szCs w:val="20"/>
                <w:color w:val="auto"/>
              </w:rPr>
            </w:pPr>
          </w:p>
        </w:tc>
        <w:tc>
          <w:tcPr>
            <w:tcW w:w="960" w:type="dxa"/>
            <w:vAlign w:val="bottom"/>
          </w:tcPr>
          <w:p>
            <w:pPr>
              <w:jc w:val="right"/>
              <w:ind w:right="22"/>
              <w:spacing w:after="0" w:line="240" w:lineRule="exact"/>
              <w:rPr>
                <w:sz w:val="20"/>
                <w:szCs w:val="20"/>
                <w:color w:val="auto"/>
              </w:rPr>
            </w:pPr>
            <w:r>
              <w:rPr>
                <w:rFonts w:ascii="Arial" w:cs="Arial" w:eastAsia="Arial" w:hAnsi="Arial"/>
                <w:sz w:val="14"/>
                <w:szCs w:val="14"/>
                <w:color w:val="auto"/>
              </w:rPr>
              <w:t xml:space="preserve">(188 </w:t>
            </w:r>
            <w:r>
              <w:rPr>
                <w:rFonts w:ascii="Arial" w:cs="Arial" w:eastAsia="Arial" w:hAnsi="Arial"/>
                <w:sz w:val="27"/>
                <w:szCs w:val="27"/>
                <w:color w:val="auto"/>
                <w:vertAlign w:val="superscript"/>
              </w:rPr>
              <w:t>)</w:t>
            </w:r>
          </w:p>
        </w:tc>
        <w:tc>
          <w:tcPr>
            <w:tcW w:w="280" w:type="dxa"/>
            <w:vAlign w:val="bottom"/>
          </w:tcPr>
          <w:p>
            <w:pPr>
              <w:spacing w:after="0"/>
              <w:rPr>
                <w:sz w:val="20"/>
                <w:szCs w:val="20"/>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1,017</w:t>
            </w:r>
          </w:p>
        </w:tc>
        <w:tc>
          <w:tcPr>
            <w:tcW w:w="220" w:type="dxa"/>
            <w:vAlign w:val="bottom"/>
          </w:tcPr>
          <w:p>
            <w:pPr>
              <w:spacing w:after="0"/>
              <w:rPr>
                <w:sz w:val="20"/>
                <w:szCs w:val="20"/>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829</w:t>
            </w:r>
          </w:p>
        </w:tc>
      </w:tr>
      <w:tr>
        <w:trPr>
          <w:trHeight w:val="204"/>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Interest-earning deposits</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37</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(40 )</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218</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178</w:t>
            </w:r>
          </w:p>
        </w:tc>
      </w:tr>
      <w:tr>
        <w:trPr>
          <w:trHeight w:val="203"/>
        </w:trPr>
        <w:tc>
          <w:tcPr>
            <w:tcW w:w="3200" w:type="dxa"/>
            <w:vAlign w:val="bottom"/>
          </w:tcPr>
          <w:p>
            <w:pPr>
              <w:ind w:left="180"/>
              <w:spacing w:after="0"/>
              <w:rPr>
                <w:sz w:val="20"/>
                <w:szCs w:val="20"/>
                <w:color w:val="auto"/>
              </w:rPr>
            </w:pPr>
            <w:r>
              <w:rPr>
                <w:rFonts w:ascii="Arial" w:cs="Arial" w:eastAsia="Arial" w:hAnsi="Arial"/>
                <w:sz w:val="16"/>
                <w:szCs w:val="16"/>
                <w:color w:val="auto"/>
              </w:rPr>
              <w:t>Total interest income</w:t>
            </w:r>
          </w:p>
        </w:tc>
        <w:tc>
          <w:tcPr>
            <w:tcW w:w="9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(436 )</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4,724</w:t>
            </w: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4,288</w:t>
            </w:r>
          </w:p>
        </w:tc>
        <w:tc>
          <w:tcPr>
            <w:tcW w:w="26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1,571</w:t>
            </w:r>
          </w:p>
        </w:tc>
        <w:tc>
          <w:tcPr>
            <w:tcW w:w="280" w:type="dxa"/>
            <w:vAlign w:val="bottom"/>
          </w:tcPr>
          <w:p>
            <w:pPr>
              <w:spacing w:after="0"/>
              <w:rPr>
                <w:sz w:val="17"/>
                <w:szCs w:val="17"/>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11,693</w:t>
            </w: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13,264</w:t>
            </w:r>
          </w:p>
        </w:tc>
      </w:tr>
      <w:tr>
        <w:trPr>
          <w:trHeight w:val="205"/>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Interest Expense:</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9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(57 )</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96</w:t>
            </w: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(39 )</w:t>
            </w:r>
          </w:p>
        </w:tc>
        <w:tc>
          <w:tcPr>
            <w:tcW w:w="280" w:type="dxa"/>
            <w:vAlign w:val="bottom"/>
          </w:tcPr>
          <w:p>
            <w:pPr>
              <w:spacing w:after="0"/>
              <w:rPr>
                <w:sz w:val="17"/>
                <w:szCs w:val="17"/>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81</w:t>
            </w: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management accounts</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(2 )</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MMDA accounts</w:t>
            </w:r>
          </w:p>
        </w:tc>
        <w:tc>
          <w:tcPr>
            <w:tcW w:w="9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(317 )</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1,532</w:t>
            </w: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1,215</w:t>
            </w:r>
          </w:p>
        </w:tc>
        <w:tc>
          <w:tcPr>
            <w:tcW w:w="2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(95 )</w:t>
            </w:r>
          </w:p>
        </w:tc>
        <w:tc>
          <w:tcPr>
            <w:tcW w:w="280" w:type="dxa"/>
            <w:vAlign w:val="bottom"/>
          </w:tcPr>
          <w:p>
            <w:pPr>
              <w:spacing w:after="0"/>
              <w:rPr>
                <w:sz w:val="17"/>
                <w:szCs w:val="17"/>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3,649</w:t>
            </w: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3,554</w:t>
            </w: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Savings and club accounts</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(22 )</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49</w:t>
            </w: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9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182</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2,864</w:t>
            </w: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3,046</w:t>
            </w:r>
          </w:p>
        </w:tc>
        <w:tc>
          <w:tcPr>
            <w:tcW w:w="26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544</w:t>
            </w:r>
          </w:p>
        </w:tc>
        <w:tc>
          <w:tcPr>
            <w:tcW w:w="280" w:type="dxa"/>
            <w:vAlign w:val="bottom"/>
          </w:tcPr>
          <w:p>
            <w:pPr>
              <w:spacing w:after="0"/>
              <w:rPr>
                <w:sz w:val="17"/>
                <w:szCs w:val="17"/>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7,651</w:t>
            </w: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8,195</w:t>
            </w: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Subordinated debt</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155</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163</w:t>
            </w: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Borrowings</w:t>
            </w:r>
          </w:p>
        </w:tc>
        <w:tc>
          <w:tcPr>
            <w:tcW w:w="9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140</w:t>
            </w:r>
          </w:p>
        </w:tc>
        <w:tc>
          <w:tcPr>
            <w:tcW w:w="540" w:type="dxa"/>
            <w:vAlign w:val="bottom"/>
          </w:tcPr>
          <w:p>
            <w:pPr>
              <w:spacing w:after="0"/>
              <w:rPr>
                <w:sz w:val="17"/>
                <w:szCs w:val="17"/>
                <w:color w:val="auto"/>
              </w:rPr>
            </w:pPr>
          </w:p>
        </w:tc>
        <w:tc>
          <w:tcPr>
            <w:tcW w:w="640" w:type="dxa"/>
            <w:vAlign w:val="bottom"/>
          </w:tcPr>
          <w:p>
            <w:pPr>
              <w:jc w:val="right"/>
              <w:ind w:right="102"/>
              <w:spacing w:after="0"/>
              <w:rPr>
                <w:sz w:val="20"/>
                <w:szCs w:val="20"/>
                <w:color w:val="auto"/>
              </w:rPr>
            </w:pPr>
            <w:r>
              <w:rPr>
                <w:rFonts w:ascii="Arial" w:cs="Arial" w:eastAsia="Arial" w:hAnsi="Arial"/>
                <w:sz w:val="16"/>
                <w:szCs w:val="16"/>
                <w:color w:val="auto"/>
              </w:rPr>
              <w:t>502</w:t>
            </w:r>
          </w:p>
        </w:tc>
        <w:tc>
          <w:tcPr>
            <w:tcW w:w="28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642</w:t>
            </w:r>
          </w:p>
        </w:tc>
        <w:tc>
          <w:tcPr>
            <w:tcW w:w="26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295</w:t>
            </w:r>
          </w:p>
        </w:tc>
        <w:tc>
          <w:tcPr>
            <w:tcW w:w="280" w:type="dxa"/>
            <w:vAlign w:val="bottom"/>
          </w:tcPr>
          <w:p>
            <w:pPr>
              <w:spacing w:after="0"/>
              <w:rPr>
                <w:sz w:val="17"/>
                <w:szCs w:val="17"/>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1,391</w:t>
            </w:r>
          </w:p>
        </w:tc>
        <w:tc>
          <w:tcPr>
            <w:tcW w:w="22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1,686</w:t>
            </w:r>
          </w:p>
        </w:tc>
      </w:tr>
      <w:tr>
        <w:trPr>
          <w:trHeight w:val="205"/>
        </w:trPr>
        <w:tc>
          <w:tcPr>
            <w:tcW w:w="3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interest expense</w:t>
            </w:r>
          </w:p>
        </w:tc>
        <w:tc>
          <w:tcPr>
            <w:tcW w:w="9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(92 )</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5,100</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5,008</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689</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13,039</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13,728</w:t>
            </w:r>
          </w:p>
        </w:tc>
      </w:tr>
      <w:tr>
        <w:trPr>
          <w:trHeight w:val="20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change in net interest income</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5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(376 )</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(720 )</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882</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(1,346 )</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(464 )</w:t>
            </w: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58</w:t>
            </w:r>
            <w:r>
              <w:rPr>
                <w:rFonts w:ascii="Arial" w:cs="Arial" w:eastAsia="Arial" w:hAnsi="Arial"/>
                <w:sz w:val="16"/>
                <w:szCs w:val="16"/>
                <w:color w:val="auto"/>
              </w:rPr>
              <w:t xml:space="preserve"> -</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6"/>
        </w:trPr>
        <w:tc>
          <w:tcPr>
            <w:tcW w:w="3200" w:type="dxa"/>
            <w:vAlign w:val="bottom"/>
            <w:tcBorders>
              <w:bottom w:val="single" w:sz="8" w:color="EEEEEE"/>
            </w:tcBorders>
          </w:tcPr>
          <w:p>
            <w:pPr>
              <w:spacing w:after="0"/>
              <w:rPr>
                <w:sz w:val="7"/>
                <w:szCs w:val="7"/>
                <w:color w:val="auto"/>
              </w:rPr>
            </w:pPr>
          </w:p>
        </w:tc>
        <w:tc>
          <w:tcPr>
            <w:tcW w:w="96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64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96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Provision for Credit Losses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establish a provision for credit losses, which is charged to operations, at a level management believes is appropriate to absorb expected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2016 -13,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(Topic 326): Measurement of Credit Losses on Financial Instruments, </w:t>
      </w:r>
      <w:r>
        <w:rPr>
          <w:rFonts w:ascii="Arial" w:cs="Arial" w:eastAsia="Arial" w:hAnsi="Arial"/>
          <w:sz w:val="18"/>
          <w:szCs w:val="18"/>
          <w:color w:val="auto"/>
        </w:rPr>
        <w:t>requiring financial institutions,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the Bank, to adopt the Current Expected Credit Loss (“CECL”) methodology according to a specified implementation timeline. In order to meet this requirement, the Bank adopted the CECL methodology for calculating its Allowance for Credit Losses (“ACL”) on January 1, 2023. The amended guidance replaces the previously -required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 expected lives and also considers new items, such as open funding commitments, the initial ACL upon adoption would, in most cases, be expected to be greater than the ALLL that it replaced.</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recorded $833,000 in provision for credit losses for the three month period ended September 30, 2023, as compared to $710,000 for the three month period ended September 30, 2022. The provisioning in the third quarter of 2023 and 2022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The $88,000 increase in provision for credit losses in the third quarter of 2023, as compared to the same period in 2022, primarily reflected management's decision to downgrade certain loans within two specifically-identified commercial real estate and commercial loan credit relationships with an aggregate outstanding balance of $11.5 million.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There was an increase in the provision for credit losses in the first nine months of 2023 to $2.7 million, an increase of $1.8 million from the same nine months in 2022, which was $871,000. The Bank has two large credit relationships that are experiencing deterioration and are the primary impact of this provision, mitigating potential risk. The Lending Department, along with highly experienced specialists, are carefully managing these commercial relationships to the best possible outcome. We are currently working with the borrowers associated with these credit relationships on individual loan repayment plans and the liquidation of loan collateral, where appropriate.</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transition to CECL also required that new reserves be created in the amounts of $450,000 and $552,000, related to held -to-maturity investments and unfunded commitments, respectively. Including the $1.9 million CECL transition adjustment related to loans, described above, the total CECL transition adjustment was $2.9 million on January 1, 2023, which was charged to retained earnings on that date.</w:t>
      </w:r>
    </w:p>
    <w:p>
      <w:pPr>
        <w:spacing w:after="0" w:line="187" w:lineRule="exact"/>
        <w:rPr>
          <w:sz w:val="20"/>
          <w:szCs w:val="20"/>
          <w:color w:val="auto"/>
        </w:rPr>
      </w:pPr>
    </w:p>
    <w:p>
      <w:pPr>
        <w:ind w:right="680"/>
        <w:spacing w:after="0" w:line="271" w:lineRule="auto"/>
        <w:rPr>
          <w:sz w:val="20"/>
          <w:szCs w:val="20"/>
          <w:color w:val="auto"/>
        </w:rPr>
      </w:pPr>
      <w:r>
        <w:rPr>
          <w:rFonts w:ascii="Arial" w:cs="Arial" w:eastAsia="Arial" w:hAnsi="Arial"/>
          <w:sz w:val="17"/>
          <w:szCs w:val="17"/>
          <w:color w:val="auto"/>
        </w:rPr>
        <w:t>The total PCL for the three and nine months ended September 30, 2023 was $833,000 and $710,000, respectively, of which $798,000 and $710,000 related to the Company's loan portfolio for the three and nine months ended September 30, 2023,</w:t>
      </w: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73" w:right="700" w:bottom="1440" w:gutter="0" w:footer="0" w:header="0"/>
        </w:sectPr>
      </w:pPr>
    </w:p>
    <w:bookmarkStart w:id="59" w:name="page60"/>
    <w:bookmarkEnd w:id="59"/>
    <w:p>
      <w:pPr>
        <w:ind w:right="360"/>
        <w:spacing w:after="0" w:line="263" w:lineRule="auto"/>
        <w:rPr>
          <w:sz w:val="20"/>
          <w:szCs w:val="20"/>
          <w:color w:val="auto"/>
        </w:rPr>
      </w:pPr>
      <w:r>
        <w:rPr>
          <w:rFonts w:ascii="Arial" w:cs="Arial" w:eastAsia="Arial" w:hAnsi="Arial"/>
          <w:sz w:val="18"/>
          <w:szCs w:val="18"/>
          <w:color w:val="auto"/>
        </w:rPr>
        <w:t>respectively. The ACL related to loans was therefore $15.8 million at September 30, 2023. In addition, during the third quarter of 2023, the Company recorded modest PCL charges of $5,000 and $30,000 for reserves related to held-to-maturity securities and unfunded commitments, respectively.</w:t>
      </w:r>
    </w:p>
    <w:p>
      <w:pPr>
        <w:spacing w:after="0" w:line="13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measures delinquency based on the amount of past due loans as a percentage of total loans. The ratio of delinquent loans to total loans increased to 3.2% at September 30, 2023 as compared to 2.9% at December 31, 2022. Delinquent loans (numerator) increased $ 2.7 million while total loan balances (denominator) decreased $ 2.3 million at September 30, 2023, as compared to December 31, 2022. The increase in past due loans was driven by a $7.3 million increase in loans delinquent 90 days and over past due at September 30, 2023, offset by a decrease of $ 4.6 million in loans delinquent 30-59 days, and a decrease of $68,000 in loans delinquent 60-89 days, offset by a as compared to December 31, 2022. The increase of $2.7 million primarily consisted of increases in commercial real estate, commercial lines of credit and commercial loans.</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September 30, 2023, there were $28.7 million in loans past due including $8.5 million in loans 30-59 days past due, $4.1 million in loans 60-89 days past due and $16.1 million in loans 90 or more days past due. At December 31, 2022, there were $26.0 million in loans past due including $13.0 million in loans 30-59 days past due, $4.3 million in loans 60-89 days past due and $8.7 million in loans 90 or more days past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18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on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For the three months ended</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gridSpan w:val="4"/>
          </w:tcPr>
          <w:p>
            <w:pPr>
              <w:jc w:val="right"/>
              <w:ind w:right="268"/>
              <w:spacing w:after="0"/>
              <w:rPr>
                <w:sz w:val="20"/>
                <w:szCs w:val="20"/>
                <w:color w:val="auto"/>
              </w:rPr>
            </w:pPr>
            <w:r>
              <w:rPr>
                <w:rFonts w:ascii="Arial" w:cs="Arial" w:eastAsia="Arial" w:hAnsi="Arial"/>
                <w:sz w:val="14"/>
                <w:szCs w:val="14"/>
                <w:color w:val="auto"/>
              </w:rPr>
              <w:t>For the nine months ended</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Septemb</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Septembe</w:t>
            </w:r>
          </w:p>
        </w:tc>
        <w:tc>
          <w:tcPr>
            <w:tcW w:w="920" w:type="dxa"/>
            <w:vAlign w:val="bottom"/>
            <w:gridSpan w:val="2"/>
          </w:tcPr>
          <w:p>
            <w:pPr>
              <w:jc w:val="right"/>
              <w:ind w:right="88"/>
              <w:spacing w:after="0"/>
              <w:rPr>
                <w:sz w:val="20"/>
                <w:szCs w:val="20"/>
                <w:color w:val="auto"/>
              </w:rPr>
            </w:pPr>
            <w:r>
              <w:rPr>
                <w:rFonts w:ascii="Arial" w:cs="Arial" w:eastAsia="Arial" w:hAnsi="Arial"/>
                <w:sz w:val="14"/>
                <w:szCs w:val="14"/>
                <w:color w:val="auto"/>
              </w:rPr>
              <w:t>Septembe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Septembe</w:t>
            </w:r>
          </w:p>
        </w:tc>
        <w:tc>
          <w:tcPr>
            <w:tcW w:w="3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er 30,</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20" w:type="dxa"/>
            <w:vAlign w:val="bottom"/>
            <w:vMerge w:val="continue"/>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r 30, 2023</w:t>
            </w:r>
          </w:p>
        </w:tc>
        <w:tc>
          <w:tcPr>
            <w:tcW w:w="920" w:type="dxa"/>
            <w:vAlign w:val="bottom"/>
            <w:gridSpan w:val="2"/>
          </w:tcPr>
          <w:p>
            <w:pPr>
              <w:jc w:val="right"/>
              <w:ind w:right="88"/>
              <w:spacing w:after="0"/>
              <w:rPr>
                <w:sz w:val="20"/>
                <w:szCs w:val="20"/>
                <w:color w:val="auto"/>
              </w:rPr>
            </w:pPr>
            <w:r>
              <w:rPr>
                <w:rFonts w:ascii="Arial" w:cs="Arial" w:eastAsia="Arial" w:hAnsi="Arial"/>
                <w:sz w:val="14"/>
                <w:szCs w:val="14"/>
                <w:color w:val="auto"/>
              </w:rPr>
              <w:t>r 30, 2022</w:t>
            </w:r>
          </w:p>
        </w:tc>
        <w:tc>
          <w:tcPr>
            <w:tcW w:w="2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Change</w:t>
            </w:r>
          </w:p>
        </w:tc>
        <w:tc>
          <w:tcPr>
            <w:tcW w:w="7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r 30, 2023</w:t>
            </w:r>
          </w:p>
        </w:tc>
        <w:tc>
          <w:tcPr>
            <w:tcW w:w="32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Change</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Service charges on deposit accounts</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343</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334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9</w:t>
            </w:r>
          </w:p>
        </w:tc>
        <w:tc>
          <w:tcPr>
            <w:tcW w:w="700" w:type="dxa"/>
            <w:vAlign w:val="bottom"/>
          </w:tcPr>
          <w:p>
            <w:pPr>
              <w:jc w:val="right"/>
              <w:spacing w:after="0"/>
              <w:rPr>
                <w:sz w:val="20"/>
                <w:szCs w:val="20"/>
                <w:color w:val="auto"/>
              </w:rPr>
            </w:pPr>
            <w:r>
              <w:rPr>
                <w:rFonts w:ascii="Arial" w:cs="Arial" w:eastAsia="Arial" w:hAnsi="Arial"/>
                <w:sz w:val="14"/>
                <w:szCs w:val="14"/>
                <w:color w:val="auto"/>
              </w:rPr>
              <w:t>2.7 %</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876</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37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Earnings and gain on bank owned life insurance</w:t>
            </w:r>
          </w:p>
        </w:tc>
        <w:tc>
          <w:tcPr>
            <w:tcW w:w="2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165</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156</w:t>
            </w:r>
          </w:p>
        </w:tc>
        <w:tc>
          <w:tcPr>
            <w:tcW w:w="280" w:type="dxa"/>
            <w:vAlign w:val="bottom"/>
          </w:tcPr>
          <w:p>
            <w:pPr>
              <w:spacing w:after="0"/>
              <w:rPr>
                <w:sz w:val="16"/>
                <w:szCs w:val="16"/>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9</w:t>
            </w:r>
          </w:p>
        </w:tc>
        <w:tc>
          <w:tcPr>
            <w:tcW w:w="700" w:type="dxa"/>
            <w:vAlign w:val="bottom"/>
          </w:tcPr>
          <w:p>
            <w:pPr>
              <w:jc w:val="right"/>
              <w:spacing w:after="0"/>
              <w:rPr>
                <w:sz w:val="20"/>
                <w:szCs w:val="20"/>
                <w:color w:val="auto"/>
              </w:rPr>
            </w:pPr>
            <w:r>
              <w:rPr>
                <w:rFonts w:ascii="Arial" w:cs="Arial" w:eastAsia="Arial" w:hAnsi="Arial"/>
                <w:sz w:val="14"/>
                <w:szCs w:val="14"/>
                <w:color w:val="auto"/>
              </w:rPr>
              <w:t>5.8 %</w:t>
            </w:r>
          </w:p>
        </w:tc>
        <w:tc>
          <w:tcPr>
            <w:tcW w:w="2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441</w:t>
            </w:r>
          </w:p>
        </w:tc>
        <w:tc>
          <w:tcPr>
            <w:tcW w:w="260" w:type="dxa"/>
            <w:vAlign w:val="bottom"/>
          </w:tcPr>
          <w:p>
            <w:pPr>
              <w:spacing w:after="0"/>
              <w:rPr>
                <w:sz w:val="16"/>
                <w:szCs w:val="16"/>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25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Loan servicing fees</w:t>
            </w:r>
          </w:p>
        </w:tc>
        <w:tc>
          <w:tcPr>
            <w:tcW w:w="2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99</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6"/>
                <w:szCs w:val="16"/>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25</w:t>
            </w:r>
          </w:p>
        </w:tc>
        <w:tc>
          <w:tcPr>
            <w:tcW w:w="700" w:type="dxa"/>
            <w:vAlign w:val="bottom"/>
          </w:tcPr>
          <w:p>
            <w:pPr>
              <w:jc w:val="right"/>
              <w:spacing w:after="0"/>
              <w:rPr>
                <w:sz w:val="20"/>
                <w:szCs w:val="20"/>
                <w:color w:val="auto"/>
              </w:rPr>
            </w:pPr>
            <w:r>
              <w:rPr>
                <w:rFonts w:ascii="Arial" w:cs="Arial" w:eastAsia="Arial" w:hAnsi="Arial"/>
                <w:sz w:val="14"/>
                <w:szCs w:val="14"/>
                <w:color w:val="auto"/>
              </w:rPr>
              <w:t>33.8 %</w:t>
            </w:r>
          </w:p>
        </w:tc>
        <w:tc>
          <w:tcPr>
            <w:tcW w:w="2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26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(22 )</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Debit card interchange fees</w:t>
            </w:r>
          </w:p>
        </w:tc>
        <w:tc>
          <w:tcPr>
            <w:tcW w:w="2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180</w:t>
            </w:r>
          </w:p>
        </w:tc>
        <w:tc>
          <w:tcPr>
            <w:tcW w:w="280" w:type="dxa"/>
            <w:vAlign w:val="bottom"/>
          </w:tcPr>
          <w:p>
            <w:pPr>
              <w:spacing w:after="0"/>
              <w:rPr>
                <w:sz w:val="16"/>
                <w:szCs w:val="16"/>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(158 )</w:t>
            </w:r>
          </w:p>
        </w:tc>
        <w:tc>
          <w:tcPr>
            <w:tcW w:w="700" w:type="dxa"/>
            <w:vAlign w:val="bottom"/>
          </w:tcPr>
          <w:p>
            <w:pPr>
              <w:jc w:val="right"/>
              <w:spacing w:after="0"/>
              <w:rPr>
                <w:sz w:val="20"/>
                <w:szCs w:val="20"/>
                <w:color w:val="auto"/>
              </w:rPr>
            </w:pPr>
            <w:r>
              <w:rPr>
                <w:rFonts w:ascii="Arial" w:cs="Arial" w:eastAsia="Arial" w:hAnsi="Arial"/>
                <w:sz w:val="14"/>
                <w:szCs w:val="14"/>
                <w:color w:val="auto"/>
              </w:rPr>
              <w:t>-87.8 %</w:t>
            </w:r>
          </w:p>
        </w:tc>
        <w:tc>
          <w:tcPr>
            <w:tcW w:w="2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639</w:t>
            </w:r>
          </w:p>
        </w:tc>
        <w:tc>
          <w:tcPr>
            <w:tcW w:w="26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(184 )</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-28.8 %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Insurance agency revenue</w:t>
            </w:r>
          </w:p>
        </w:tc>
        <w:tc>
          <w:tcPr>
            <w:tcW w:w="2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258</w:t>
            </w:r>
          </w:p>
        </w:tc>
        <w:tc>
          <w:tcPr>
            <w:tcW w:w="280" w:type="dxa"/>
            <w:vAlign w:val="bottom"/>
          </w:tcPr>
          <w:p>
            <w:pPr>
              <w:spacing w:after="0"/>
              <w:rPr>
                <w:sz w:val="16"/>
                <w:szCs w:val="16"/>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52</w:t>
            </w:r>
          </w:p>
        </w:tc>
        <w:tc>
          <w:tcPr>
            <w:tcW w:w="700" w:type="dxa"/>
            <w:vAlign w:val="bottom"/>
          </w:tcPr>
          <w:p>
            <w:pPr>
              <w:jc w:val="right"/>
              <w:spacing w:after="0"/>
              <w:rPr>
                <w:sz w:val="20"/>
                <w:szCs w:val="20"/>
                <w:color w:val="auto"/>
              </w:rPr>
            </w:pPr>
            <w:r>
              <w:rPr>
                <w:rFonts w:ascii="Arial" w:cs="Arial" w:eastAsia="Arial" w:hAnsi="Arial"/>
                <w:sz w:val="14"/>
                <w:szCs w:val="14"/>
                <w:color w:val="auto"/>
              </w:rPr>
              <w:t>20.2 %</w:t>
            </w:r>
          </w:p>
        </w:tc>
        <w:tc>
          <w:tcPr>
            <w:tcW w:w="2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1,001</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849</w:t>
            </w:r>
          </w:p>
        </w:tc>
        <w:tc>
          <w:tcPr>
            <w:tcW w:w="260" w:type="dxa"/>
            <w:vAlign w:val="bottom"/>
          </w:tcPr>
          <w:p>
            <w:pPr>
              <w:spacing w:after="0"/>
              <w:rPr>
                <w:sz w:val="16"/>
                <w:szCs w:val="16"/>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152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Other charges, commissions and fees</w:t>
            </w:r>
          </w:p>
        </w:tc>
        <w:tc>
          <w:tcPr>
            <w:tcW w:w="2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280" w:type="dxa"/>
            <w:vAlign w:val="bottom"/>
          </w:tcPr>
          <w:p>
            <w:pPr>
              <w:spacing w:after="0"/>
              <w:rPr>
                <w:sz w:val="16"/>
                <w:szCs w:val="16"/>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(45 )</w:t>
            </w:r>
          </w:p>
        </w:tc>
        <w:tc>
          <w:tcPr>
            <w:tcW w:w="700" w:type="dxa"/>
            <w:vAlign w:val="bottom"/>
          </w:tcPr>
          <w:p>
            <w:pPr>
              <w:jc w:val="right"/>
              <w:spacing w:after="0"/>
              <w:rPr>
                <w:sz w:val="20"/>
                <w:szCs w:val="20"/>
                <w:color w:val="auto"/>
              </w:rPr>
            </w:pPr>
            <w:r>
              <w:rPr>
                <w:rFonts w:ascii="Arial" w:cs="Arial" w:eastAsia="Arial" w:hAnsi="Arial"/>
                <w:sz w:val="14"/>
                <w:szCs w:val="14"/>
                <w:color w:val="auto"/>
              </w:rPr>
              <w:t>-14.5 %</w:t>
            </w:r>
          </w:p>
        </w:tc>
        <w:tc>
          <w:tcPr>
            <w:tcW w:w="2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1,002</w:t>
            </w:r>
          </w:p>
        </w:tc>
        <w:tc>
          <w:tcPr>
            <w:tcW w:w="26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(238 )</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-23.8 %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Noninterest income before gains</w:t>
            </w:r>
          </w:p>
        </w:tc>
        <w:tc>
          <w:tcPr>
            <w:tcW w:w="2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1,204</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1,312</w:t>
            </w:r>
          </w:p>
        </w:tc>
        <w:tc>
          <w:tcPr>
            <w:tcW w:w="280" w:type="dxa"/>
            <w:vAlign w:val="bottom"/>
          </w:tcPr>
          <w:p>
            <w:pPr>
              <w:spacing w:after="0"/>
              <w:rPr>
                <w:sz w:val="16"/>
                <w:szCs w:val="16"/>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(108 )</w:t>
            </w:r>
          </w:p>
        </w:tc>
        <w:tc>
          <w:tcPr>
            <w:tcW w:w="700" w:type="dxa"/>
            <w:vAlign w:val="bottom"/>
          </w:tcPr>
          <w:p>
            <w:pPr>
              <w:jc w:val="right"/>
              <w:spacing w:after="0"/>
              <w:rPr>
                <w:sz w:val="20"/>
                <w:szCs w:val="20"/>
                <w:color w:val="auto"/>
              </w:rPr>
            </w:pPr>
            <w:r>
              <w:rPr>
                <w:rFonts w:ascii="Arial" w:cs="Arial" w:eastAsia="Arial" w:hAnsi="Arial"/>
                <w:sz w:val="14"/>
                <w:szCs w:val="14"/>
                <w:color w:val="auto"/>
              </w:rPr>
              <w:t>-8.2 %</w:t>
            </w:r>
          </w:p>
        </w:tc>
        <w:tc>
          <w:tcPr>
            <w:tcW w:w="24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3,837</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4,067</w:t>
            </w:r>
          </w:p>
        </w:tc>
        <w:tc>
          <w:tcPr>
            <w:tcW w:w="26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(230 )</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4"/>
                <w:szCs w:val="14"/>
                <w:color w:val="auto"/>
              </w:rPr>
              <w:t>Net gains (losses) on sales of securities, loans and</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2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24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(151 )</w:t>
            </w:r>
          </w:p>
        </w:tc>
        <w:tc>
          <w:tcPr>
            <w:tcW w:w="280" w:type="dxa"/>
            <w:vAlign w:val="bottom"/>
          </w:tcPr>
          <w:p>
            <w:pPr>
              <w:spacing w:after="0"/>
              <w:rPr>
                <w:sz w:val="15"/>
                <w:szCs w:val="15"/>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179</w:t>
            </w:r>
          </w:p>
        </w:tc>
        <w:tc>
          <w:tcPr>
            <w:tcW w:w="700" w:type="dxa"/>
            <w:vAlign w:val="bottom"/>
          </w:tcPr>
          <w:p>
            <w:pPr>
              <w:jc w:val="right"/>
              <w:spacing w:after="0"/>
              <w:rPr>
                <w:sz w:val="20"/>
                <w:szCs w:val="20"/>
                <w:color w:val="auto"/>
              </w:rPr>
            </w:pPr>
            <w:r>
              <w:rPr>
                <w:rFonts w:ascii="Arial" w:cs="Arial" w:eastAsia="Arial" w:hAnsi="Arial"/>
                <w:sz w:val="14"/>
                <w:szCs w:val="14"/>
                <w:color w:val="auto"/>
              </w:rPr>
              <w:t>-118.5 %</w:t>
            </w:r>
          </w:p>
        </w:tc>
        <w:tc>
          <w:tcPr>
            <w:tcW w:w="24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(46 )</w:t>
            </w:r>
          </w:p>
        </w:tc>
        <w:tc>
          <w:tcPr>
            <w:tcW w:w="260" w:type="dxa"/>
            <w:vAlign w:val="bottom"/>
          </w:tcPr>
          <w:p>
            <w:pPr>
              <w:spacing w:after="0"/>
              <w:rPr>
                <w:sz w:val="15"/>
                <w:szCs w:val="15"/>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289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-628.3 %</w:t>
            </w:r>
          </w:p>
        </w:tc>
        <w:tc>
          <w:tcPr>
            <w:tcW w:w="0" w:type="dxa"/>
            <w:vAlign w:val="bottom"/>
          </w:tcPr>
          <w:p>
            <w:pPr>
              <w:spacing w:after="0"/>
              <w:rPr>
                <w:sz w:val="1"/>
                <w:szCs w:val="1"/>
                <w:color w:val="auto"/>
              </w:rPr>
            </w:pPr>
          </w:p>
        </w:tc>
      </w:tr>
      <w:tr>
        <w:trPr>
          <w:trHeight w:val="192"/>
        </w:trPr>
        <w:tc>
          <w:tcPr>
            <w:tcW w:w="3320" w:type="dxa"/>
            <w:vAlign w:val="bottom"/>
          </w:tcPr>
          <w:p>
            <w:pPr>
              <w:ind w:left="20"/>
              <w:spacing w:after="0"/>
              <w:rPr>
                <w:sz w:val="20"/>
                <w:szCs w:val="20"/>
                <w:color w:val="auto"/>
              </w:rPr>
            </w:pPr>
            <w:r>
              <w:rPr>
                <w:rFonts w:ascii="Arial" w:cs="Arial" w:eastAsia="Arial" w:hAnsi="Arial"/>
                <w:sz w:val="14"/>
                <w:szCs w:val="14"/>
                <w:color w:val="auto"/>
              </w:rPr>
              <w:t>(Losses) gains on marketable equity securities</w:t>
            </w:r>
          </w:p>
        </w:tc>
        <w:tc>
          <w:tcPr>
            <w:tcW w:w="2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(39 )</w:t>
            </w:r>
          </w:p>
        </w:tc>
        <w:tc>
          <w:tcPr>
            <w:tcW w:w="2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color w:val="auto"/>
              </w:rPr>
              <w:t>(39 )</w:t>
            </w:r>
          </w:p>
        </w:tc>
        <w:tc>
          <w:tcPr>
            <w:tcW w:w="700" w:type="dxa"/>
            <w:vAlign w:val="bottom"/>
          </w:tcPr>
          <w:p>
            <w:pPr>
              <w:jc w:val="right"/>
              <w:spacing w:after="0"/>
              <w:rPr>
                <w:sz w:val="20"/>
                <w:szCs w:val="20"/>
                <w:color w:val="auto"/>
              </w:rPr>
            </w:pPr>
            <w:r>
              <w:rPr>
                <w:rFonts w:ascii="Arial" w:cs="Arial" w:eastAsia="Arial" w:hAnsi="Arial"/>
                <w:sz w:val="14"/>
                <w:szCs w:val="14"/>
                <w:color w:val="auto"/>
              </w:rPr>
              <w:t>0.0 %</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(208 )</w:t>
            </w:r>
          </w:p>
        </w:tc>
        <w:tc>
          <w:tcPr>
            <w:tcW w:w="3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(247 )</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-633.3 %</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4"/>
                <w:szCs w:val="14"/>
                <w:color w:val="auto"/>
              </w:rPr>
              <w:t>Total noninterest income</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1,193</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1,161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32</w:t>
            </w:r>
          </w:p>
        </w:tc>
        <w:tc>
          <w:tcPr>
            <w:tcW w:w="700" w:type="dxa"/>
            <w:vAlign w:val="bottom"/>
          </w:tcPr>
          <w:p>
            <w:pPr>
              <w:jc w:val="right"/>
              <w:spacing w:after="0"/>
              <w:rPr>
                <w:sz w:val="20"/>
                <w:szCs w:val="20"/>
                <w:color w:val="auto"/>
              </w:rPr>
            </w:pPr>
            <w:r>
              <w:rPr>
                <w:rFonts w:ascii="Arial" w:cs="Arial" w:eastAsia="Arial" w:hAnsi="Arial"/>
                <w:sz w:val="14"/>
                <w:szCs w:val="14"/>
                <w:color w:val="auto"/>
              </w:rPr>
              <w:t>2.8 %</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3,872</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4,060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(188 )</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0"/>
        </w:trPr>
        <w:tc>
          <w:tcPr>
            <w:tcW w:w="3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-1348740</wp:posOffset>
            </wp:positionV>
            <wp:extent cx="6707505" cy="121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-1104265</wp:posOffset>
            </wp:positionV>
            <wp:extent cx="6707505"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-860425</wp:posOffset>
            </wp:positionV>
            <wp:extent cx="6707505" cy="121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-616585</wp:posOffset>
            </wp:positionV>
            <wp:extent cx="6707505" cy="121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-266065</wp:posOffset>
            </wp:positionV>
            <wp:extent cx="6707505" cy="121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35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Third quarter noninterest income was $1.2 million, an increase of $32,000, or 2.8% compared to the same three month period in 2022. For the nine months ended September 30, 2023, noninterest income was $3.9 million, a decrease of $188,000, or 4.6%, compared to the same nine month period in 2022.</w:t>
      </w:r>
    </w:p>
    <w:p>
      <w:pPr>
        <w:spacing w:after="0" w:line="18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This modest increase for the third quarter of 2023 as compared to the prior year period was primarily attributable to a $185,000 increase in gains (losses) on sales and redemptions of investment securities, a $52,000 increase in insurance agency revenue, and a $25,000 increase in loan servicing fees. These increases were largely offset by a $158,000 decrease in debit card interchange fees. Noninterest income decreased $188,000 for the nine months ended September 30, 2023, when compared to the same nine month period in 2022. This decrease was primarily due to a $247,000 loss on marketable equity securities, and a $184,000 decrease in debit card interchange fees, partially offset by a $60,000 gain on sales and redemption of investment securities in the current nine months as compared to a $168,000 loss in the prior nine month period, and a $152,000 increase in insurance agency revenue.</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887" w:right="620" w:bottom="1440" w:gutter="0" w:footer="0" w:header="0"/>
        </w:sectPr>
      </w:pPr>
    </w:p>
    <w:bookmarkStart w:id="60" w:name="page61"/>
    <w:bookmarkEnd w:id="60"/>
    <w:p>
      <w:pPr>
        <w:ind w:right="100"/>
        <w:spacing w:after="0" w:line="253" w:lineRule="auto"/>
        <w:rPr>
          <w:sz w:val="20"/>
          <w:szCs w:val="20"/>
          <w:color w:val="auto"/>
        </w:rPr>
      </w:pPr>
      <w:r>
        <w:rPr>
          <w:rFonts w:ascii="Arial" w:cs="Arial" w:eastAsia="Arial" w:hAnsi="Arial"/>
          <w:sz w:val="18"/>
          <w:szCs w:val="18"/>
          <w:color w:val="auto"/>
        </w:rPr>
        <w:t>The decline in debit card income was due in part to the recognition of increased customer card rewards program redemption rates among the Bank’s active debit card users. During the third quarter of 2023, the Bank recognized a $ 73,000 nonrecurring reduction of debit card interchange income to increase its estimate of currently unused rewards that are likely to be redeemed by customers in future periods. This adjustment was made after a re-evaluation of recent customer reward program redemption patterns. Absent this one-time adjustment related to the rewards program, debit card interchange income would have declined by $ 85,000, or 47.2%, and $111,000, or 17.4%, for the three and nine months ended September 30, 2023, respectively, compared to the same three and nine month periods in 2022. The $85,000 quarterly decline in debit card interchange income, not due to the one- time rewards program revenue adjustment, discussed above, was primarily due to changes in the number of debit card processor reporting cycles in the nine months ended September 30, 2023, as compared to the same nine month period in 2022, adjusted on a year-to-date basis in the third quarter of 2023. Debit card interchange income was also reduced by modest declines in consumer transactional deposit accounts and reduced consumer utilization of the Bank’s debit card offerings.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on noninterest expense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color w:val="auto"/>
              </w:rPr>
              <w:t>For the three months ended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gridSpan w:val="4"/>
          </w:tcPr>
          <w:p>
            <w:pPr>
              <w:jc w:val="right"/>
              <w:ind w:right="308"/>
              <w:spacing w:after="0"/>
              <w:rPr>
                <w:sz w:val="20"/>
                <w:szCs w:val="20"/>
                <w:color w:val="auto"/>
              </w:rPr>
            </w:pPr>
            <w:r>
              <w:rPr>
                <w:rFonts w:ascii="Arial" w:cs="Arial" w:eastAsia="Arial" w:hAnsi="Arial"/>
                <w:sz w:val="14"/>
                <w:szCs w:val="14"/>
                <w:color w:val="auto"/>
              </w:rPr>
              <w:t>For the nine months ended</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Septemb</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gridSpan w:val="2"/>
          </w:tcPr>
          <w:p>
            <w:pPr>
              <w:ind w:left="640"/>
              <w:spacing w:after="0"/>
              <w:rPr>
                <w:sz w:val="20"/>
                <w:szCs w:val="20"/>
                <w:color w:val="auto"/>
              </w:rPr>
            </w:pPr>
            <w:r>
              <w:rPr>
                <w:rFonts w:ascii="Arial" w:cs="Arial" w:eastAsia="Arial" w:hAnsi="Arial"/>
                <w:sz w:val="14"/>
                <w:szCs w:val="14"/>
                <w:color w:val="auto"/>
              </w:rPr>
              <w:t>Septembe</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Septembe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Septembe</w:t>
            </w:r>
          </w:p>
        </w:tc>
        <w:tc>
          <w:tcPr>
            <w:tcW w:w="3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er 30,</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1420" w:type="dxa"/>
            <w:vAlign w:val="bottom"/>
            <w:gridSpan w:val="2"/>
          </w:tcPr>
          <w:p>
            <w:pPr>
              <w:ind w:left="660"/>
              <w:spacing w:after="0"/>
              <w:rPr>
                <w:sz w:val="20"/>
                <w:szCs w:val="20"/>
                <w:color w:val="auto"/>
              </w:rPr>
            </w:pPr>
            <w:r>
              <w:rPr>
                <w:rFonts w:ascii="Arial" w:cs="Arial" w:eastAsia="Arial" w:hAnsi="Arial"/>
                <w:sz w:val="14"/>
                <w:szCs w:val="14"/>
                <w:color w:val="auto"/>
              </w:rPr>
              <w:t>r 30, 2023</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r 30, 2022</w:t>
            </w:r>
          </w:p>
        </w:tc>
        <w:tc>
          <w:tcPr>
            <w:tcW w:w="34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Change</w:t>
            </w:r>
          </w:p>
        </w:tc>
        <w:tc>
          <w:tcPr>
            <w:tcW w:w="6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r 30, 2023</w:t>
            </w:r>
          </w:p>
        </w:tc>
        <w:tc>
          <w:tcPr>
            <w:tcW w:w="34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Change</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Salaries and employee benefits</w:t>
            </w: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4,154</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4,196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08"/>
              <w:spacing w:after="0"/>
              <w:rPr>
                <w:sz w:val="20"/>
                <w:szCs w:val="20"/>
                <w:color w:val="auto"/>
              </w:rPr>
            </w:pPr>
            <w:r>
              <w:rPr>
                <w:rFonts w:ascii="Arial" w:cs="Arial" w:eastAsia="Arial" w:hAnsi="Arial"/>
                <w:sz w:val="14"/>
                <w:szCs w:val="14"/>
                <w:color w:val="auto"/>
              </w:rPr>
              <w:t>(42 )</w:t>
            </w:r>
          </w:p>
        </w:tc>
        <w:tc>
          <w:tcPr>
            <w:tcW w:w="680" w:type="dxa"/>
            <w:vAlign w:val="bottom"/>
          </w:tcPr>
          <w:p>
            <w:pPr>
              <w:jc w:val="right"/>
              <w:spacing w:after="0"/>
              <w:rPr>
                <w:sz w:val="20"/>
                <w:szCs w:val="20"/>
                <w:color w:val="auto"/>
              </w:rPr>
            </w:pPr>
            <w:r>
              <w:rPr>
                <w:rFonts w:ascii="Arial" w:cs="Arial" w:eastAsia="Arial" w:hAnsi="Arial"/>
                <w:sz w:val="14"/>
                <w:szCs w:val="14"/>
                <w:color w:val="auto"/>
              </w:rPr>
              <w:t>-1.0 %</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12,243</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12,030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213</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Building and occupancy</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868</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835</w:t>
            </w:r>
          </w:p>
        </w:tc>
        <w:tc>
          <w:tcPr>
            <w:tcW w:w="340" w:type="dxa"/>
            <w:vAlign w:val="bottom"/>
          </w:tcPr>
          <w:p>
            <w:pPr>
              <w:spacing w:after="0"/>
              <w:rPr>
                <w:sz w:val="16"/>
                <w:szCs w:val="16"/>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33</w:t>
            </w:r>
          </w:p>
        </w:tc>
        <w:tc>
          <w:tcPr>
            <w:tcW w:w="680" w:type="dxa"/>
            <w:vAlign w:val="bottom"/>
          </w:tcPr>
          <w:p>
            <w:pPr>
              <w:jc w:val="right"/>
              <w:spacing w:after="0"/>
              <w:rPr>
                <w:sz w:val="20"/>
                <w:szCs w:val="20"/>
                <w:color w:val="auto"/>
              </w:rPr>
            </w:pPr>
            <w:r>
              <w:rPr>
                <w:rFonts w:ascii="Arial" w:cs="Arial" w:eastAsia="Arial" w:hAnsi="Arial"/>
                <w:sz w:val="14"/>
                <w:szCs w:val="14"/>
                <w:color w:val="auto"/>
              </w:rPr>
              <w:t>4.0 %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2,699</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2,491</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208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Data processing</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340" w:type="dxa"/>
            <w:vAlign w:val="bottom"/>
          </w:tcPr>
          <w:p>
            <w:pPr>
              <w:spacing w:after="0"/>
              <w:rPr>
                <w:sz w:val="16"/>
                <w:szCs w:val="16"/>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color w:val="auto"/>
              </w:rPr>
              <w:t>(2 )</w:t>
            </w:r>
          </w:p>
        </w:tc>
        <w:tc>
          <w:tcPr>
            <w:tcW w:w="680" w:type="dxa"/>
            <w:vAlign w:val="bottom"/>
          </w:tcPr>
          <w:p>
            <w:pPr>
              <w:jc w:val="right"/>
              <w:spacing w:after="0"/>
              <w:rPr>
                <w:sz w:val="20"/>
                <w:szCs w:val="20"/>
                <w:color w:val="auto"/>
              </w:rPr>
            </w:pPr>
            <w:r>
              <w:rPr>
                <w:rFonts w:ascii="Arial" w:cs="Arial" w:eastAsia="Arial" w:hAnsi="Arial"/>
                <w:sz w:val="14"/>
                <w:szCs w:val="14"/>
                <w:color w:val="auto"/>
              </w:rPr>
              <w:t>-0.4 %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1,519</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1,552</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(33 )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Professional and other services</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340" w:type="dxa"/>
            <w:vAlign w:val="bottom"/>
          </w:tcPr>
          <w:p>
            <w:pPr>
              <w:spacing w:after="0"/>
              <w:rPr>
                <w:sz w:val="16"/>
                <w:szCs w:val="16"/>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225</w:t>
            </w:r>
          </w:p>
        </w:tc>
        <w:tc>
          <w:tcPr>
            <w:tcW w:w="680" w:type="dxa"/>
            <w:vAlign w:val="bottom"/>
          </w:tcPr>
          <w:p>
            <w:pPr>
              <w:jc w:val="right"/>
              <w:spacing w:after="0"/>
              <w:rPr>
                <w:sz w:val="20"/>
                <w:szCs w:val="20"/>
                <w:color w:val="auto"/>
              </w:rPr>
            </w:pPr>
            <w:r>
              <w:rPr>
                <w:rFonts w:ascii="Arial" w:cs="Arial" w:eastAsia="Arial" w:hAnsi="Arial"/>
                <w:sz w:val="14"/>
                <w:szCs w:val="14"/>
                <w:color w:val="auto"/>
              </w:rPr>
              <w:t>84.3 %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1,531</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1,112</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419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37.7 %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340" w:type="dxa"/>
            <w:vAlign w:val="bottom"/>
          </w:tcPr>
          <w:p>
            <w:pPr>
              <w:spacing w:after="0"/>
              <w:rPr>
                <w:sz w:val="16"/>
                <w:szCs w:val="16"/>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color w:val="auto"/>
              </w:rPr>
              <w:t>(55 )</w:t>
            </w:r>
          </w:p>
        </w:tc>
        <w:tc>
          <w:tcPr>
            <w:tcW w:w="680" w:type="dxa"/>
            <w:vAlign w:val="bottom"/>
          </w:tcPr>
          <w:p>
            <w:pPr>
              <w:jc w:val="right"/>
              <w:spacing w:after="0"/>
              <w:rPr>
                <w:sz w:val="20"/>
                <w:szCs w:val="20"/>
                <w:color w:val="auto"/>
              </w:rPr>
            </w:pPr>
            <w:r>
              <w:rPr>
                <w:rFonts w:ascii="Arial" w:cs="Arial" w:eastAsia="Arial" w:hAnsi="Arial"/>
                <w:sz w:val="14"/>
                <w:szCs w:val="14"/>
                <w:color w:val="auto"/>
              </w:rPr>
              <w:t>-27.6 %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516</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(105 )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FDIC assessments</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340" w:type="dxa"/>
            <w:vAlign w:val="bottom"/>
          </w:tcPr>
          <w:p>
            <w:pPr>
              <w:spacing w:after="0"/>
              <w:rPr>
                <w:sz w:val="16"/>
                <w:szCs w:val="16"/>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60</w:t>
            </w:r>
          </w:p>
        </w:tc>
        <w:tc>
          <w:tcPr>
            <w:tcW w:w="680" w:type="dxa"/>
            <w:vAlign w:val="bottom"/>
          </w:tcPr>
          <w:p>
            <w:pPr>
              <w:jc w:val="right"/>
              <w:spacing w:after="0"/>
              <w:rPr>
                <w:sz w:val="20"/>
                <w:szCs w:val="20"/>
                <w:color w:val="auto"/>
              </w:rPr>
            </w:pPr>
            <w:r>
              <w:rPr>
                <w:rFonts w:ascii="Arial" w:cs="Arial" w:eastAsia="Arial" w:hAnsi="Arial"/>
                <w:sz w:val="14"/>
                <w:szCs w:val="14"/>
                <w:color w:val="auto"/>
              </w:rPr>
              <w:t>37.0 %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663</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606</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57</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Audits and exams</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340" w:type="dxa"/>
            <w:vAlign w:val="bottom"/>
          </w:tcPr>
          <w:p>
            <w:pPr>
              <w:spacing w:after="0"/>
              <w:rPr>
                <w:sz w:val="16"/>
                <w:szCs w:val="16"/>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18</w:t>
            </w:r>
          </w:p>
        </w:tc>
        <w:tc>
          <w:tcPr>
            <w:tcW w:w="680" w:type="dxa"/>
            <w:vAlign w:val="bottom"/>
          </w:tcPr>
          <w:p>
            <w:pPr>
              <w:jc w:val="right"/>
              <w:spacing w:after="0"/>
              <w:rPr>
                <w:sz w:val="20"/>
                <w:szCs w:val="20"/>
                <w:color w:val="auto"/>
              </w:rPr>
            </w:pPr>
            <w:r>
              <w:rPr>
                <w:rFonts w:ascii="Arial" w:cs="Arial" w:eastAsia="Arial" w:hAnsi="Arial"/>
                <w:sz w:val="14"/>
                <w:szCs w:val="14"/>
                <w:color w:val="auto"/>
              </w:rPr>
              <w:t>12.8 %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476</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Insurance agency expense</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340" w:type="dxa"/>
            <w:vAlign w:val="bottom"/>
          </w:tcPr>
          <w:p>
            <w:pPr>
              <w:spacing w:after="0"/>
              <w:rPr>
                <w:sz w:val="16"/>
                <w:szCs w:val="16"/>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44</w:t>
            </w:r>
          </w:p>
        </w:tc>
        <w:tc>
          <w:tcPr>
            <w:tcW w:w="680" w:type="dxa"/>
            <w:vAlign w:val="bottom"/>
          </w:tcPr>
          <w:p>
            <w:pPr>
              <w:jc w:val="right"/>
              <w:spacing w:after="0"/>
              <w:rPr>
                <w:sz w:val="20"/>
                <w:szCs w:val="20"/>
                <w:color w:val="auto"/>
              </w:rPr>
            </w:pPr>
            <w:r>
              <w:rPr>
                <w:rFonts w:ascii="Arial" w:cs="Arial" w:eastAsia="Arial" w:hAnsi="Arial"/>
                <w:sz w:val="14"/>
                <w:szCs w:val="14"/>
                <w:color w:val="auto"/>
              </w:rPr>
              <w:t>19.2 %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817</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130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Community service activities</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16"/>
                <w:szCs w:val="16"/>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color w:val="auto"/>
              </w:rPr>
              <w:t>(3 )</w:t>
            </w:r>
          </w:p>
        </w:tc>
        <w:tc>
          <w:tcPr>
            <w:tcW w:w="680" w:type="dxa"/>
            <w:vAlign w:val="bottom"/>
          </w:tcPr>
          <w:p>
            <w:pPr>
              <w:jc w:val="right"/>
              <w:spacing w:after="0"/>
              <w:rPr>
                <w:sz w:val="20"/>
                <w:szCs w:val="20"/>
                <w:color w:val="auto"/>
              </w:rPr>
            </w:pPr>
            <w:r>
              <w:rPr>
                <w:rFonts w:ascii="Arial" w:cs="Arial" w:eastAsia="Arial" w:hAnsi="Arial"/>
                <w:sz w:val="14"/>
                <w:szCs w:val="14"/>
                <w:color w:val="auto"/>
              </w:rPr>
              <w:t>-5.2 %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(42 )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Foreclosed real estate expenses</w:t>
            </w:r>
          </w:p>
        </w:tc>
        <w:tc>
          <w:tcPr>
            <w:tcW w:w="8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6"/>
                <w:szCs w:val="16"/>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27</w:t>
            </w:r>
          </w:p>
        </w:tc>
        <w:tc>
          <w:tcPr>
            <w:tcW w:w="680" w:type="dxa"/>
            <w:vAlign w:val="bottom"/>
          </w:tcPr>
          <w:p>
            <w:pPr>
              <w:jc w:val="right"/>
              <w:spacing w:after="0"/>
              <w:rPr>
                <w:sz w:val="20"/>
                <w:szCs w:val="20"/>
                <w:color w:val="auto"/>
              </w:rPr>
            </w:pPr>
            <w:r>
              <w:rPr>
                <w:rFonts w:ascii="Arial" w:cs="Arial" w:eastAsia="Arial" w:hAnsi="Arial"/>
                <w:sz w:val="14"/>
                <w:szCs w:val="14"/>
                <w:color w:val="auto"/>
              </w:rPr>
              <w:t>158.8 %</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w:t>
            </w: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19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33.3 %</w:t>
            </w:r>
          </w:p>
        </w:tc>
        <w:tc>
          <w:tcPr>
            <w:tcW w:w="0" w:type="dxa"/>
            <w:vAlign w:val="bottom"/>
          </w:tcPr>
          <w:p>
            <w:pPr>
              <w:spacing w:after="0"/>
              <w:rPr>
                <w:sz w:val="1"/>
                <w:szCs w:val="1"/>
                <w:color w:val="auto"/>
              </w:rPr>
            </w:pPr>
          </w:p>
        </w:tc>
      </w:tr>
      <w:tr>
        <w:trPr>
          <w:trHeight w:val="154"/>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Other expenses</w:t>
            </w:r>
          </w:p>
        </w:tc>
        <w:tc>
          <w:tcPr>
            <w:tcW w:w="82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759</w:t>
            </w:r>
          </w:p>
        </w:tc>
        <w:tc>
          <w:tcPr>
            <w:tcW w:w="32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678</w:t>
            </w:r>
          </w:p>
        </w:tc>
        <w:tc>
          <w:tcPr>
            <w:tcW w:w="340" w:type="dxa"/>
            <w:vAlign w:val="bottom"/>
          </w:tcPr>
          <w:p>
            <w:pPr>
              <w:spacing w:after="0"/>
              <w:rPr>
                <w:sz w:val="13"/>
                <w:szCs w:val="13"/>
                <w:color w:val="auto"/>
              </w:rPr>
            </w:pPr>
          </w:p>
        </w:tc>
        <w:tc>
          <w:tcPr>
            <w:tcW w:w="1040" w:type="dxa"/>
            <w:vAlign w:val="bottom"/>
            <w:vMerge w:val="restart"/>
          </w:tcPr>
          <w:p>
            <w:pPr>
              <w:jc w:val="right"/>
              <w:ind w:right="568"/>
              <w:spacing w:after="0"/>
              <w:rPr>
                <w:sz w:val="20"/>
                <w:szCs w:val="20"/>
                <w:color w:val="auto"/>
              </w:rPr>
            </w:pPr>
            <w:r>
              <w:rPr>
                <w:rFonts w:ascii="Arial" w:cs="Arial" w:eastAsia="Arial" w:hAnsi="Arial"/>
                <w:sz w:val="14"/>
                <w:szCs w:val="14"/>
                <w:color w:val="auto"/>
              </w:rPr>
              <w:t>81</w:t>
            </w:r>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1,660</w:t>
            </w:r>
          </w:p>
        </w:tc>
        <w:tc>
          <w:tcPr>
            <w:tcW w:w="34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1,892</w:t>
            </w:r>
          </w:p>
        </w:tc>
        <w:tc>
          <w:tcPr>
            <w:tcW w:w="300" w:type="dxa"/>
            <w:vAlign w:val="bottom"/>
          </w:tcPr>
          <w:p>
            <w:pPr>
              <w:spacing w:after="0"/>
              <w:rPr>
                <w:sz w:val="13"/>
                <w:szCs w:val="13"/>
                <w:color w:val="auto"/>
              </w:rPr>
            </w:pPr>
          </w:p>
        </w:tc>
        <w:tc>
          <w:tcPr>
            <w:tcW w:w="900" w:type="dxa"/>
            <w:vAlign w:val="bottom"/>
          </w:tcPr>
          <w:p>
            <w:pPr>
              <w:jc w:val="right"/>
              <w:ind w:right="348"/>
              <w:spacing w:after="0" w:line="154"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(232</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40" w:type="dxa"/>
            <w:vAlign w:val="bottom"/>
          </w:tcPr>
          <w:p>
            <w:pPr>
              <w:ind w:left="20"/>
              <w:spacing w:after="0"/>
              <w:rPr>
                <w:sz w:val="20"/>
                <w:szCs w:val="20"/>
                <w:color w:val="auto"/>
              </w:rPr>
            </w:pPr>
            <w:r>
              <w:rPr>
                <w:rFonts w:ascii="Arial" w:cs="Arial" w:eastAsia="Arial" w:hAnsi="Arial"/>
                <w:sz w:val="14"/>
                <w:szCs w:val="14"/>
                <w:color w:val="auto"/>
              </w:rPr>
              <w:t>Total noninterest expenses</w:t>
            </w:r>
          </w:p>
        </w:tc>
        <w:tc>
          <w:tcPr>
            <w:tcW w:w="820" w:type="dxa"/>
            <w:vAlign w:val="bottom"/>
          </w:tcPr>
          <w:p>
            <w:pPr>
              <w:ind w:left="6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7,653</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7,267</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68"/>
              <w:spacing w:after="0"/>
              <w:rPr>
                <w:sz w:val="20"/>
                <w:szCs w:val="20"/>
                <w:color w:val="auto"/>
              </w:rPr>
            </w:pPr>
            <w:r>
              <w:rPr>
                <w:rFonts w:ascii="Arial" w:cs="Arial" w:eastAsia="Arial" w:hAnsi="Arial"/>
                <w:sz w:val="14"/>
                <w:szCs w:val="14"/>
                <w:color w:val="auto"/>
              </w:rPr>
              <w:t>386</w:t>
            </w:r>
          </w:p>
        </w:tc>
        <w:tc>
          <w:tcPr>
            <w:tcW w:w="680" w:type="dxa"/>
            <w:vAlign w:val="bottom"/>
          </w:tcPr>
          <w:p>
            <w:pPr>
              <w:jc w:val="right"/>
              <w:spacing w:after="0"/>
              <w:rPr>
                <w:sz w:val="20"/>
                <w:szCs w:val="20"/>
                <w:color w:val="auto"/>
              </w:rPr>
            </w:pPr>
            <w:r>
              <w:rPr>
                <w:rFonts w:ascii="Arial" w:cs="Arial" w:eastAsia="Arial" w:hAnsi="Arial"/>
                <w:sz w:val="14"/>
                <w:szCs w:val="14"/>
                <w:color w:val="auto"/>
              </w:rPr>
              <w:t>5.3 %</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22,351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21,665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686</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20"/>
        </w:trPr>
        <w:tc>
          <w:tcPr>
            <w:tcW w:w="2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-1577340</wp:posOffset>
            </wp:positionV>
            <wp:extent cx="6707505" cy="121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-1333500</wp:posOffset>
            </wp:positionV>
            <wp:extent cx="6707505" cy="121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-1089025</wp:posOffset>
            </wp:positionV>
            <wp:extent cx="6707505" cy="121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-845185</wp:posOffset>
            </wp:positionV>
            <wp:extent cx="6707505" cy="121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-601345</wp:posOffset>
            </wp:positionV>
            <wp:extent cx="6707505" cy="121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-357505</wp:posOffset>
            </wp:positionV>
            <wp:extent cx="6707505" cy="213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213360"/>
                    </a:xfrm>
                    <a:prstGeom prst="rect">
                      <a:avLst/>
                    </a:prstGeom>
                    <a:noFill/>
                  </pic:spPr>
                </pic:pic>
              </a:graphicData>
            </a:graphic>
          </wp:anchor>
        </w:drawing>
      </w:r>
    </w:p>
    <w:p>
      <w:pPr>
        <w:spacing w:after="0" w:line="35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Total noninterest expense for the third quarter of 2023 was $7.7 million, an increase of $386,000, or 5.3%, compared to the same three month period in 2022. This increase in noninterest expenses was attributable to several factors, including the persistent inflation rate. Additionally, our strategic opening of the Bank's eleventh full-service branch in November 2022, contributed to this quarterly year-over-year increase.</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primary driver of this year-over-year quarterly increase in noninterest expenses was an increase of $225,000 or 84.3%, in professional and other services expense. Absent that increase, noninterest expenses increased $161,000, or 2.3%, in the quarter ended September 30, 2023, as compared to the same quarter in 2022. The increase in professional and other services expense was primarily the result of a $154,000 increase in third-party software service costs, related in part to the Company's continuing efforts to increase process automation, and a $61,000 increase in non-recurring consulting fees.</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nine months ended September 30, 2023, the Company reported noninterest expenses totaling $22.4 million, which marked an increase of $686,000, or 3.2%, in comparison to the same period in 2022. The primary driver of this year-over-year nine month increase in noninterest expenses was an increase of $419,000 or 37.7%, in professional and other services expense. Absent that increase, noninterest expenses increased $267,000, or 1.3%, in the nine months ended September 30, 2023, as compared to the same nine month period in 2022. This increase in professional and other services expense in the nine months ended September 30, 2023, as compared to the same nine month period in 2022, was primarily the result of a $282,000 increase in third-party software service costs, related in part to the Company's continuing efforts to increase process automation, a $113,000 increase in non-recurring legal fees, and a $50,000 increase in non-recurring consulting fees.</w:t>
      </w:r>
    </w:p>
    <w:p>
      <w:pPr>
        <w:spacing w:after="0" w:line="14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moderate increase in noninterest expenses in the first nine months of 2023, when contrasted with the corresponding period in 2022, underscores the Company's robust expense management strategies. These practices have proven effective,</w:t>
      </w: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59" w:right="620"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even in the face of a fluctuating economic landscape marked by inflationary pressures, particularly within the labor market. Our unwavering commitment to striking a balance between competitive employee compensation and prudent expense management has enabled us to navigate the challenges of rising labor costs. Our strategic financial approach prioritizes both sustained profitability and investment in our workforce, thereby enhancing customer service and strengthening our position in the market.</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There were also noteworthy changes in building and occupancy costs for the three and nine month periods ended September 30, 2023. During the third quarter of 2023, these costs increased by $33,000, representing a 4.0% rise, reaching a total of $868,000. Over the first nine months of 2023, we observed a more substantial increase of $208,000, or 8.4%, to $2.7 million. These increases were primarily driven by expenses related to the opening of our newest full-service branch and secondarily related to increases in general maintenance and other costs associated with operating facilities due to general inflationary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tax expense decreased $199,000 to $573,000, with an effective tax rate of 20.7%, for the quarter ended September 30, 2023, as compared to $ 772,000 with an effective tax rate of 19.5% for the same three month period in 2022. The decrease in income tax expense for the quarter ended September 30, 2023, as compared to the same quarter in 2022, was primarily driven by a decrease of $1.2 million in income before taxes. The effective income tax rate increased 1.2% to 20.7% for the three months ended September 30, 2023 as compared to 19.5% for the same three month period in 2022. The increase in the tax rate in the third quarter of 2023, as compared to the same quarter in 2022, was primarily related to fluctuations in permanent tax differences.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 expense decreased $501,000 to $ 1.8 million, with an effective tax rate of 20.6%, for the nine months ended September 30, 2023, as compared to $ 2.3 million with an effective tax rate of 19.3%, for the same nine month period in 2022. The decrease in income tax expense for the nine months ended September 30, 2023, as compared to the same nine month period in 2022, was primarily driven by the year-over-year decrease in income before taxes. The effective income tax rate increased 1.3% to 20.6% for the nine months ended September 30, 2023 as compared to 19.3% for the same nine month period in 2022. The increase in the tax rate for the nine months ended September 30, 2023, as compared to the same period in 2022, was primarily related to fluctuations in permanent tax differences and the reversal of a deferred tax asset valuation allowance during the nine months ended September 30, 2022.</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tax liability is a function of the 21% statutory federal tax rate, the level of pretax income, the varying effects of New York State income taxes, and is partially reduced by tax -exempt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Basic and diluted earnings per Voting and Series A Non-Voting share were $0.35 per share for the third quarter of 2023, as compared to $0.52 per basic and diluted Voting and Series A Non- Voting share for the same quarter of 2022. Basic and diluted earnings per Voting and Series A Non-Voting share were $1.10 for the nine month period ended September 30, 2023, as compared to $ 1.55 for the same prior year period. The decrease in earnings per share between these two periods was due to the decrease in net income between these two time periods. Further information on earnings per share can be found in Note 3 of this Form 10-Q.</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18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assets slightly increased $728,000, or 0.05%, to $1.40 billion at September 30, 2023 as compared to December 31, 2022. This increase was due primarily to increases in investment securities.</w:t>
      </w: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62" w:name="page63"/>
    <w:bookmarkEnd w:id="62"/>
    <w:p>
      <w:pPr>
        <w:ind w:right="80"/>
        <w:spacing w:after="0" w:line="254" w:lineRule="auto"/>
        <w:rPr>
          <w:sz w:val="20"/>
          <w:szCs w:val="20"/>
          <w:color w:val="auto"/>
        </w:rPr>
      </w:pPr>
      <w:r>
        <w:rPr>
          <w:rFonts w:ascii="Arial" w:cs="Arial" w:eastAsia="Arial" w:hAnsi="Arial"/>
          <w:sz w:val="18"/>
          <w:szCs w:val="18"/>
          <w:color w:val="auto"/>
        </w:rPr>
        <w:t>Loans totaled $896.1 million at September 30, 2023, a decrease of $1.6 million, or 0.18%, compared to $897.7 million at December 31, 2022. This was primarily due to decreases of $10.9 million in total consumer loans, and $7.7 million in total residential mortgage loans, offset by increases of $16.3 million in commercial loans. Investment securities, including investment in FHLB-NY stock, increased $7.3 million, or 1.9%, to $401.3 million at September 30, 2023, as compared to $394.0 million at December 31, 2022. This was due to an increase of $15.1 million in available-for-sale securities, and an increase of $1.2 million in marketable equity securities. The increase was offset by a decrease of $8.8 million in held-to-maturity securities, and a decrease of $158,000 in FHLB-NY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3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Total liabilities decreased $2.1 million, or 0.17%, to $1.29 billion at September 30, 2023 as compared to December 31, 2022. This decrease was due primarily to a decrease in borrowed funds balances from the FHLB-NY of $5.4 million, or 4.6%, to $110.6 million at September 30, 2023, from $116.0 million at December 31, 2022.</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These decreases were slightly offset by a $2.4 million, or 0.22% increase in total deposits to $1.13 billion at September 30, 2023, as compared to December 31, 2022. This includes an increase of $11.4 million, or 1.2%, in interest-bearing deposits, offset by a decrease of $9.0 million, or 4.9%, in noninterest-bearing deposits.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Shareholders' equity increased by $2.8 million, or 2.5%, from $111.0 million at December 31, 2022, to $113.8 million on September 30, 2023. This increase was primarily due to the Company’s recorded net income of $6.8 million, partially reduced by declared dividends to shareholders of $1.7 million.</w:t>
      </w:r>
    </w:p>
    <w:p>
      <w:pPr>
        <w:spacing w:after="0" w:line="13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Additionally, on January 1, 2023, the Company adopted the CECL methodology for computing its ACL and related provision for credit losses. This adoption resulted in the recognition of a one- time transitional adjustment that reduced the Company’s retained earnings by $2.1 million on that date. In total therefore, retained earnings increased by $3.0 million in the nine months ended September 30, 2023. Shareholders' equity was also affected due to an increase in accumulated other comprehensive loss of $1.2 million, offset primarily by an increase in all other components of shareholders' equity totaling $997,000.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September 30, 2023,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 - weighted assets ratios: (1) Core Capital, (2) Total Capital and (3) Common Equity. At September 30, 2023, the Bank exceeded all regulatory required minimum capital ratios, including the capital buffer requirements.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59" w:right="6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Pathfinder Bank’s capital amounts and ratios as of the indicated dates are presented in the following table:</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194"/>
              <w:spacing w:after="0"/>
              <w:rPr>
                <w:sz w:val="20"/>
                <w:szCs w:val="20"/>
                <w:color w:val="auto"/>
              </w:rPr>
            </w:pPr>
            <w:r>
              <w:rPr>
                <w:rFonts w:ascii="Arial" w:cs="Arial" w:eastAsia="Arial" w:hAnsi="Arial"/>
                <w:sz w:val="13"/>
                <w:szCs w:val="13"/>
                <w:color w:val="auto"/>
              </w:rPr>
              <w:t>Minimum To Be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94"/>
              <w:spacing w:after="0"/>
              <w:rPr>
                <w:sz w:val="20"/>
                <w:szCs w:val="20"/>
                <w:color w:val="auto"/>
              </w:rPr>
            </w:pPr>
            <w:r>
              <w:rPr>
                <w:rFonts w:ascii="Arial" w:cs="Arial" w:eastAsia="Arial" w:hAnsi="Arial"/>
                <w:sz w:val="13"/>
                <w:szCs w:val="13"/>
                <w:color w:val="auto"/>
              </w:rPr>
              <w:t>Minimum For</w:t>
            </w:r>
          </w:p>
        </w:tc>
        <w:tc>
          <w:tcPr>
            <w:tcW w:w="140" w:type="dxa"/>
            <w:vAlign w:val="bottom"/>
          </w:tcPr>
          <w:p>
            <w:pPr>
              <w:spacing w:after="0"/>
              <w:rPr>
                <w:sz w:val="13"/>
                <w:szCs w:val="13"/>
                <w:color w:val="auto"/>
              </w:rPr>
            </w:pPr>
          </w:p>
        </w:tc>
        <w:tc>
          <w:tcPr>
            <w:tcW w:w="1540" w:type="dxa"/>
            <w:vAlign w:val="bottom"/>
            <w:gridSpan w:val="2"/>
          </w:tcPr>
          <w:p>
            <w:pPr>
              <w:jc w:val="center"/>
              <w:ind w:right="194"/>
              <w:spacing w:after="0"/>
              <w:rPr>
                <w:sz w:val="20"/>
                <w:szCs w:val="20"/>
                <w:color w:val="auto"/>
              </w:rPr>
            </w:pPr>
            <w:r>
              <w:rPr>
                <w:rFonts w:ascii="Arial" w:cs="Arial" w:eastAsia="Arial" w:hAnsi="Arial"/>
                <w:sz w:val="13"/>
                <w:szCs w:val="13"/>
                <w:color w:val="auto"/>
              </w:rPr>
              <w:t>"Well-Capitalized"</w:t>
            </w:r>
          </w:p>
        </w:tc>
        <w:tc>
          <w:tcPr>
            <w:tcW w:w="140" w:type="dxa"/>
            <w:vAlign w:val="bottom"/>
          </w:tcPr>
          <w:p>
            <w:pPr>
              <w:spacing w:after="0"/>
              <w:rPr>
                <w:sz w:val="13"/>
                <w:szCs w:val="13"/>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3"/>
                <w:szCs w:val="13"/>
                <w:color w:val="auto"/>
              </w:rPr>
              <w:t>Minimum For</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color w:val="auto"/>
              </w:rPr>
              <w:t>Capital Adequacy</w:t>
            </w:r>
          </w:p>
        </w:tc>
        <w:tc>
          <w:tcPr>
            <w:tcW w:w="140" w:type="dxa"/>
            <w:vAlign w:val="bottom"/>
          </w:tcPr>
          <w:p>
            <w:pPr>
              <w:spacing w:after="0"/>
              <w:rPr>
                <w:sz w:val="13"/>
                <w:szCs w:val="13"/>
                <w:color w:val="auto"/>
              </w:rPr>
            </w:pPr>
          </w:p>
        </w:tc>
        <w:tc>
          <w:tcPr>
            <w:tcW w:w="1540" w:type="dxa"/>
            <w:vAlign w:val="bottom"/>
            <w:gridSpan w:val="2"/>
          </w:tcPr>
          <w:p>
            <w:pPr>
              <w:jc w:val="center"/>
              <w:ind w:right="174"/>
              <w:spacing w:after="0"/>
              <w:rPr>
                <w:sz w:val="20"/>
                <w:szCs w:val="20"/>
                <w:color w:val="auto"/>
              </w:rPr>
            </w:pPr>
            <w:r>
              <w:rPr>
                <w:rFonts w:ascii="Arial" w:cs="Arial" w:eastAsia="Arial" w:hAnsi="Arial"/>
                <w:sz w:val="13"/>
                <w:szCs w:val="13"/>
                <w:color w:val="auto"/>
              </w:rPr>
              <w:t>Under Prompt</w:t>
            </w:r>
          </w:p>
        </w:tc>
        <w:tc>
          <w:tcPr>
            <w:tcW w:w="140" w:type="dxa"/>
            <w:vAlign w:val="bottom"/>
          </w:tcPr>
          <w:p>
            <w:pPr>
              <w:spacing w:after="0"/>
              <w:rPr>
                <w:sz w:val="13"/>
                <w:szCs w:val="13"/>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3"/>
                <w:szCs w:val="13"/>
                <w:color w:val="auto"/>
              </w:rPr>
              <w:t>Capital Adequacy</w:t>
            </w:r>
          </w:p>
        </w:tc>
        <w:tc>
          <w:tcPr>
            <w:tcW w:w="0" w:type="dxa"/>
            <w:vAlign w:val="bottom"/>
          </w:tcPr>
          <w:p>
            <w:pPr>
              <w:spacing w:after="0"/>
              <w:rPr>
                <w:sz w:val="1"/>
                <w:szCs w:val="1"/>
                <w:color w:val="auto"/>
              </w:rPr>
            </w:pPr>
          </w:p>
        </w:tc>
      </w:tr>
      <w:tr>
        <w:trPr>
          <w:trHeight w:val="165"/>
        </w:trPr>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Actual</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94"/>
              <w:spacing w:after="0"/>
              <w:rPr>
                <w:sz w:val="20"/>
                <w:szCs w:val="20"/>
                <w:color w:val="auto"/>
              </w:rPr>
            </w:pPr>
            <w:r>
              <w:rPr>
                <w:rFonts w:ascii="Arial" w:cs="Arial" w:eastAsia="Arial" w:hAnsi="Arial"/>
                <w:sz w:val="13"/>
                <w:szCs w:val="13"/>
                <w:color w:val="auto"/>
              </w:rPr>
              <w:t>Purposes</w:t>
            </w:r>
          </w:p>
        </w:tc>
        <w:tc>
          <w:tcPr>
            <w:tcW w:w="140" w:type="dxa"/>
            <w:vAlign w:val="bottom"/>
          </w:tcPr>
          <w:p>
            <w:pPr>
              <w:spacing w:after="0"/>
              <w:rPr>
                <w:sz w:val="14"/>
                <w:szCs w:val="14"/>
                <w:color w:val="auto"/>
              </w:rPr>
            </w:pPr>
          </w:p>
        </w:tc>
        <w:tc>
          <w:tcPr>
            <w:tcW w:w="1540" w:type="dxa"/>
            <w:vAlign w:val="bottom"/>
            <w:gridSpan w:val="2"/>
          </w:tcPr>
          <w:p>
            <w:pPr>
              <w:jc w:val="center"/>
              <w:ind w:right="194"/>
              <w:spacing w:after="0"/>
              <w:rPr>
                <w:sz w:val="20"/>
                <w:szCs w:val="20"/>
                <w:color w:val="auto"/>
              </w:rPr>
            </w:pPr>
            <w:r>
              <w:rPr>
                <w:rFonts w:ascii="Arial" w:cs="Arial" w:eastAsia="Arial" w:hAnsi="Arial"/>
                <w:sz w:val="13"/>
                <w:szCs w:val="13"/>
                <w:color w:val="auto"/>
              </w:rPr>
              <w:t>Corrective Provisions</w:t>
            </w:r>
          </w:p>
        </w:tc>
        <w:tc>
          <w:tcPr>
            <w:tcW w:w="1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3"/>
                <w:szCs w:val="13"/>
                <w:color w:val="auto"/>
              </w:rPr>
              <w:t>with Buffer</w:t>
            </w:r>
          </w:p>
        </w:tc>
        <w:tc>
          <w:tcPr>
            <w:tcW w:w="0" w:type="dxa"/>
            <w:vAlign w:val="bottom"/>
          </w:tcPr>
          <w:p>
            <w:pPr>
              <w:spacing w:after="0"/>
              <w:rPr>
                <w:sz w:val="1"/>
                <w:szCs w:val="1"/>
                <w:color w:val="auto"/>
              </w:rPr>
            </w:pPr>
          </w:p>
        </w:tc>
      </w:tr>
      <w:tr>
        <w:trPr>
          <w:trHeight w:val="185"/>
        </w:trPr>
        <w:tc>
          <w:tcPr>
            <w:tcW w:w="340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Pr>
          <w:p>
            <w:pPr>
              <w:spacing w:after="0"/>
              <w:rPr>
                <w:sz w:val="16"/>
                <w:szCs w:val="16"/>
                <w:color w:val="auto"/>
              </w:rPr>
            </w:pPr>
          </w:p>
        </w:tc>
        <w:tc>
          <w:tcPr>
            <w:tcW w:w="980" w:type="dxa"/>
            <w:vAlign w:val="bottom"/>
          </w:tcPr>
          <w:p>
            <w:pPr>
              <w:jc w:val="right"/>
              <w:ind w:right="434"/>
              <w:spacing w:after="0"/>
              <w:rPr>
                <w:sz w:val="20"/>
                <w:szCs w:val="20"/>
                <w:color w:val="auto"/>
              </w:rPr>
            </w:pPr>
            <w:r>
              <w:rPr>
                <w:rFonts w:ascii="Arial" w:cs="Arial" w:eastAsia="Arial" w:hAnsi="Arial"/>
                <w:sz w:val="13"/>
                <w:szCs w:val="13"/>
                <w:color w:val="auto"/>
              </w:rPr>
              <w:t>Amount</w:t>
            </w:r>
          </w:p>
        </w:tc>
        <w:tc>
          <w:tcPr>
            <w:tcW w:w="780" w:type="dxa"/>
            <w:vAlign w:val="bottom"/>
          </w:tcPr>
          <w:p>
            <w:pPr>
              <w:jc w:val="right"/>
              <w:ind w:right="334"/>
              <w:spacing w:after="0"/>
              <w:rPr>
                <w:sz w:val="20"/>
                <w:szCs w:val="20"/>
                <w:color w:val="auto"/>
              </w:rPr>
            </w:pPr>
            <w:r>
              <w:rPr>
                <w:rFonts w:ascii="Arial" w:cs="Arial" w:eastAsia="Arial" w:hAnsi="Arial"/>
                <w:sz w:val="13"/>
                <w:szCs w:val="13"/>
                <w:color w:val="auto"/>
              </w:rPr>
              <w:t>Ratio</w:t>
            </w:r>
          </w:p>
        </w:tc>
        <w:tc>
          <w:tcPr>
            <w:tcW w:w="12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Amount</w:t>
            </w:r>
          </w:p>
        </w:tc>
        <w:tc>
          <w:tcPr>
            <w:tcW w:w="840" w:type="dxa"/>
            <w:vAlign w:val="bottom"/>
          </w:tcPr>
          <w:p>
            <w:pPr>
              <w:jc w:val="right"/>
              <w:ind w:right="274"/>
              <w:spacing w:after="0"/>
              <w:rPr>
                <w:sz w:val="20"/>
                <w:szCs w:val="20"/>
                <w:color w:val="auto"/>
              </w:rPr>
            </w:pPr>
            <w:r>
              <w:rPr>
                <w:rFonts w:ascii="Arial" w:cs="Arial" w:eastAsia="Arial" w:hAnsi="Arial"/>
                <w:sz w:val="13"/>
                <w:szCs w:val="13"/>
                <w:color w:val="auto"/>
              </w:rPr>
              <w:t>Ratio</w:t>
            </w:r>
          </w:p>
        </w:tc>
        <w:tc>
          <w:tcPr>
            <w:tcW w:w="1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3"/>
                <w:szCs w:val="13"/>
                <w:color w:val="auto"/>
                <w:w w:val="98"/>
              </w:rPr>
              <w:t>Amount</w:t>
            </w:r>
          </w:p>
        </w:tc>
        <w:tc>
          <w:tcPr>
            <w:tcW w:w="800" w:type="dxa"/>
            <w:vAlign w:val="bottom"/>
          </w:tcPr>
          <w:p>
            <w:pPr>
              <w:jc w:val="right"/>
              <w:ind w:right="234"/>
              <w:spacing w:after="0"/>
              <w:rPr>
                <w:sz w:val="20"/>
                <w:szCs w:val="20"/>
                <w:color w:val="auto"/>
              </w:rPr>
            </w:pPr>
            <w:r>
              <w:rPr>
                <w:rFonts w:ascii="Arial" w:cs="Arial" w:eastAsia="Arial" w:hAnsi="Arial"/>
                <w:sz w:val="13"/>
                <w:szCs w:val="13"/>
                <w:color w:val="auto"/>
              </w:rPr>
              <w:t>Ratio</w:t>
            </w:r>
          </w:p>
        </w:tc>
        <w:tc>
          <w:tcPr>
            <w:tcW w:w="760" w:type="dxa"/>
            <w:vAlign w:val="bottom"/>
            <w:gridSpan w:val="2"/>
          </w:tcPr>
          <w:p>
            <w:pPr>
              <w:jc w:val="right"/>
              <w:ind w:right="154"/>
              <w:spacing w:after="0"/>
              <w:rPr>
                <w:sz w:val="20"/>
                <w:szCs w:val="20"/>
                <w:color w:val="auto"/>
              </w:rPr>
            </w:pPr>
            <w:r>
              <w:rPr>
                <w:rFonts w:ascii="Arial" w:cs="Arial" w:eastAsia="Arial" w:hAnsi="Arial"/>
                <w:sz w:val="13"/>
                <w:szCs w:val="13"/>
                <w:color w:val="auto"/>
              </w:rPr>
              <w:t>Amount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Ratio</w:t>
            </w:r>
          </w:p>
        </w:tc>
        <w:tc>
          <w:tcPr>
            <w:tcW w:w="0" w:type="dxa"/>
            <w:vAlign w:val="bottom"/>
          </w:tcPr>
          <w:p>
            <w:pPr>
              <w:spacing w:after="0"/>
              <w:rPr>
                <w:sz w:val="1"/>
                <w:szCs w:val="1"/>
                <w:color w:val="auto"/>
              </w:rPr>
            </w:pPr>
          </w:p>
        </w:tc>
      </w:tr>
      <w:tr>
        <w:trPr>
          <w:trHeight w:val="149"/>
        </w:trPr>
        <w:tc>
          <w:tcPr>
            <w:tcW w:w="340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As of September 30, 2023:</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40" w:type="dxa"/>
            <w:vAlign w:val="bottom"/>
            <w:tcBorders>
              <w:left w:val="single" w:sz="8" w:color="CFF0FC"/>
            </w:tcBorders>
            <w:shd w:val="clear" w:color="auto" w:fill="000000"/>
          </w:tcPr>
          <w:p>
            <w:pPr>
              <w:spacing w:after="0"/>
              <w:rPr>
                <w:sz w:val="3"/>
                <w:szCs w:val="3"/>
                <w:color w:val="auto"/>
              </w:rPr>
            </w:pPr>
          </w:p>
        </w:tc>
        <w:tc>
          <w:tcPr>
            <w:tcW w:w="1160" w:type="dxa"/>
            <w:vAlign w:val="bottom"/>
            <w:tcBorders>
              <w:right w:val="single" w:sz="8" w:color="auto"/>
            </w:tcBorders>
            <w:shd w:val="clear" w:color="auto" w:fill="000000"/>
          </w:tcPr>
          <w:p>
            <w:pPr>
              <w:spacing w:after="0"/>
              <w:rPr>
                <w:sz w:val="3"/>
                <w:szCs w:val="3"/>
                <w:color w:val="auto"/>
              </w:rPr>
            </w:pPr>
          </w:p>
        </w:tc>
        <w:tc>
          <w:tcPr>
            <w:tcW w:w="180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400" w:type="dxa"/>
            <w:vAlign w:val="bottom"/>
            <w:gridSpan w:val="3"/>
            <w:vMerge w:val="restart"/>
          </w:tcPr>
          <w:p>
            <w:pPr>
              <w:ind w:left="100"/>
              <w:spacing w:after="0"/>
              <w:rPr>
                <w:sz w:val="20"/>
                <w:szCs w:val="20"/>
                <w:color w:val="auto"/>
              </w:rPr>
            </w:pPr>
            <w:r>
              <w:rPr>
                <w:rFonts w:ascii="Arial" w:cs="Arial" w:eastAsia="Arial" w:hAnsi="Arial"/>
                <w:sz w:val="13"/>
                <w:szCs w:val="13"/>
                <w:color w:val="auto"/>
              </w:rPr>
              <w:t>Total Core Capital (to Risk-Weighted Assets)</w:t>
            </w: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108,82</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400" w:type="dxa"/>
            <w:vAlign w:val="bottom"/>
            <w:gridSpan w:val="3"/>
            <w:vMerge w:val="continue"/>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294"/>
              <w:spacing w:after="0"/>
              <w:rPr>
                <w:sz w:val="20"/>
                <w:szCs w:val="20"/>
                <w:color w:val="auto"/>
              </w:rPr>
            </w:pPr>
            <w:r>
              <w:rPr>
                <w:rFonts w:ascii="Arial" w:cs="Arial" w:eastAsia="Arial" w:hAnsi="Arial"/>
                <w:sz w:val="13"/>
                <w:szCs w:val="13"/>
                <w:color w:val="auto"/>
              </w:rPr>
              <w:t>153,004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14.76 %</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140"/>
              <w:spacing w:after="0"/>
              <w:rPr>
                <w:sz w:val="20"/>
                <w:szCs w:val="20"/>
                <w:color w:val="auto"/>
              </w:rPr>
            </w:pPr>
            <w:r>
              <w:rPr>
                <w:rFonts w:ascii="Arial" w:cs="Arial" w:eastAsia="Arial" w:hAnsi="Arial"/>
                <w:sz w:val="13"/>
                <w:szCs w:val="13"/>
                <w:color w:val="auto"/>
              </w:rPr>
              <w:t>82,916</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8.00 %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14"/>
              <w:spacing w:after="0"/>
              <w:rPr>
                <w:sz w:val="20"/>
                <w:szCs w:val="20"/>
                <w:color w:val="auto"/>
              </w:rPr>
            </w:pPr>
            <w:r>
              <w:rPr>
                <w:rFonts w:ascii="Arial" w:cs="Arial" w:eastAsia="Arial" w:hAnsi="Arial"/>
                <w:sz w:val="13"/>
                <w:szCs w:val="13"/>
                <w:color w:val="auto"/>
              </w:rPr>
              <w:t>103,645</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94"/>
              <w:spacing w:after="0"/>
              <w:rPr>
                <w:sz w:val="20"/>
                <w:szCs w:val="20"/>
                <w:color w:val="auto"/>
              </w:rPr>
            </w:pPr>
            <w:r>
              <w:rPr>
                <w:rFonts w:ascii="Arial" w:cs="Arial" w:eastAsia="Arial" w:hAnsi="Arial"/>
                <w:sz w:val="13"/>
                <w:szCs w:val="13"/>
                <w:color w:val="auto"/>
              </w:rPr>
              <w:t>8</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10.50 %</w:t>
            </w:r>
          </w:p>
        </w:tc>
        <w:tc>
          <w:tcPr>
            <w:tcW w:w="0" w:type="dxa"/>
            <w:vAlign w:val="bottom"/>
          </w:tcPr>
          <w:p>
            <w:pPr>
              <w:spacing w:after="0"/>
              <w:rPr>
                <w:sz w:val="1"/>
                <w:szCs w:val="1"/>
                <w:color w:val="auto"/>
              </w:rPr>
            </w:pPr>
          </w:p>
        </w:tc>
      </w:tr>
      <w:tr>
        <w:trPr>
          <w:trHeight w:val="96"/>
        </w:trPr>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400" w:type="dxa"/>
            <w:vAlign w:val="bottom"/>
            <w:gridSpan w:val="3"/>
          </w:tcPr>
          <w:p>
            <w:pPr>
              <w:ind w:left="100"/>
              <w:spacing w:after="0"/>
              <w:rPr>
                <w:sz w:val="20"/>
                <w:szCs w:val="20"/>
                <w:color w:val="auto"/>
              </w:rPr>
            </w:pPr>
            <w:r>
              <w:rPr>
                <w:rFonts w:ascii="Arial" w:cs="Arial" w:eastAsia="Arial" w:hAnsi="Arial"/>
                <w:sz w:val="13"/>
                <w:szCs w:val="13"/>
                <w:color w:val="auto"/>
              </w:rPr>
              <w:t>Tier 1 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140,002</w:t>
            </w:r>
          </w:p>
        </w:tc>
        <w:tc>
          <w:tcPr>
            <w:tcW w:w="780" w:type="dxa"/>
            <w:vAlign w:val="bottom"/>
          </w:tcPr>
          <w:p>
            <w:pPr>
              <w:jc w:val="right"/>
              <w:spacing w:after="0"/>
              <w:rPr>
                <w:sz w:val="20"/>
                <w:szCs w:val="20"/>
                <w:color w:val="auto"/>
              </w:rPr>
            </w:pPr>
            <w:r>
              <w:rPr>
                <w:rFonts w:ascii="Arial" w:cs="Arial" w:eastAsia="Arial" w:hAnsi="Arial"/>
                <w:sz w:val="13"/>
                <w:szCs w:val="13"/>
                <w:color w:val="auto"/>
              </w:rPr>
              <w:t>13.51 %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62,187</w:t>
            </w:r>
          </w:p>
        </w:tc>
        <w:tc>
          <w:tcPr>
            <w:tcW w:w="840" w:type="dxa"/>
            <w:vAlign w:val="bottom"/>
          </w:tcPr>
          <w:p>
            <w:pPr>
              <w:jc w:val="right"/>
              <w:spacing w:after="0"/>
              <w:rPr>
                <w:sz w:val="20"/>
                <w:szCs w:val="20"/>
                <w:color w:val="auto"/>
              </w:rPr>
            </w:pPr>
            <w:r>
              <w:rPr>
                <w:rFonts w:ascii="Arial" w:cs="Arial" w:eastAsia="Arial" w:hAnsi="Arial"/>
                <w:sz w:val="13"/>
                <w:szCs w:val="13"/>
                <w:color w:val="auto"/>
              </w:rPr>
              <w:t>6.00 %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82,916</w:t>
            </w:r>
          </w:p>
        </w:tc>
        <w:tc>
          <w:tcPr>
            <w:tcW w:w="80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88,099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8.50 %</w:t>
            </w:r>
          </w:p>
        </w:tc>
        <w:tc>
          <w:tcPr>
            <w:tcW w:w="0" w:type="dxa"/>
            <w:vAlign w:val="bottom"/>
          </w:tcPr>
          <w:p>
            <w:pPr>
              <w:spacing w:after="0"/>
              <w:rPr>
                <w:sz w:val="1"/>
                <w:szCs w:val="1"/>
                <w:color w:val="auto"/>
              </w:rPr>
            </w:pPr>
          </w:p>
        </w:tc>
      </w:tr>
      <w:tr>
        <w:trPr>
          <w:trHeight w:val="180"/>
        </w:trPr>
        <w:tc>
          <w:tcPr>
            <w:tcW w:w="3400" w:type="dxa"/>
            <w:vAlign w:val="bottom"/>
            <w:gridSpan w:val="3"/>
          </w:tcPr>
          <w:p>
            <w:pPr>
              <w:ind w:left="100"/>
              <w:spacing w:after="0"/>
              <w:rPr>
                <w:sz w:val="20"/>
                <w:szCs w:val="20"/>
                <w:color w:val="auto"/>
              </w:rPr>
            </w:pPr>
            <w:r>
              <w:rPr>
                <w:rFonts w:ascii="Arial" w:cs="Arial" w:eastAsia="Arial" w:hAnsi="Arial"/>
                <w:sz w:val="13"/>
                <w:szCs w:val="13"/>
                <w:color w:val="auto"/>
              </w:rPr>
              <w:t>Tier 1 Common Equity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140,002</w:t>
            </w:r>
          </w:p>
        </w:tc>
        <w:tc>
          <w:tcPr>
            <w:tcW w:w="780" w:type="dxa"/>
            <w:vAlign w:val="bottom"/>
          </w:tcPr>
          <w:p>
            <w:pPr>
              <w:jc w:val="right"/>
              <w:spacing w:after="0"/>
              <w:rPr>
                <w:sz w:val="20"/>
                <w:szCs w:val="20"/>
                <w:color w:val="auto"/>
              </w:rPr>
            </w:pPr>
            <w:r>
              <w:rPr>
                <w:rFonts w:ascii="Arial" w:cs="Arial" w:eastAsia="Arial" w:hAnsi="Arial"/>
                <w:sz w:val="13"/>
                <w:szCs w:val="13"/>
                <w:color w:val="auto"/>
              </w:rPr>
              <w:t>13.51 %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46,640</w:t>
            </w:r>
          </w:p>
        </w:tc>
        <w:tc>
          <w:tcPr>
            <w:tcW w:w="840" w:type="dxa"/>
            <w:vAlign w:val="bottom"/>
          </w:tcPr>
          <w:p>
            <w:pPr>
              <w:jc w:val="right"/>
              <w:spacing w:after="0"/>
              <w:rPr>
                <w:sz w:val="20"/>
                <w:szCs w:val="20"/>
                <w:color w:val="auto"/>
              </w:rPr>
            </w:pPr>
            <w:r>
              <w:rPr>
                <w:rFonts w:ascii="Arial" w:cs="Arial" w:eastAsia="Arial" w:hAnsi="Arial"/>
                <w:sz w:val="13"/>
                <w:szCs w:val="13"/>
                <w:color w:val="auto"/>
              </w:rPr>
              <w:t>4.50 %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67,370</w:t>
            </w:r>
          </w:p>
        </w:tc>
        <w:tc>
          <w:tcPr>
            <w:tcW w:w="800" w:type="dxa"/>
            <w:vAlign w:val="bottom"/>
          </w:tcPr>
          <w:p>
            <w:pPr>
              <w:jc w:val="right"/>
              <w:spacing w:after="0"/>
              <w:rPr>
                <w:sz w:val="20"/>
                <w:szCs w:val="20"/>
                <w:color w:val="auto"/>
              </w:rPr>
            </w:pPr>
            <w:r>
              <w:rPr>
                <w:rFonts w:ascii="Arial" w:cs="Arial" w:eastAsia="Arial" w:hAnsi="Arial"/>
                <w:sz w:val="13"/>
                <w:szCs w:val="13"/>
                <w:color w:val="auto"/>
              </w:rPr>
              <w:t>6.50 %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72,552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7.00 %</w:t>
            </w:r>
          </w:p>
        </w:tc>
        <w:tc>
          <w:tcPr>
            <w:tcW w:w="0" w:type="dxa"/>
            <w:vAlign w:val="bottom"/>
          </w:tcPr>
          <w:p>
            <w:pPr>
              <w:spacing w:after="0"/>
              <w:rPr>
                <w:sz w:val="1"/>
                <w:szCs w:val="1"/>
                <w:color w:val="auto"/>
              </w:rPr>
            </w:pPr>
          </w:p>
        </w:tc>
      </w:tr>
      <w:tr>
        <w:trPr>
          <w:trHeight w:val="180"/>
        </w:trPr>
        <w:tc>
          <w:tcPr>
            <w:tcW w:w="440" w:type="dxa"/>
            <w:vAlign w:val="bottom"/>
          </w:tcPr>
          <w:p>
            <w:pPr>
              <w:ind w:left="100"/>
              <w:spacing w:after="0"/>
              <w:rPr>
                <w:sz w:val="20"/>
                <w:szCs w:val="20"/>
                <w:color w:val="auto"/>
              </w:rPr>
            </w:pPr>
            <w:r>
              <w:rPr>
                <w:rFonts w:ascii="Arial" w:cs="Arial" w:eastAsia="Arial" w:hAnsi="Arial"/>
                <w:sz w:val="13"/>
                <w:szCs w:val="13"/>
                <w:color w:val="auto"/>
                <w:w w:val="96"/>
              </w:rPr>
              <w:t>Tier 1</w:t>
            </w:r>
          </w:p>
        </w:tc>
        <w:tc>
          <w:tcPr>
            <w:tcW w:w="2960" w:type="dxa"/>
            <w:vAlign w:val="bottom"/>
            <w:gridSpan w:val="2"/>
          </w:tcPr>
          <w:p>
            <w:pPr>
              <w:ind w:left="20"/>
              <w:spacing w:after="0"/>
              <w:rPr>
                <w:sz w:val="20"/>
                <w:szCs w:val="20"/>
                <w:color w:val="auto"/>
              </w:rPr>
            </w:pPr>
            <w:r>
              <w:rPr>
                <w:rFonts w:ascii="Arial" w:cs="Arial" w:eastAsia="Arial" w:hAnsi="Arial"/>
                <w:sz w:val="13"/>
                <w:szCs w:val="13"/>
                <w:color w:val="auto"/>
              </w:rPr>
              <w:t>Capital (to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140,002</w:t>
            </w:r>
          </w:p>
        </w:tc>
        <w:tc>
          <w:tcPr>
            <w:tcW w:w="780" w:type="dxa"/>
            <w:vAlign w:val="bottom"/>
          </w:tcPr>
          <w:p>
            <w:pPr>
              <w:jc w:val="right"/>
              <w:spacing w:after="0"/>
              <w:rPr>
                <w:sz w:val="20"/>
                <w:szCs w:val="20"/>
                <w:color w:val="auto"/>
              </w:rPr>
            </w:pPr>
            <w:r>
              <w:rPr>
                <w:rFonts w:ascii="Arial" w:cs="Arial" w:eastAsia="Arial" w:hAnsi="Arial"/>
                <w:sz w:val="13"/>
                <w:szCs w:val="13"/>
                <w:color w:val="auto"/>
              </w:rPr>
              <w:t>10.11 %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55,379</w:t>
            </w:r>
          </w:p>
        </w:tc>
        <w:tc>
          <w:tcPr>
            <w:tcW w:w="840" w:type="dxa"/>
            <w:vAlign w:val="bottom"/>
          </w:tcPr>
          <w:p>
            <w:pPr>
              <w:jc w:val="right"/>
              <w:spacing w:after="0"/>
              <w:rPr>
                <w:sz w:val="20"/>
                <w:szCs w:val="20"/>
                <w:color w:val="auto"/>
              </w:rPr>
            </w:pPr>
            <w:r>
              <w:rPr>
                <w:rFonts w:ascii="Arial" w:cs="Arial" w:eastAsia="Arial" w:hAnsi="Arial"/>
                <w:sz w:val="13"/>
                <w:szCs w:val="13"/>
                <w:color w:val="auto"/>
              </w:rPr>
              <w:t>4.00 %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69,224</w:t>
            </w:r>
          </w:p>
        </w:tc>
        <w:tc>
          <w:tcPr>
            <w:tcW w:w="800" w:type="dxa"/>
            <w:vAlign w:val="bottom"/>
          </w:tcPr>
          <w:p>
            <w:pPr>
              <w:jc w:val="right"/>
              <w:spacing w:after="0"/>
              <w:rPr>
                <w:sz w:val="20"/>
                <w:szCs w:val="20"/>
                <w:color w:val="auto"/>
              </w:rPr>
            </w:pPr>
            <w:r>
              <w:rPr>
                <w:rFonts w:ascii="Arial" w:cs="Arial" w:eastAsia="Arial" w:hAnsi="Arial"/>
                <w:sz w:val="13"/>
                <w:szCs w:val="13"/>
                <w:color w:val="auto"/>
              </w:rPr>
              <w:t>5.00 %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69,224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r>
        <w:trPr>
          <w:trHeight w:val="154"/>
        </w:trPr>
        <w:tc>
          <w:tcPr>
            <w:tcW w:w="3400" w:type="dxa"/>
            <w:vAlign w:val="bottom"/>
            <w:gridSpan w:val="3"/>
          </w:tcPr>
          <w:p>
            <w:pPr>
              <w:ind w:left="20"/>
              <w:spacing w:after="0"/>
              <w:rPr>
                <w:sz w:val="20"/>
                <w:szCs w:val="20"/>
                <w:color w:val="auto"/>
              </w:rPr>
            </w:pPr>
            <w:r>
              <w:rPr>
                <w:rFonts w:ascii="Arial" w:cs="Arial" w:eastAsia="Arial" w:hAnsi="Arial"/>
                <w:sz w:val="13"/>
                <w:szCs w:val="13"/>
                <w:color w:val="auto"/>
              </w:rPr>
              <w:t>As of December 31, 2022</w:t>
            </w: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101,10</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0" w:type="dxa"/>
            <w:vAlign w:val="bottom"/>
            <w:gridSpan w:val="3"/>
          </w:tcPr>
          <w:p>
            <w:pPr>
              <w:ind w:left="100"/>
              <w:spacing w:after="0"/>
              <w:rPr>
                <w:sz w:val="20"/>
                <w:szCs w:val="20"/>
                <w:color w:val="auto"/>
              </w:rPr>
            </w:pPr>
            <w:r>
              <w:rPr>
                <w:rFonts w:ascii="Arial" w:cs="Arial" w:eastAsia="Arial" w:hAnsi="Arial"/>
                <w:sz w:val="13"/>
                <w:szCs w:val="13"/>
                <w:color w:val="auto"/>
              </w:rPr>
              <w:t>Total Core 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145,760</w:t>
            </w:r>
          </w:p>
        </w:tc>
        <w:tc>
          <w:tcPr>
            <w:tcW w:w="780" w:type="dxa"/>
            <w:vAlign w:val="bottom"/>
          </w:tcPr>
          <w:p>
            <w:pPr>
              <w:jc w:val="right"/>
              <w:spacing w:after="0"/>
              <w:rPr>
                <w:sz w:val="20"/>
                <w:szCs w:val="20"/>
                <w:color w:val="auto"/>
              </w:rPr>
            </w:pPr>
            <w:r>
              <w:rPr>
                <w:rFonts w:ascii="Arial" w:cs="Arial" w:eastAsia="Arial" w:hAnsi="Arial"/>
                <w:sz w:val="13"/>
                <w:szCs w:val="13"/>
                <w:color w:val="auto"/>
              </w:rPr>
              <w:t>15.14 %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77,029</w:t>
            </w:r>
          </w:p>
        </w:tc>
        <w:tc>
          <w:tcPr>
            <w:tcW w:w="84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96,286</w:t>
            </w:r>
          </w:p>
        </w:tc>
        <w:tc>
          <w:tcPr>
            <w:tcW w:w="800" w:type="dxa"/>
            <w:vAlign w:val="bottom"/>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10.50 %</w:t>
            </w:r>
          </w:p>
        </w:tc>
        <w:tc>
          <w:tcPr>
            <w:tcW w:w="0" w:type="dxa"/>
            <w:vAlign w:val="bottom"/>
          </w:tcPr>
          <w:p>
            <w:pPr>
              <w:spacing w:after="0"/>
              <w:rPr>
                <w:sz w:val="1"/>
                <w:szCs w:val="1"/>
                <w:color w:val="auto"/>
              </w:rPr>
            </w:pPr>
          </w:p>
        </w:tc>
      </w:tr>
      <w:tr>
        <w:trPr>
          <w:trHeight w:val="180"/>
        </w:trPr>
        <w:tc>
          <w:tcPr>
            <w:tcW w:w="440" w:type="dxa"/>
            <w:vAlign w:val="bottom"/>
          </w:tcPr>
          <w:p>
            <w:pPr>
              <w:ind w:left="100"/>
              <w:spacing w:after="0"/>
              <w:rPr>
                <w:sz w:val="20"/>
                <w:szCs w:val="20"/>
                <w:color w:val="auto"/>
              </w:rPr>
            </w:pPr>
            <w:r>
              <w:rPr>
                <w:rFonts w:ascii="Arial" w:cs="Arial" w:eastAsia="Arial" w:hAnsi="Arial"/>
                <w:sz w:val="13"/>
                <w:szCs w:val="13"/>
                <w:color w:val="auto"/>
                <w:w w:val="96"/>
              </w:rPr>
              <w:t>Tier 1</w:t>
            </w:r>
          </w:p>
        </w:tc>
        <w:tc>
          <w:tcPr>
            <w:tcW w:w="2960" w:type="dxa"/>
            <w:vAlign w:val="bottom"/>
            <w:gridSpan w:val="2"/>
          </w:tcPr>
          <w:p>
            <w:pPr>
              <w:ind w:left="20"/>
              <w:spacing w:after="0"/>
              <w:rPr>
                <w:sz w:val="20"/>
                <w:szCs w:val="20"/>
                <w:color w:val="auto"/>
              </w:rPr>
            </w:pPr>
            <w:r>
              <w:rPr>
                <w:rFonts w:ascii="Arial" w:cs="Arial" w:eastAsia="Arial" w:hAnsi="Arial"/>
                <w:sz w:val="13"/>
                <w:szCs w:val="13"/>
                <w:color w:val="auto"/>
              </w:rPr>
              <w:t>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133,683</w:t>
            </w:r>
          </w:p>
        </w:tc>
        <w:tc>
          <w:tcPr>
            <w:tcW w:w="780" w:type="dxa"/>
            <w:vAlign w:val="bottom"/>
          </w:tcPr>
          <w:p>
            <w:pPr>
              <w:jc w:val="right"/>
              <w:spacing w:after="0"/>
              <w:rPr>
                <w:sz w:val="20"/>
                <w:szCs w:val="20"/>
                <w:color w:val="auto"/>
              </w:rPr>
            </w:pPr>
            <w:r>
              <w:rPr>
                <w:rFonts w:ascii="Arial" w:cs="Arial" w:eastAsia="Arial" w:hAnsi="Arial"/>
                <w:sz w:val="13"/>
                <w:szCs w:val="13"/>
                <w:color w:val="auto"/>
              </w:rPr>
              <w:t>13.88 %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57,772</w:t>
            </w:r>
          </w:p>
        </w:tc>
        <w:tc>
          <w:tcPr>
            <w:tcW w:w="840" w:type="dxa"/>
            <w:vAlign w:val="bottom"/>
          </w:tcPr>
          <w:p>
            <w:pPr>
              <w:jc w:val="right"/>
              <w:spacing w:after="0"/>
              <w:rPr>
                <w:sz w:val="20"/>
                <w:szCs w:val="20"/>
                <w:color w:val="auto"/>
              </w:rPr>
            </w:pPr>
            <w:r>
              <w:rPr>
                <w:rFonts w:ascii="Arial" w:cs="Arial" w:eastAsia="Arial" w:hAnsi="Arial"/>
                <w:sz w:val="13"/>
                <w:szCs w:val="13"/>
                <w:color w:val="auto"/>
              </w:rPr>
              <w:t>6.00 %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77,029</w:t>
            </w:r>
          </w:p>
        </w:tc>
        <w:tc>
          <w:tcPr>
            <w:tcW w:w="80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81,843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8.50 %</w:t>
            </w:r>
          </w:p>
        </w:tc>
        <w:tc>
          <w:tcPr>
            <w:tcW w:w="0" w:type="dxa"/>
            <w:vAlign w:val="bottom"/>
          </w:tcPr>
          <w:p>
            <w:pPr>
              <w:spacing w:after="0"/>
              <w:rPr>
                <w:sz w:val="1"/>
                <w:szCs w:val="1"/>
                <w:color w:val="auto"/>
              </w:rPr>
            </w:pPr>
          </w:p>
        </w:tc>
      </w:tr>
      <w:tr>
        <w:trPr>
          <w:trHeight w:val="180"/>
        </w:trPr>
        <w:tc>
          <w:tcPr>
            <w:tcW w:w="440" w:type="dxa"/>
            <w:vAlign w:val="bottom"/>
          </w:tcPr>
          <w:p>
            <w:pPr>
              <w:ind w:left="100"/>
              <w:spacing w:after="0"/>
              <w:rPr>
                <w:sz w:val="20"/>
                <w:szCs w:val="20"/>
                <w:color w:val="auto"/>
              </w:rPr>
            </w:pPr>
            <w:r>
              <w:rPr>
                <w:rFonts w:ascii="Arial" w:cs="Arial" w:eastAsia="Arial" w:hAnsi="Arial"/>
                <w:sz w:val="13"/>
                <w:szCs w:val="13"/>
                <w:color w:val="auto"/>
                <w:w w:val="96"/>
              </w:rPr>
              <w:t>Tier 1</w:t>
            </w:r>
          </w:p>
        </w:tc>
        <w:tc>
          <w:tcPr>
            <w:tcW w:w="2960" w:type="dxa"/>
            <w:vAlign w:val="bottom"/>
            <w:gridSpan w:val="2"/>
          </w:tcPr>
          <w:p>
            <w:pPr>
              <w:ind w:left="20"/>
              <w:spacing w:after="0"/>
              <w:rPr>
                <w:sz w:val="20"/>
                <w:szCs w:val="20"/>
                <w:color w:val="auto"/>
              </w:rPr>
            </w:pPr>
            <w:r>
              <w:rPr>
                <w:rFonts w:ascii="Arial" w:cs="Arial" w:eastAsia="Arial" w:hAnsi="Arial"/>
                <w:sz w:val="13"/>
                <w:szCs w:val="13"/>
                <w:color w:val="auto"/>
              </w:rPr>
              <w:t>Common Equity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133,683</w:t>
            </w:r>
          </w:p>
        </w:tc>
        <w:tc>
          <w:tcPr>
            <w:tcW w:w="780" w:type="dxa"/>
            <w:vAlign w:val="bottom"/>
          </w:tcPr>
          <w:p>
            <w:pPr>
              <w:jc w:val="right"/>
              <w:spacing w:after="0"/>
              <w:rPr>
                <w:sz w:val="20"/>
                <w:szCs w:val="20"/>
                <w:color w:val="auto"/>
              </w:rPr>
            </w:pPr>
            <w:r>
              <w:rPr>
                <w:rFonts w:ascii="Arial" w:cs="Arial" w:eastAsia="Arial" w:hAnsi="Arial"/>
                <w:sz w:val="13"/>
                <w:szCs w:val="13"/>
                <w:color w:val="auto"/>
              </w:rPr>
              <w:t>13.88 %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43,329</w:t>
            </w:r>
          </w:p>
        </w:tc>
        <w:tc>
          <w:tcPr>
            <w:tcW w:w="840" w:type="dxa"/>
            <w:vAlign w:val="bottom"/>
          </w:tcPr>
          <w:p>
            <w:pPr>
              <w:jc w:val="right"/>
              <w:spacing w:after="0"/>
              <w:rPr>
                <w:sz w:val="20"/>
                <w:szCs w:val="20"/>
                <w:color w:val="auto"/>
              </w:rPr>
            </w:pPr>
            <w:r>
              <w:rPr>
                <w:rFonts w:ascii="Arial" w:cs="Arial" w:eastAsia="Arial" w:hAnsi="Arial"/>
                <w:sz w:val="13"/>
                <w:szCs w:val="13"/>
                <w:color w:val="auto"/>
              </w:rPr>
              <w:t>4.50 %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62,586</w:t>
            </w:r>
          </w:p>
        </w:tc>
        <w:tc>
          <w:tcPr>
            <w:tcW w:w="800" w:type="dxa"/>
            <w:vAlign w:val="bottom"/>
          </w:tcPr>
          <w:p>
            <w:pPr>
              <w:jc w:val="right"/>
              <w:spacing w:after="0"/>
              <w:rPr>
                <w:sz w:val="20"/>
                <w:szCs w:val="20"/>
                <w:color w:val="auto"/>
              </w:rPr>
            </w:pPr>
            <w:r>
              <w:rPr>
                <w:rFonts w:ascii="Arial" w:cs="Arial" w:eastAsia="Arial" w:hAnsi="Arial"/>
                <w:sz w:val="13"/>
                <w:szCs w:val="13"/>
                <w:color w:val="auto"/>
              </w:rPr>
              <w:t>6.50 %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67,400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7.00 %</w:t>
            </w:r>
          </w:p>
        </w:tc>
        <w:tc>
          <w:tcPr>
            <w:tcW w:w="0" w:type="dxa"/>
            <w:vAlign w:val="bottom"/>
          </w:tcPr>
          <w:p>
            <w:pPr>
              <w:spacing w:after="0"/>
              <w:rPr>
                <w:sz w:val="1"/>
                <w:szCs w:val="1"/>
                <w:color w:val="auto"/>
              </w:rPr>
            </w:pPr>
          </w:p>
        </w:tc>
      </w:tr>
      <w:tr>
        <w:trPr>
          <w:trHeight w:val="180"/>
        </w:trPr>
        <w:tc>
          <w:tcPr>
            <w:tcW w:w="440" w:type="dxa"/>
            <w:vAlign w:val="bottom"/>
          </w:tcPr>
          <w:p>
            <w:pPr>
              <w:ind w:left="100"/>
              <w:spacing w:after="0"/>
              <w:rPr>
                <w:sz w:val="20"/>
                <w:szCs w:val="20"/>
                <w:color w:val="auto"/>
              </w:rPr>
            </w:pPr>
            <w:r>
              <w:rPr>
                <w:rFonts w:ascii="Arial" w:cs="Arial" w:eastAsia="Arial" w:hAnsi="Arial"/>
                <w:sz w:val="13"/>
                <w:szCs w:val="13"/>
                <w:color w:val="auto"/>
                <w:w w:val="96"/>
              </w:rPr>
              <w:t>Tier 1</w:t>
            </w:r>
          </w:p>
        </w:tc>
        <w:tc>
          <w:tcPr>
            <w:tcW w:w="2960" w:type="dxa"/>
            <w:vAlign w:val="bottom"/>
            <w:gridSpan w:val="2"/>
          </w:tcPr>
          <w:p>
            <w:pPr>
              <w:ind w:left="20"/>
              <w:spacing w:after="0"/>
              <w:rPr>
                <w:sz w:val="20"/>
                <w:szCs w:val="20"/>
                <w:color w:val="auto"/>
              </w:rPr>
            </w:pPr>
            <w:r>
              <w:rPr>
                <w:rFonts w:ascii="Arial" w:cs="Arial" w:eastAsia="Arial" w:hAnsi="Arial"/>
                <w:sz w:val="13"/>
                <w:szCs w:val="13"/>
                <w:color w:val="auto"/>
              </w:rPr>
              <w:t>Capital (to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133,683</w:t>
            </w:r>
          </w:p>
        </w:tc>
        <w:tc>
          <w:tcPr>
            <w:tcW w:w="780" w:type="dxa"/>
            <w:vAlign w:val="bottom"/>
          </w:tcPr>
          <w:p>
            <w:pPr>
              <w:jc w:val="right"/>
              <w:spacing w:after="0"/>
              <w:rPr>
                <w:sz w:val="20"/>
                <w:szCs w:val="20"/>
                <w:color w:val="auto"/>
              </w:rPr>
            </w:pPr>
            <w:r>
              <w:rPr>
                <w:rFonts w:ascii="Arial" w:cs="Arial" w:eastAsia="Arial" w:hAnsi="Arial"/>
                <w:sz w:val="13"/>
                <w:szCs w:val="13"/>
                <w:color w:val="auto"/>
              </w:rPr>
              <w:t>9.67 %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55,314</w:t>
            </w:r>
          </w:p>
        </w:tc>
        <w:tc>
          <w:tcPr>
            <w:tcW w:w="840" w:type="dxa"/>
            <w:vAlign w:val="bottom"/>
          </w:tcPr>
          <w:p>
            <w:pPr>
              <w:jc w:val="right"/>
              <w:spacing w:after="0"/>
              <w:rPr>
                <w:sz w:val="20"/>
                <w:szCs w:val="20"/>
                <w:color w:val="auto"/>
              </w:rPr>
            </w:pPr>
            <w:r>
              <w:rPr>
                <w:rFonts w:ascii="Arial" w:cs="Arial" w:eastAsia="Arial" w:hAnsi="Arial"/>
                <w:sz w:val="13"/>
                <w:szCs w:val="13"/>
                <w:color w:val="auto"/>
              </w:rPr>
              <w:t>4.00 %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69,142</w:t>
            </w:r>
          </w:p>
        </w:tc>
        <w:tc>
          <w:tcPr>
            <w:tcW w:w="800" w:type="dxa"/>
            <w:vAlign w:val="bottom"/>
          </w:tcPr>
          <w:p>
            <w:pPr>
              <w:jc w:val="right"/>
              <w:spacing w:after="0"/>
              <w:rPr>
                <w:sz w:val="20"/>
                <w:szCs w:val="20"/>
                <w:color w:val="auto"/>
              </w:rPr>
            </w:pPr>
            <w:r>
              <w:rPr>
                <w:rFonts w:ascii="Arial" w:cs="Arial" w:eastAsia="Arial" w:hAnsi="Arial"/>
                <w:sz w:val="13"/>
                <w:szCs w:val="13"/>
                <w:color w:val="auto"/>
              </w:rPr>
              <w:t>5.00 %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69,142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-1006475</wp:posOffset>
            </wp:positionV>
            <wp:extent cx="6707505"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-777875</wp:posOffset>
            </wp:positionV>
            <wp:extent cx="6707505"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-549275</wp:posOffset>
            </wp:positionV>
            <wp:extent cx="6707505" cy="2133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2133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-221615</wp:posOffset>
            </wp:positionV>
            <wp:extent cx="6707505"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 GAAP financial measure as part of its financial disclosures. The SEC has exempted from the definition of “non -GAAP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59" w:right="6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Regulatory Capital Ratios (Bank only)</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Total capital (to risk-weighted assets)</w:t>
            </w:r>
          </w:p>
        </w:tc>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Total equity (GAAP)</w:t>
            </w:r>
          </w:p>
        </w:tc>
        <w:tc>
          <w:tcPr>
            <w:tcW w:w="20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131,270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126,148</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Goodwill</w:t>
            </w:r>
          </w:p>
        </w:tc>
        <w:tc>
          <w:tcPr>
            <w:tcW w:w="20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(4,536 )</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(4,536 )</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Intangible assets</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(88 )</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(101 )</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Addback: Accumulated other comprehensive income</w:t>
            </w:r>
          </w:p>
        </w:tc>
        <w:tc>
          <w:tcPr>
            <w:tcW w:w="20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13,356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12,172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Tier 1 Capital</w:t>
            </w:r>
          </w:p>
        </w:tc>
        <w:tc>
          <w:tcPr>
            <w:tcW w:w="20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140,002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100"/>
              <w:spacing w:after="0"/>
              <w:rPr>
                <w:sz w:val="20"/>
                <w:szCs w:val="20"/>
                <w:color w:val="auto"/>
              </w:rPr>
            </w:pPr>
            <w:r>
              <w:rPr>
                <w:rFonts w:ascii="Arial" w:cs="Arial" w:eastAsia="Arial" w:hAnsi="Arial"/>
                <w:sz w:val="14"/>
                <w:szCs w:val="14"/>
                <w:color w:val="auto"/>
              </w:rPr>
              <w:t>Allowance for credit losses (subject to regulatory limits)</w:t>
            </w:r>
          </w:p>
        </w:tc>
        <w:tc>
          <w:tcPr>
            <w:tcW w:w="20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13,002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12,076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vMerge w:val="restart"/>
            <w:shd w:val="clear" w:color="auto" w:fill="CFF0FC"/>
          </w:tcPr>
          <w:p>
            <w:pPr>
              <w:ind w:left="300"/>
              <w:spacing w:after="0"/>
              <w:rPr>
                <w:sz w:val="20"/>
                <w:szCs w:val="20"/>
                <w:color w:val="auto"/>
              </w:rPr>
            </w:pPr>
            <w:r>
              <w:rPr>
                <w:rFonts w:ascii="Arial" w:cs="Arial" w:eastAsia="Arial" w:hAnsi="Arial"/>
                <w:sz w:val="14"/>
                <w:szCs w:val="14"/>
                <w:color w:val="auto"/>
              </w:rPr>
              <w:t>Total Tier 2 Capital</w:t>
            </w:r>
          </w:p>
        </w:tc>
        <w:tc>
          <w:tcPr>
            <w:tcW w:w="20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13,002</w:t>
            </w:r>
          </w:p>
        </w:tc>
        <w:tc>
          <w:tcPr>
            <w:tcW w:w="22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12,076</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520" w:type="dxa"/>
            <w:vAlign w:val="bottom"/>
            <w:vMerge w:val="continue"/>
            <w:shd w:val="clear" w:color="auto" w:fill="CFF0FC"/>
          </w:tcPr>
          <w:p>
            <w:pPr>
              <w:spacing w:after="0"/>
              <w:rPr>
                <w:sz w:val="10"/>
                <w:szCs w:val="10"/>
                <w:color w:val="auto"/>
              </w:rPr>
            </w:pPr>
          </w:p>
        </w:tc>
        <w:tc>
          <w:tcPr>
            <w:tcW w:w="2080" w:type="dxa"/>
            <w:vAlign w:val="bottom"/>
            <w:vMerge w:val="continue"/>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300"/>
              <w:spacing w:after="0"/>
              <w:rPr>
                <w:sz w:val="20"/>
                <w:szCs w:val="20"/>
                <w:color w:val="auto"/>
              </w:rPr>
            </w:pPr>
            <w:r>
              <w:rPr>
                <w:rFonts w:ascii="Arial" w:cs="Arial" w:eastAsia="Arial" w:hAnsi="Arial"/>
                <w:sz w:val="14"/>
                <w:szCs w:val="14"/>
                <w:color w:val="auto"/>
              </w:rPr>
              <w:t>Total Tier 1 plus Tier 2 Capital (numerator)</w:t>
            </w:r>
          </w:p>
        </w:tc>
        <w:tc>
          <w:tcPr>
            <w:tcW w:w="2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153,004</w:t>
            </w:r>
          </w:p>
        </w:tc>
        <w:tc>
          <w:tcPr>
            <w:tcW w:w="2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145,759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Risk-weighted assets (denominator)</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1,036,454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962,861</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core capital to risk-weighted assets</w:t>
            </w:r>
          </w:p>
        </w:tc>
        <w:tc>
          <w:tcPr>
            <w:tcW w:w="2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20" w:type="dxa"/>
            <w:vAlign w:val="bottom"/>
            <w:shd w:val="clear" w:color="auto" w:fill="CFF0FC"/>
          </w:tcPr>
          <w:p>
            <w:pPr>
              <w:spacing w:after="0"/>
              <w:rPr>
                <w:sz w:val="14"/>
                <w:szCs w:val="14"/>
                <w:color w:val="auto"/>
              </w:rPr>
            </w:pPr>
          </w:p>
        </w:tc>
        <w:tc>
          <w:tcPr>
            <w:tcW w:w="20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20" w:type="dxa"/>
            <w:vAlign w:val="bottom"/>
          </w:tcPr>
          <w:p>
            <w:pPr>
              <w:ind w:left="60"/>
              <w:spacing w:after="0"/>
              <w:rPr>
                <w:sz w:val="20"/>
                <w:szCs w:val="20"/>
                <w:color w:val="auto"/>
              </w:rPr>
            </w:pPr>
            <w:r>
              <w:rPr>
                <w:rFonts w:ascii="Arial" w:cs="Arial" w:eastAsia="Arial" w:hAnsi="Arial"/>
                <w:sz w:val="14"/>
                <w:szCs w:val="14"/>
                <w:b w:val="1"/>
                <w:bCs w:val="1"/>
                <w:color w:val="auto"/>
              </w:rPr>
              <w:t>Tier 1 capital (to risk-weighted assets)</w:t>
            </w:r>
          </w:p>
        </w:tc>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Total Tier 1 capital (numerator)</w:t>
            </w:r>
          </w:p>
        </w:tc>
        <w:tc>
          <w:tcPr>
            <w:tcW w:w="20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140,002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Risk-weighted assets (denominator)</w:t>
            </w:r>
          </w:p>
        </w:tc>
        <w:tc>
          <w:tcPr>
            <w:tcW w:w="20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1,036,454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962,861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Total capital to risk-weighted assets</w:t>
            </w:r>
          </w:p>
        </w:tc>
        <w:tc>
          <w:tcPr>
            <w:tcW w:w="20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13.51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13.88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b w:val="1"/>
                <w:bCs w:val="1"/>
                <w:color w:val="auto"/>
              </w:rPr>
              <w:t>Tier 1 capital (to adjusted assets)</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Total Tier 1 capital (numerator)</w:t>
            </w:r>
          </w:p>
        </w:tc>
        <w:tc>
          <w:tcPr>
            <w:tcW w:w="2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140,002</w:t>
            </w:r>
          </w:p>
        </w:tc>
        <w:tc>
          <w:tcPr>
            <w:tcW w:w="2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Total average assets</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1,389,099</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1,387,480</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Goodwill</w:t>
            </w:r>
          </w:p>
        </w:tc>
        <w:tc>
          <w:tcPr>
            <w:tcW w:w="20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(4,536 )</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(4,536 )</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Intangible assets</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(88 )</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(101 )</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Adjusted assets (denominator)</w:t>
            </w:r>
          </w:p>
        </w:tc>
        <w:tc>
          <w:tcPr>
            <w:tcW w:w="2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1,384,475</w:t>
            </w:r>
          </w:p>
        </w:tc>
        <w:tc>
          <w:tcPr>
            <w:tcW w:w="2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1,382,843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Total capital to adjusted assets</w:t>
            </w:r>
          </w:p>
        </w:tc>
        <w:tc>
          <w:tcPr>
            <w:tcW w:w="20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10.11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9.67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b w:val="1"/>
                <w:bCs w:val="1"/>
                <w:color w:val="auto"/>
              </w:rPr>
              <w:t>Tier 1 Common Equity (to risk-weighted assets)</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Total Tier 1 capital (numerator)</w:t>
            </w:r>
          </w:p>
        </w:tc>
        <w:tc>
          <w:tcPr>
            <w:tcW w:w="2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140,002</w:t>
            </w:r>
          </w:p>
        </w:tc>
        <w:tc>
          <w:tcPr>
            <w:tcW w:w="2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Risk-weighted assets (denominator)</w:t>
            </w:r>
          </w:p>
        </w:tc>
        <w:tc>
          <w:tcPr>
            <w:tcW w:w="20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1,036,454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962,861</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Tier 1 Common Equity to risk-weighted assets</w:t>
            </w:r>
          </w:p>
        </w:tc>
        <w:tc>
          <w:tcPr>
            <w:tcW w:w="2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Asset Quality and Allowance for Credit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information concerning the aggregate amount of non-accrual loans at the indicated dates: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color w:val="auto"/>
                <w:w w:val="99"/>
              </w:rPr>
              <w:t>September 30,</w:t>
            </w:r>
          </w:p>
        </w:tc>
        <w:tc>
          <w:tcPr>
            <w:tcW w:w="240" w:type="dxa"/>
            <w:vAlign w:val="bottom"/>
          </w:tcPr>
          <w:p>
            <w:pPr>
              <w:spacing w:after="0"/>
              <w:rPr>
                <w:sz w:val="17"/>
                <w:szCs w:val="17"/>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December 31,</w:t>
            </w: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September 30,</w:t>
            </w:r>
          </w:p>
        </w:tc>
      </w:tr>
      <w:tr>
        <w:trPr>
          <w:trHeight w:val="205"/>
        </w:trPr>
        <w:tc>
          <w:tcPr>
            <w:tcW w:w="4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tcPr>
          <w:p>
            <w:pPr>
              <w:spacing w:after="0"/>
              <w:rPr>
                <w:sz w:val="17"/>
                <w:szCs w:val="17"/>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7"/>
                <w:szCs w:val="17"/>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17"/>
                <w:szCs w:val="17"/>
                <w:color w:val="auto"/>
              </w:rPr>
            </w:pPr>
          </w:p>
        </w:tc>
      </w:tr>
      <w:tr>
        <w:trPr>
          <w:trHeight w:val="205"/>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Nonaccrual loans:</w:t>
            </w:r>
          </w:p>
        </w:tc>
        <w:tc>
          <w:tcPr>
            <w:tcW w:w="16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Commercial and commercial real estate loans</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62"/>
              <w:spacing w:after="0"/>
              <w:rPr>
                <w:sz w:val="20"/>
                <w:szCs w:val="20"/>
                <w:color w:val="auto"/>
              </w:rPr>
            </w:pPr>
            <w:r>
              <w:rPr>
                <w:rFonts w:ascii="Arial" w:cs="Arial" w:eastAsia="Arial" w:hAnsi="Arial"/>
                <w:sz w:val="16"/>
                <w:szCs w:val="16"/>
                <w:color w:val="auto"/>
              </w:rPr>
              <w:t>11,643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5,720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8,201</w:t>
            </w:r>
          </w:p>
        </w:tc>
        <w:tc>
          <w:tcPr>
            <w:tcW w:w="60" w:type="dxa"/>
            <w:vAlign w:val="bottom"/>
          </w:tcPr>
          <w:p>
            <w:pPr>
              <w:spacing w:after="0"/>
              <w:rPr>
                <w:sz w:val="17"/>
                <w:szCs w:val="17"/>
                <w:color w:val="auto"/>
              </w:rPr>
            </w:pPr>
          </w:p>
        </w:tc>
      </w:tr>
      <w:tr>
        <w:trPr>
          <w:trHeight w:val="205"/>
        </w:trPr>
        <w:tc>
          <w:tcPr>
            <w:tcW w:w="4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Consumer</w:t>
            </w:r>
          </w:p>
        </w:tc>
        <w:tc>
          <w:tcPr>
            <w:tcW w:w="1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2,871</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2,183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1,576</w:t>
            </w:r>
          </w:p>
        </w:tc>
        <w:tc>
          <w:tcPr>
            <w:tcW w:w="60" w:type="dxa"/>
            <w:vAlign w:val="bottom"/>
          </w:tcPr>
          <w:p>
            <w:pPr>
              <w:spacing w:after="0"/>
              <w:rPr>
                <w:sz w:val="17"/>
                <w:szCs w:val="17"/>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Residential mortgage loans</w:t>
            </w:r>
          </w:p>
        </w:tc>
        <w:tc>
          <w:tcPr>
            <w:tcW w:w="1600" w:type="dxa"/>
            <w:vAlign w:val="bottom"/>
          </w:tcPr>
          <w:p>
            <w:pPr>
              <w:spacing w:after="0"/>
              <w:rPr>
                <w:sz w:val="17"/>
                <w:szCs w:val="17"/>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color w:val="auto"/>
              </w:rPr>
              <w:t>1,659</w:t>
            </w:r>
          </w:p>
        </w:tc>
        <w:tc>
          <w:tcPr>
            <w:tcW w:w="240" w:type="dxa"/>
            <w:vAlign w:val="bottom"/>
          </w:tcPr>
          <w:p>
            <w:pPr>
              <w:spacing w:after="0"/>
              <w:rPr>
                <w:sz w:val="17"/>
                <w:szCs w:val="17"/>
                <w:color w:val="auto"/>
              </w:rPr>
            </w:pP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1,112</w:t>
            </w:r>
          </w:p>
        </w:tc>
        <w:tc>
          <w:tcPr>
            <w:tcW w:w="24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848</w:t>
            </w:r>
          </w:p>
        </w:tc>
        <w:tc>
          <w:tcPr>
            <w:tcW w:w="60" w:type="dxa"/>
            <w:vAlign w:val="bottom"/>
          </w:tcPr>
          <w:p>
            <w:pPr>
              <w:spacing w:after="0"/>
              <w:rPr>
                <w:sz w:val="17"/>
                <w:szCs w:val="17"/>
                <w:color w:val="auto"/>
              </w:rPr>
            </w:pPr>
          </w:p>
        </w:tc>
      </w:tr>
      <w:tr>
        <w:trPr>
          <w:trHeight w:val="229"/>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nonaccrual loans</w:t>
            </w:r>
          </w:p>
        </w:tc>
        <w:tc>
          <w:tcPr>
            <w:tcW w:w="1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16,173</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9,015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10,625</w:t>
            </w:r>
          </w:p>
        </w:tc>
        <w:tc>
          <w:tcPr>
            <w:tcW w:w="60" w:type="dxa"/>
            <w:vAlign w:val="bottom"/>
          </w:tcPr>
          <w:p>
            <w:pPr>
              <w:spacing w:after="0"/>
              <w:rPr>
                <w:sz w:val="19"/>
                <w:szCs w:val="19"/>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Total nonperforming loans</w:t>
            </w:r>
          </w:p>
        </w:tc>
        <w:tc>
          <w:tcPr>
            <w:tcW w:w="1600" w:type="dxa"/>
            <w:vAlign w:val="bottom"/>
          </w:tcPr>
          <w:p>
            <w:pPr>
              <w:spacing w:after="0"/>
              <w:rPr>
                <w:sz w:val="17"/>
                <w:szCs w:val="17"/>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color w:val="auto"/>
              </w:rPr>
              <w:t>16,173</w:t>
            </w:r>
          </w:p>
        </w:tc>
        <w:tc>
          <w:tcPr>
            <w:tcW w:w="240" w:type="dxa"/>
            <w:vAlign w:val="bottom"/>
          </w:tcPr>
          <w:p>
            <w:pPr>
              <w:spacing w:after="0"/>
              <w:rPr>
                <w:sz w:val="17"/>
                <w:szCs w:val="17"/>
                <w:color w:val="auto"/>
              </w:rPr>
            </w:pP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9,015</w:t>
            </w:r>
          </w:p>
        </w:tc>
        <w:tc>
          <w:tcPr>
            <w:tcW w:w="24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10,625</w:t>
            </w:r>
          </w:p>
        </w:tc>
        <w:tc>
          <w:tcPr>
            <w:tcW w:w="60" w:type="dxa"/>
            <w:vAlign w:val="bottom"/>
          </w:tcPr>
          <w:p>
            <w:pPr>
              <w:spacing w:after="0"/>
              <w:rPr>
                <w:sz w:val="17"/>
                <w:szCs w:val="17"/>
                <w:color w:val="auto"/>
              </w:rPr>
            </w:pPr>
          </w:p>
        </w:tc>
      </w:tr>
      <w:tr>
        <w:trPr>
          <w:trHeight w:val="205"/>
        </w:trPr>
        <w:tc>
          <w:tcPr>
            <w:tcW w:w="4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Foreclosed real estate</w:t>
            </w:r>
          </w:p>
        </w:tc>
        <w:tc>
          <w:tcPr>
            <w:tcW w:w="1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189</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221</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221</w:t>
            </w:r>
          </w:p>
        </w:tc>
        <w:tc>
          <w:tcPr>
            <w:tcW w:w="60" w:type="dxa"/>
            <w:vAlign w:val="bottom"/>
          </w:tcPr>
          <w:p>
            <w:pPr>
              <w:spacing w:after="0"/>
              <w:rPr>
                <w:sz w:val="17"/>
                <w:szCs w:val="17"/>
                <w:color w:val="auto"/>
              </w:rPr>
            </w:pPr>
          </w:p>
        </w:tc>
      </w:tr>
      <w:tr>
        <w:trPr>
          <w:trHeight w:val="203"/>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nonperforming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16,362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9,236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10,846</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81"/>
        </w:trPr>
        <w:tc>
          <w:tcPr>
            <w:tcW w:w="4700" w:type="dxa"/>
            <w:vAlign w:val="bottom"/>
            <w:tcBorders>
              <w:top w:val="single" w:sz="8" w:color="auto"/>
            </w:tcBorders>
            <w:shd w:val="clear" w:color="auto" w:fill="CFF0FC"/>
          </w:tcPr>
          <w:p>
            <w:pPr>
              <w:spacing w:after="0"/>
              <w:rPr>
                <w:sz w:val="15"/>
                <w:szCs w:val="15"/>
                <w:color w:val="auto"/>
              </w:rPr>
            </w:pPr>
          </w:p>
        </w:tc>
        <w:tc>
          <w:tcPr>
            <w:tcW w:w="160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4700" w:type="dxa"/>
            <w:vAlign w:val="bottom"/>
          </w:tcPr>
          <w:p>
            <w:pPr>
              <w:ind w:left="20"/>
              <w:spacing w:after="0"/>
              <w:rPr>
                <w:sz w:val="20"/>
                <w:szCs w:val="20"/>
                <w:color w:val="auto"/>
              </w:rPr>
            </w:pPr>
            <w:r>
              <w:rPr>
                <w:rFonts w:ascii="Arial" w:cs="Arial" w:eastAsia="Arial" w:hAnsi="Arial"/>
                <w:sz w:val="16"/>
                <w:szCs w:val="16"/>
                <w:color w:val="auto"/>
              </w:rPr>
              <w:t>Nonperforming loans to total loans</w:t>
            </w:r>
          </w:p>
        </w:tc>
        <w:tc>
          <w:tcPr>
            <w:tcW w:w="160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1.80 %</w:t>
            </w:r>
          </w:p>
        </w:tc>
        <w:tc>
          <w:tcPr>
            <w:tcW w:w="2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1.00 %</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1.22 %</w:t>
            </w: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Nonperforming assets to total assets</w:t>
            </w:r>
          </w:p>
        </w:tc>
        <w:tc>
          <w:tcPr>
            <w:tcW w:w="160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1.17 %</w:t>
            </w:r>
          </w:p>
        </w:tc>
        <w:tc>
          <w:tcPr>
            <w:tcW w:w="2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0.66 %</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9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Nonperforming assets include nonaccrual loans, including nonaccrual loans classified as troubled debt restructurings (“TDRs”) prior to January 1, 2023, and foreclosed real estate (‘‘FRE”). The Company generally places a loan on nonaccrual status and ceases accruing interest when loan payment performance is deemed unsatisfactory and the loan is past due 90 days or more. There are no loans that are past due 90 days or more and still accruing interest at September 30, 2023, December 31, 2022 and September 30, 2022.</w:t>
      </w:r>
    </w:p>
    <w:p>
      <w:pPr>
        <w:spacing w:after="0" w:line="19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indicated in the table above, nonperforming assets at September 30, 2023 were $16.4 million, and were $7.1 million higher than the $9.2 million reported at December 31, 2022 and $5.5 million higher than the reported $10.8 million at</w:t>
      </w: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21" w:right="620" w:bottom="1440" w:gutter="0" w:footer="0" w:header="0"/>
        </w:sectPr>
      </w:pPr>
    </w:p>
    <w:bookmarkStart w:id="65" w:name="page66"/>
    <w:bookmarkEnd w:id="65"/>
    <w:p>
      <w:pPr>
        <w:ind w:right="40"/>
        <w:spacing w:after="0" w:line="263" w:lineRule="auto"/>
        <w:rPr>
          <w:sz w:val="20"/>
          <w:szCs w:val="20"/>
          <w:color w:val="auto"/>
        </w:rPr>
      </w:pPr>
      <w:r>
        <w:rPr>
          <w:rFonts w:ascii="Arial" w:cs="Arial" w:eastAsia="Arial" w:hAnsi="Arial"/>
          <w:sz w:val="18"/>
          <w:szCs w:val="18"/>
          <w:color w:val="auto"/>
        </w:rPr>
        <w:t>September 30, 2022. The increase in the nonperforming loan portfolio on September 30, 2023, as compared to December 31, 2022, was primarily the result of the placement of $11.5 million into nonaccrual status of certain loans within two large commercial real estate loan and commercial loan relationships. These relationships are under active resolution management at September 30, 2023.</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similar to impaired loans, of underlying collateral or discounted cash flow analysis. Subsequent to foreclosure, valuations are updated periodically and assets are marked to current fair value, not to exceed the initial cost basis for the FRE property.</w:t>
      </w:r>
    </w:p>
    <w:p>
      <w:pPr>
        <w:spacing w:after="0" w:line="3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allowance for credit losses on loans represents management’s estimate of the probable losses inherent in the loan portfolio as of the date of the statement of condition. The allowance for credit losses was $15.8 million and $15.3 million at September 30, 2023 and December 31, 2022, respectively. The ratio of the allowance for credit losses to total loans was 1.8% as of September 30, 2023, as compared to 1.7% at December 31, 2022 and 1.6% at September 30, 2022. Management performs a quarterly evaluation of the allowance for credit losses based on quantitative and qualitative factors and has determined that the current level of the allowance for credit losses is adequate to absorb the losses in the loan portfolio as of September 30, 2023.</w:t>
      </w:r>
    </w:p>
    <w:p>
      <w:pPr>
        <w:spacing w:after="0" w:line="1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considers a loan impaired when, based on current information and events, it is probable that the Company will be unable to collect the scheduled payments of principal and interest when due according to the contractual terms of the loan. The measurement of impaired loans is generally based upon the fair value of the collateral, with a portion of the impaired loans measured based upon the present value of future cash flows discounted at the historical effective interest rate. A specific reserve is established for an impaired loan if its carrying value exceeds its estimated fair value. The estimated fair values of the majority of the Company’s impaired loans are measured based on the estimated fair value of the loan’s collateral. For loans secured by real estate, estimated fair values are determined primarily through third-party appraisals or broker price opinions. When a loan is determined to be impaired, the Bank will reevaluate the collateral which secures the loan. For real estate, the Company will obtain a new appraisal or broker’s opinion whichever is considered to provide the most accurate value in the event of sale. An evaluation of equipment held as collateral will be obtained from a firm able to provide such an evaluation. Collateral will be inspected not less than annually for all impaired loans and will be reevaluated not less than every two years. Appraised values and broker opinion values are discounted due to the market’s perception of a reduced price of Bank- owned property and the Bank’s desire to sell the property more quickly to arrive at the estimated selling price of the collateral, which is considered to be the estimated fair value. The discounts also include estimated costs to sell the property.</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2023 and December 31, 2022, the Company had $22.7 million and $20.2 million in loans, respectively, which were deemed to be impaired, having established specific reserves of $3.5 million and $4.8 million, respectively, on these loans. The $2.5 million increase in impaired loans between these two dates was primarily the result of the placement into nonaccrual status of loans within two large commercial loan and commercial real estate borrower relationships</w:t>
      </w:r>
      <w:r>
        <w:rPr>
          <w:rFonts w:ascii="Arial" w:cs="Arial" w:eastAsia="Arial" w:hAnsi="Arial"/>
          <w:sz w:val="19"/>
          <w:szCs w:val="19"/>
          <w:color w:val="auto"/>
        </w:rPr>
        <w:t>.</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Management has identified potential credit problems which may result in the borrowers not being able to comply with the current loan repayment terms and which may result in those loans being included in future impaired loan reporting. Potential problem loans totaled $43.1 million at September 30, 2023, an increase of $ 4.5 million, or 11.7%, as compared to $38.6 million at December 31, 2022. These loans have been internally classified as special mention, substandard, or doubtful, yet are not currently considered impaired.</w:t>
      </w:r>
    </w:p>
    <w:p>
      <w:pPr>
        <w:spacing w:after="0" w:line="144"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Appraisals are obtained at the time a real estate secured loan is originated. For commercial real estate held as collateral, the property is inspected every two years.</w:t>
      </w:r>
    </w:p>
    <w:p>
      <w:pPr>
        <w:spacing w:after="0" w:line="12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the normal course of business, the Bank sells residential mortgage loans and has infrequently sold participation interests in commercial loans. As is typical in the industry, the Bank makes certain representations and warranties to the buyers of these loans or loan participations. The Bank maintains a quality control program for closed loans and considers the risks and uncertainties associated with potential repurchase requirements to be minimal.</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87" w:right="660" w:bottom="1440" w:gutter="0" w:footer="0" w:header="0"/>
        </w:sectPr>
      </w:pPr>
    </w:p>
    <w:bookmarkStart w:id="66" w:name="page67"/>
    <w:bookmarkEnd w:id="66"/>
    <w:p>
      <w:pPr>
        <w:ind w:right="160"/>
        <w:spacing w:after="0" w:line="254" w:lineRule="auto"/>
        <w:rPr>
          <w:sz w:val="20"/>
          <w:szCs w:val="20"/>
          <w:color w:val="auto"/>
        </w:rPr>
      </w:pPr>
      <w:r>
        <w:rPr>
          <w:rFonts w:ascii="Arial" w:cs="Arial" w:eastAsia="Arial" w:hAnsi="Arial"/>
          <w:sz w:val="18"/>
          <w:szCs w:val="18"/>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 -for-sale" investment securities, the sale of securitized loans, or the sale of whole loans. Such actions could result in higher interest expense and/or losses on the sale of securities or loans.</w:t>
      </w:r>
    </w:p>
    <w:p>
      <w:pPr>
        <w:spacing w:after="0" w:line="1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Through the first nine months of 2023, as indicated in the consolidated statement of cash flows, the Company reported net cash flow from operating activities of $7.0 million and net cash inflow of $ 13.9 million related to investing activities. The net cash flow from investing activities was generated principally by a $11.5 million increase in net investment activity, a $736,000 increase in net loan activity and an increase of $1.7 million in all other investing activities in aggregate. The Company reported net cash outflows from financing activities of $3.9 million, primarily due to a $4.8 million decrease in net borrowings, a $2.4 million increase in deposits, and an aggregate decrease of $1.5 million in net cash from all other financing sources, including dividends paid to common voting and non-voting shareholders and warrants of $1.7 million.</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Bank’s management monitors liquidity on a continuous basis through a broad range of internal programs and considers effective liquidity management to be one of its primary objectives. At September 30, 2023 the Bank had deposits of $1.13 billion, of which $307.8 million were nominally uninsured, as they were above the insurance limits established by the Federal Deposit Insurance Corporation (“FDIC”) on that date. Of the $307.8 million in nominally uninsured deposits at September 30, 2023, $62.1 million were insured through a long-standing reciprocal deposit program managed by a third-party entity. In addition, $80.3 million in municipal deposits are fully protected against principal loss by a collateral program whereby the Bank places high-quality securities with an independent custodian as collateral. Therefore, the Bank had $165.4 million in deposits, representing 15.0% of all deposits, that were considered to be uninsured at September 30, 2023.</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number of existing credit facilities available to it. At September 30, 2023, total credit available under the existing lines of credit was approximately $189.3 million at FHLBNY, the Federal Reserve Bank, and two other correspondent banks. At September 30, 2023, the Company had $110.6 million of the available lines of credit utilized on its existing lines of credit with the remainder of $78.7 million available.</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an effort to increase depositor confidence across the United States' banking system, the Federal Reserve Board, pursuant to section 13(3) of the Federal Reserve Act, authorized all 12 Reserve Banks to establish the Bank Term Funding Program ("BTFP") to make available additional funding to eligible depository institutions, such as the Bank, in order to help assure those institutions have the ability to meet the liquidity needs of all their depositors. The Bank is fully qualified for the BTFP at September 30, 2023 and the BTFP is an additional potential source of liquidity for the Bank until the date of the Program's termination. The BTFP may be accessed by the Bank if management determines that there is a potential or realized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59" w:right="660" w:bottom="1440" w:gutter="0" w:footer="0" w:header="0"/>
        </w:sectPr>
      </w:pPr>
    </w:p>
    <w:bookmarkStart w:id="67" w:name="page68"/>
    <w:bookmarkEnd w:id="67"/>
    <w:p>
      <w:pPr>
        <w:ind w:right="40"/>
        <w:spacing w:after="0" w:line="263" w:lineRule="auto"/>
        <w:rPr>
          <w:sz w:val="20"/>
          <w:szCs w:val="20"/>
          <w:color w:val="auto"/>
        </w:rPr>
      </w:pPr>
      <w:r>
        <w:rPr>
          <w:rFonts w:ascii="Arial" w:cs="Arial" w:eastAsia="Arial" w:hAnsi="Arial"/>
          <w:sz w:val="18"/>
          <w:szCs w:val="18"/>
          <w:color w:val="auto"/>
        </w:rPr>
        <w:t>short-term liquidity requirement for which this facility should be used to support the Bank's operations. Management could also electively choose to use the facility in certain other circumstances to create other financial or operational benefits at the time that the BTFP line is accessed.</w:t>
      </w:r>
    </w:p>
    <w:p>
      <w:pPr>
        <w:spacing w:after="0" w:line="1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Asset Liability Management Committee of the Company is responsible for implementing the policies and guidelines for the maintenance of prudent levels of liquidity. As of September 30, 2023, management reported to the Board of Directors that the Company is in compliance with its liquidity policy guidelines.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September 30, 2023, the Company had $203.3 million in outstanding commitments to extend credit and standby letters of credit.</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September 30, 2023 was $576,000 and is included in other liabilities on the Company's consolidated Statements of Condition.</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959" w:right="72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relating to this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September 30, 2023.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Based on the evaluation of our disclosure controls and procedures as of September 30, 2023, our CEO and CFO concluded that our disclosure controls and procedures were effective as of that date.</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disclosed elsewhere within this document, during the first quarter of 2023 the Company adopted ASU 2016 -13 and consequently, the CECL model for accounting for credit losses related to financial assets. The adoption of the model and the ongoing calculations under CECL involve significant complexity and management has engaged expert independent third parties to complete significant portions of the transition to CECL and to manage the ongoing processes involved in CECL calculations, documentation and reporting. In many cases, our disclosure controls and procedures have been modified significantly to accommodate the requirements of the CECL model and those controls require increased reliance on the services and expertise provided by the engaged independent parties. Management believes that these new disclosure controls are currently effective, and will be effective in the future, with respect to the calculation of the Company's allowance for credit losses. Other than the adoption of the CECL model, there were no changes made in our internal controls during the quarter ended September 30, 2023 that have materially affected, or are reasonably likely to materially affect, the Company’s internal control over financial reporting</w:t>
      </w:r>
      <w:r>
        <w:rPr>
          <w:rFonts w:ascii="Arial" w:cs="Arial" w:eastAsia="Arial" w:hAnsi="Arial"/>
          <w:sz w:val="19"/>
          <w:szCs w:val="19"/>
          <w:color w:val="auto"/>
        </w:rPr>
        <w: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77" w:right="70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3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At September 30, 2023, the Company is not currently a named party in a legal proceeding, the outcome of which would have a material and adverse effect on the financial condition or results of operations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relating to this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 and Issuer Purchases of Equity Securities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Maximum Number</w:t>
            </w:r>
          </w:p>
        </w:tc>
      </w:tr>
      <w:tr>
        <w:trPr>
          <w:trHeight w:val="180"/>
        </w:trPr>
        <w:tc>
          <w:tcPr>
            <w:tcW w:w="3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Total Number of</w:t>
            </w:r>
          </w:p>
        </w:tc>
        <w:tc>
          <w:tcPr>
            <w:tcW w:w="15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of Shares That</w:t>
            </w:r>
          </w:p>
        </w:tc>
      </w:tr>
      <w:tr>
        <w:trPr>
          <w:trHeight w:val="180"/>
        </w:trPr>
        <w:tc>
          <w:tcPr>
            <w:tcW w:w="3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Shares Purchased as</w:t>
            </w:r>
          </w:p>
        </w:tc>
        <w:tc>
          <w:tcPr>
            <w:tcW w:w="15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May Yet Be</w:t>
            </w:r>
          </w:p>
        </w:tc>
      </w:tr>
      <w:tr>
        <w:trPr>
          <w:trHeight w:val="180"/>
        </w:trPr>
        <w:tc>
          <w:tcPr>
            <w:tcW w:w="3780" w:type="dxa"/>
            <w:vAlign w:val="bottom"/>
          </w:tcPr>
          <w:p>
            <w:pPr>
              <w:spacing w:after="0"/>
              <w:rPr>
                <w:sz w:val="15"/>
                <w:szCs w:val="15"/>
                <w:color w:val="auto"/>
              </w:rPr>
            </w:pPr>
          </w:p>
        </w:tc>
        <w:tc>
          <w:tcPr>
            <w:tcW w:w="1680" w:type="dxa"/>
            <w:vAlign w:val="bottom"/>
          </w:tcPr>
          <w:p>
            <w:pPr>
              <w:jc w:val="right"/>
              <w:ind w:right="82"/>
              <w:spacing w:after="0" w:line="180" w:lineRule="exact"/>
              <w:rPr>
                <w:sz w:val="20"/>
                <w:szCs w:val="20"/>
                <w:color w:val="auto"/>
              </w:rPr>
            </w:pPr>
            <w:r>
              <w:rPr>
                <w:rFonts w:ascii="Arial" w:cs="Arial" w:eastAsia="Arial" w:hAnsi="Arial"/>
                <w:sz w:val="16"/>
                <w:szCs w:val="16"/>
                <w:color w:val="auto"/>
              </w:rPr>
              <w:t>Total Number of</w:t>
            </w:r>
          </w:p>
        </w:tc>
        <w:tc>
          <w:tcPr>
            <w:tcW w:w="340" w:type="dxa"/>
            <w:vAlign w:val="bottom"/>
          </w:tcPr>
          <w:p>
            <w:pPr>
              <w:spacing w:after="0"/>
              <w:rPr>
                <w:sz w:val="15"/>
                <w:szCs w:val="15"/>
                <w:color w:val="auto"/>
              </w:rPr>
            </w:pPr>
          </w:p>
        </w:tc>
        <w:tc>
          <w:tcPr>
            <w:tcW w:w="1320" w:type="dxa"/>
            <w:vAlign w:val="bottom"/>
          </w:tcPr>
          <w:p>
            <w:pPr>
              <w:jc w:val="right"/>
              <w:ind w:right="162"/>
              <w:spacing w:after="0" w:line="180" w:lineRule="exact"/>
              <w:rPr>
                <w:sz w:val="20"/>
                <w:szCs w:val="20"/>
                <w:color w:val="auto"/>
              </w:rPr>
            </w:pPr>
            <w:r>
              <w:rPr>
                <w:rFonts w:ascii="Arial" w:cs="Arial" w:eastAsia="Arial" w:hAnsi="Arial"/>
                <w:sz w:val="16"/>
                <w:szCs w:val="16"/>
                <w:color w:val="auto"/>
              </w:rPr>
              <w:t>Average Price</w:t>
            </w:r>
          </w:p>
        </w:tc>
        <w:tc>
          <w:tcPr>
            <w:tcW w:w="19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Part of Publicly</w:t>
            </w:r>
          </w:p>
        </w:tc>
        <w:tc>
          <w:tcPr>
            <w:tcW w:w="15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Purchased Under</w:t>
            </w:r>
          </w:p>
        </w:tc>
      </w:tr>
      <w:tr>
        <w:trPr>
          <w:trHeight w:val="153"/>
        </w:trPr>
        <w:tc>
          <w:tcPr>
            <w:tcW w:w="3780" w:type="dxa"/>
            <w:vAlign w:val="bottom"/>
          </w:tcPr>
          <w:p>
            <w:pPr>
              <w:spacing w:after="0"/>
              <w:rPr>
                <w:sz w:val="13"/>
                <w:szCs w:val="13"/>
                <w:color w:val="auto"/>
              </w:rPr>
            </w:pPr>
          </w:p>
        </w:tc>
        <w:tc>
          <w:tcPr>
            <w:tcW w:w="1680" w:type="dxa"/>
            <w:vAlign w:val="bottom"/>
          </w:tcPr>
          <w:p>
            <w:pPr>
              <w:jc w:val="right"/>
              <w:ind w:right="82"/>
              <w:spacing w:after="0" w:line="154" w:lineRule="exact"/>
              <w:rPr>
                <w:sz w:val="20"/>
                <w:szCs w:val="20"/>
                <w:color w:val="auto"/>
              </w:rPr>
            </w:pPr>
            <w:r>
              <w:rPr>
                <w:rFonts w:ascii="Arial" w:cs="Arial" w:eastAsia="Arial" w:hAnsi="Arial"/>
                <w:sz w:val="16"/>
                <w:szCs w:val="16"/>
                <w:color w:val="auto"/>
              </w:rPr>
              <w:t>Shares</w:t>
            </w:r>
          </w:p>
        </w:tc>
        <w:tc>
          <w:tcPr>
            <w:tcW w:w="340" w:type="dxa"/>
            <w:vAlign w:val="bottom"/>
          </w:tcPr>
          <w:p>
            <w:pPr>
              <w:spacing w:after="0"/>
              <w:rPr>
                <w:sz w:val="13"/>
                <w:szCs w:val="13"/>
                <w:color w:val="auto"/>
              </w:rPr>
            </w:pPr>
          </w:p>
        </w:tc>
        <w:tc>
          <w:tcPr>
            <w:tcW w:w="1320" w:type="dxa"/>
            <w:vAlign w:val="bottom"/>
          </w:tcPr>
          <w:p>
            <w:pPr>
              <w:jc w:val="right"/>
              <w:ind w:right="162"/>
              <w:spacing w:after="0" w:line="154" w:lineRule="exact"/>
              <w:rPr>
                <w:sz w:val="20"/>
                <w:szCs w:val="20"/>
                <w:color w:val="auto"/>
              </w:rPr>
            </w:pPr>
            <w:r>
              <w:rPr>
                <w:rFonts w:ascii="Arial" w:cs="Arial" w:eastAsia="Arial" w:hAnsi="Arial"/>
                <w:sz w:val="16"/>
                <w:szCs w:val="16"/>
                <w:color w:val="auto"/>
              </w:rPr>
              <w:t>Paid</w:t>
            </w:r>
          </w:p>
        </w:tc>
        <w:tc>
          <w:tcPr>
            <w:tcW w:w="1900" w:type="dxa"/>
            <w:vAlign w:val="bottom"/>
          </w:tcPr>
          <w:p>
            <w:pPr>
              <w:jc w:val="right"/>
              <w:ind w:right="122"/>
              <w:spacing w:after="0" w:line="154" w:lineRule="exact"/>
              <w:rPr>
                <w:sz w:val="20"/>
                <w:szCs w:val="20"/>
                <w:color w:val="auto"/>
              </w:rPr>
            </w:pPr>
            <w:r>
              <w:rPr>
                <w:rFonts w:ascii="Arial" w:cs="Arial" w:eastAsia="Arial" w:hAnsi="Arial"/>
                <w:sz w:val="16"/>
                <w:szCs w:val="16"/>
                <w:color w:val="auto"/>
              </w:rPr>
              <w:t>Announced Plans or</w:t>
            </w:r>
          </w:p>
        </w:tc>
        <w:tc>
          <w:tcPr>
            <w:tcW w:w="1540" w:type="dxa"/>
            <w:vAlign w:val="bottom"/>
          </w:tcPr>
          <w:p>
            <w:pPr>
              <w:jc w:val="right"/>
              <w:ind w:right="22"/>
              <w:spacing w:after="0" w:line="154" w:lineRule="exact"/>
              <w:rPr>
                <w:sz w:val="20"/>
                <w:szCs w:val="20"/>
                <w:color w:val="auto"/>
              </w:rPr>
            </w:pPr>
            <w:r>
              <w:rPr>
                <w:rFonts w:ascii="Arial" w:cs="Arial" w:eastAsia="Arial" w:hAnsi="Arial"/>
                <w:sz w:val="16"/>
                <w:szCs w:val="16"/>
                <w:color w:val="auto"/>
              </w:rPr>
              <w:t>the Plans or</w:t>
            </w:r>
          </w:p>
        </w:tc>
      </w:tr>
      <w:tr>
        <w:trPr>
          <w:trHeight w:val="226"/>
        </w:trPr>
        <w:tc>
          <w:tcPr>
            <w:tcW w:w="3780" w:type="dxa"/>
            <w:vAlign w:val="bottom"/>
          </w:tcPr>
          <w:p>
            <w:pPr>
              <w:ind w:left="20"/>
              <w:spacing w:after="0"/>
              <w:rPr>
                <w:sz w:val="20"/>
                <w:szCs w:val="20"/>
                <w:color w:val="auto"/>
              </w:rPr>
            </w:pPr>
            <w:r>
              <w:rPr>
                <w:rFonts w:ascii="Arial" w:cs="Arial" w:eastAsia="Arial" w:hAnsi="Arial"/>
                <w:sz w:val="16"/>
                <w:szCs w:val="16"/>
                <w:color w:val="auto"/>
              </w:rPr>
              <w:t>Period</w:t>
            </w:r>
          </w:p>
        </w:tc>
        <w:tc>
          <w:tcPr>
            <w:tcW w:w="1680" w:type="dxa"/>
            <w:vAlign w:val="bottom"/>
          </w:tcPr>
          <w:p>
            <w:pPr>
              <w:jc w:val="right"/>
              <w:ind w:right="82"/>
              <w:spacing w:after="0" w:line="226"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(1)</w:t>
            </w:r>
          </w:p>
        </w:tc>
        <w:tc>
          <w:tcPr>
            <w:tcW w:w="340" w:type="dxa"/>
            <w:vAlign w:val="bottom"/>
          </w:tcPr>
          <w:p>
            <w:pPr>
              <w:spacing w:after="0"/>
              <w:rPr>
                <w:sz w:val="19"/>
                <w:szCs w:val="19"/>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Per Share</w:t>
            </w:r>
          </w:p>
        </w:tc>
        <w:tc>
          <w:tcPr>
            <w:tcW w:w="1900" w:type="dxa"/>
            <w:vAlign w:val="bottom"/>
          </w:tcPr>
          <w:p>
            <w:pPr>
              <w:jc w:val="right"/>
              <w:ind w:right="102"/>
              <w:spacing w:after="0"/>
              <w:rPr>
                <w:sz w:val="20"/>
                <w:szCs w:val="20"/>
                <w:color w:val="auto"/>
              </w:rPr>
            </w:pPr>
            <w:r>
              <w:rPr>
                <w:rFonts w:ascii="Arial" w:cs="Arial" w:eastAsia="Arial" w:hAnsi="Arial"/>
                <w:sz w:val="16"/>
                <w:szCs w:val="16"/>
                <w:color w:val="auto"/>
              </w:rPr>
              <w:t>Programs</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Programs</w:t>
            </w:r>
          </w:p>
        </w:tc>
      </w:tr>
      <w:tr>
        <w:trPr>
          <w:trHeight w:val="204"/>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2023 through July 31, 2023</w:t>
            </w:r>
          </w:p>
        </w:tc>
        <w:tc>
          <w:tcPr>
            <w:tcW w:w="16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74,292</w:t>
            </w:r>
          </w:p>
        </w:tc>
      </w:tr>
      <w:tr>
        <w:trPr>
          <w:trHeight w:val="204"/>
        </w:trPr>
        <w:tc>
          <w:tcPr>
            <w:tcW w:w="3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4"/>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August 1, 2023 through August 31, 2023</w:t>
            </w:r>
          </w:p>
        </w:tc>
        <w:tc>
          <w:tcPr>
            <w:tcW w:w="16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74,292</w:t>
            </w:r>
          </w:p>
        </w:tc>
      </w:tr>
      <w:tr>
        <w:trPr>
          <w:trHeight w:val="240"/>
        </w:trPr>
        <w:tc>
          <w:tcPr>
            <w:tcW w:w="3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4"/>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1, 2023 through September 30, 2023</w:t>
            </w:r>
          </w:p>
        </w:tc>
        <w:tc>
          <w:tcPr>
            <w:tcW w:w="16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74,292</w:t>
            </w:r>
          </w:p>
        </w:tc>
      </w:tr>
    </w:tbl>
    <w:p>
      <w:pPr>
        <w:spacing w:after="0" w:line="305"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(1)On August 29, 2016, our Board of Directors authorized the repurchase of up to 217,692 shares of our common stock, or 5% of the Company’s shares outstanding as of that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6"/>
                <w:szCs w:val="16"/>
                <w:color w:val="auto"/>
              </w:rPr>
            </w:pPr>
          </w:p>
        </w:tc>
        <w:tc>
          <w:tcPr>
            <w:tcW w:w="540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0" w:type="dxa"/>
            <w:vAlign w:val="bottom"/>
            <w:gridSpan w:val="3"/>
            <w:vMerge w:val="restart"/>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Rule 13a-14(a)/15d-14(a) Certification of the Chief Executive Officer</w:t>
              </w:r>
            </w:hyperlink>
          </w:p>
        </w:tc>
        <w:tc>
          <w:tcPr>
            <w:tcW w:w="0" w:type="dxa"/>
            <w:vAlign w:val="bottom"/>
          </w:tcPr>
          <w:p>
            <w:pPr>
              <w:spacing w:after="0"/>
              <w:rPr>
                <w:sz w:val="1"/>
                <w:szCs w:val="1"/>
                <w:color w:val="auto"/>
              </w:rPr>
            </w:pPr>
          </w:p>
        </w:tc>
      </w:tr>
      <w:tr>
        <w:trPr>
          <w:trHeight w:val="225"/>
        </w:trPr>
        <w:tc>
          <w:tcPr>
            <w:tcW w:w="800" w:type="dxa"/>
            <w:vAlign w:val="bottom"/>
            <w:vMerge w:val="continue"/>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tcBorders>
              <w:bottom w:val="single" w:sz="8" w:color="0000FF"/>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00" w:type="dxa"/>
            <w:vAlign w:val="bottom"/>
          </w:tcPr>
          <w:p>
            <w:pPr>
              <w:spacing w:after="0" w:line="192" w:lineRule="exact"/>
              <w:rPr>
                <w:sz w:val="20"/>
                <w:szCs w:val="20"/>
                <w:color w:val="auto"/>
              </w:rPr>
            </w:pPr>
            <w:r>
              <w:rPr>
                <w:rFonts w:ascii="Arial" w:cs="Arial" w:eastAsia="Arial" w:hAnsi="Arial"/>
                <w:sz w:val="18"/>
                <w:szCs w:val="18"/>
                <w:color w:val="auto"/>
              </w:rPr>
              <w:t>31.2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40" w:type="dxa"/>
            <w:vAlign w:val="bottom"/>
            <w:tcBorders>
              <w:bottom w:val="single" w:sz="8" w:color="0000FF"/>
            </w:tcBorders>
            <w:gridSpan w:val="2"/>
          </w:tcPr>
          <w:p>
            <w:pPr>
              <w:spacing w:after="0" w:line="192" w:lineRule="exact"/>
              <w:rPr>
                <w:rFonts w:ascii="Arial" w:cs="Arial" w:eastAsia="Arial" w:hAnsi="Arial"/>
                <w:sz w:val="18"/>
                <w:szCs w:val="18"/>
                <w:color w:val="0000FF"/>
                <w:w w:val="99"/>
              </w:rPr>
            </w:pPr>
            <w:hyperlink w:anchor="page1">
              <w:r>
                <w:rPr>
                  <w:rFonts w:ascii="Arial" w:cs="Arial" w:eastAsia="Arial" w:hAnsi="Arial"/>
                  <w:sz w:val="18"/>
                  <w:szCs w:val="18"/>
                  <w:color w:val="0000FF"/>
                  <w:w w:val="99"/>
                </w:rPr>
                <w:t>Rule 13a-14(a)/15d-14(a) Certification of the Chief Financial Officer</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500" w:hanging="1410"/>
        <w:spacing w:after="0"/>
        <w:tabs>
          <w:tab w:leader="none" w:pos="1500" w:val="left"/>
        </w:tabs>
        <w:numPr>
          <w:ilvl w:val="0"/>
          <w:numId w:val="6"/>
        </w:numPr>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Section 1350 Certification of the Chief Executive Officer and Chief Financial Officer</w:t>
        </w:r>
      </w:hyperlink>
    </w:p>
    <w:p>
      <w:pPr>
        <w:spacing w:after="0" w:line="33" w:lineRule="exact"/>
        <w:rPr>
          <w:sz w:val="20"/>
          <w:szCs w:val="20"/>
          <w:color w:val="auto"/>
        </w:rPr>
      </w:pPr>
    </w:p>
    <w:p>
      <w:pPr>
        <w:ind w:left="1500" w:right="340" w:hanging="1410"/>
        <w:spacing w:after="0" w:line="256"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ind w:left="1500" w:hanging="141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2" w:lineRule="exact"/>
        <w:rPr>
          <w:rFonts w:ascii="Arial" w:cs="Arial" w:eastAsia="Arial" w:hAnsi="Arial"/>
          <w:sz w:val="18"/>
          <w:szCs w:val="18"/>
          <w:color w:val="auto"/>
        </w:rPr>
      </w:pPr>
    </w:p>
    <w:p>
      <w:pPr>
        <w:ind w:left="5200" w:hanging="93"/>
        <w:spacing w:after="0"/>
        <w:tabs>
          <w:tab w:leader="none" w:pos="520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70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2120"/>
        <w:spacing w:after="0"/>
        <w:rPr>
          <w:sz w:val="20"/>
          <w:szCs w:val="20"/>
          <w:color w:val="auto"/>
        </w:rPr>
      </w:pPr>
      <w:r>
        <w:rPr>
          <w:rFonts w:ascii="Arial" w:cs="Arial" w:eastAsia="Arial" w:hAnsi="Arial"/>
          <w:sz w:val="18"/>
          <w:szCs w:val="18"/>
          <w:b w:val="1"/>
          <w:bCs w:val="1"/>
          <w:u w:val="single" w:color="auto"/>
          <w:color w:val="auto"/>
        </w:rPr>
        <w:t>PATHFINDER BANCORP, INC.</w:t>
      </w:r>
    </w:p>
    <w:p>
      <w:pPr>
        <w:spacing w:after="0" w:line="3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(registrant)</w:t>
      </w:r>
    </w:p>
    <w:p>
      <w:pPr>
        <w:spacing w:after="0" w:line="249"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8"/>
          <w:szCs w:val="18"/>
          <w:u w:val="single" w:color="auto"/>
          <w:color w:val="auto"/>
        </w:rPr>
        <w:t>November 14, 2023</w:t>
      </w:r>
      <w:r>
        <w:rPr>
          <w:sz w:val="20"/>
          <w:szCs w:val="20"/>
          <w:color w:val="auto"/>
        </w:rPr>
        <w:tab/>
      </w:r>
      <w:r>
        <w:rPr>
          <w:rFonts w:ascii="Arial" w:cs="Arial" w:eastAsia="Arial" w:hAnsi="Arial"/>
          <w:sz w:val="17"/>
          <w:szCs w:val="17"/>
          <w:u w:val="single" w:color="auto"/>
          <w:color w:val="auto"/>
        </w:rPr>
        <w:t>/s/ James A. Dowd</w:t>
      </w: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James A. Dowd</w:t>
      </w: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President and Chief Executive Officer</w:t>
      </w:r>
    </w:p>
    <w:p>
      <w:pPr>
        <w:spacing w:after="0" w:line="273"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8"/>
          <w:szCs w:val="18"/>
          <w:u w:val="single" w:color="auto"/>
          <w:color w:val="auto"/>
        </w:rPr>
        <w:t>November 14, 2023</w:t>
      </w:r>
      <w:r>
        <w:rPr>
          <w:sz w:val="20"/>
          <w:szCs w:val="20"/>
          <w:color w:val="auto"/>
        </w:rPr>
        <w:tab/>
      </w:r>
      <w:r>
        <w:rPr>
          <w:rFonts w:ascii="Arial" w:cs="Arial" w:eastAsia="Arial" w:hAnsi="Arial"/>
          <w:sz w:val="18"/>
          <w:szCs w:val="18"/>
          <w:color w:val="auto"/>
        </w:rPr>
        <w:t>/s/ Walter F. Rusnak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-12065</wp:posOffset>
            </wp:positionV>
            <wp:extent cx="10668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Walter F. Rusnak</w:t>
      </w: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Senior Vice President, Chief Financial Officer</w:t>
      </w: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71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660" w:top="877" w:right="920"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EXHIBIT 31.1: Rule 13a-14(a) / 15d-14(a) Certification of the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 James A. Dowd, certify that: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1.I have reviewed this Quarterly Report on Form 10-Q of Pathfinder Bancorp, Inc.;</w:t>
      </w:r>
    </w:p>
    <w:p>
      <w:pPr>
        <w:spacing w:after="0" w:line="176" w:lineRule="exact"/>
        <w:rPr>
          <w:sz w:val="20"/>
          <w:szCs w:val="20"/>
          <w:color w:val="auto"/>
        </w:rPr>
      </w:pPr>
    </w:p>
    <w:p>
      <w:pPr>
        <w:ind w:left="18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sz w:val="20"/>
          <w:szCs w:val="20"/>
          <w:color w:val="auto"/>
        </w:rPr>
      </w:pPr>
    </w:p>
    <w:p>
      <w:pPr>
        <w:ind w:left="180" w:right="30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sz w:val="20"/>
          <w:szCs w:val="20"/>
          <w:color w:val="auto"/>
        </w:rPr>
      </w:pPr>
    </w:p>
    <w:p>
      <w:pPr>
        <w:ind w:left="180" w:right="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left="1060" w:right="180"/>
        <w:spacing w:after="0" w:line="239"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60" w:right="40"/>
        <w:spacing w:after="0" w:line="234"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jc w:val="both"/>
        <w:ind w:left="1060" w:right="140"/>
        <w:spacing w:after="0" w:line="234"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sz w:val="20"/>
          <w:szCs w:val="20"/>
          <w:color w:val="auto"/>
        </w:rPr>
      </w:pPr>
    </w:p>
    <w:p>
      <w:pPr>
        <w:ind w:left="1060" w:right="100"/>
        <w:spacing w:after="0" w:line="237"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154" w:lineRule="exact"/>
        <w:rPr>
          <w:sz w:val="20"/>
          <w:szCs w:val="20"/>
          <w:color w:val="auto"/>
        </w:rPr>
      </w:pPr>
    </w:p>
    <w:p>
      <w:pPr>
        <w:ind w:left="1060" w:right="360"/>
        <w:spacing w:after="0" w:line="241"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060" w:right="20"/>
        <w:spacing w:after="0" w:line="239"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gridSpan w:val="2"/>
          </w:tcPr>
          <w:p>
            <w:pPr>
              <w:ind w:left="240"/>
              <w:spacing w:after="0"/>
              <w:rPr>
                <w:sz w:val="20"/>
                <w:szCs w:val="20"/>
                <w:color w:val="auto"/>
              </w:rPr>
            </w:pPr>
            <w:r>
              <w:rPr>
                <w:rFonts w:ascii="Arial" w:cs="Arial" w:eastAsia="Arial" w:hAnsi="Arial"/>
                <w:sz w:val="18"/>
                <w:szCs w:val="18"/>
                <w:color w:val="auto"/>
                <w:w w:val="99"/>
              </w:rPr>
              <w:t>November 14, 2023</w:t>
            </w:r>
          </w:p>
        </w:tc>
        <w:tc>
          <w:tcPr>
            <w:tcW w:w="354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/s/ James A. Dowd</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540" w:type="dxa"/>
            <w:vAlign w:val="bottom"/>
            <w:vMerge w:val="restart"/>
          </w:tcPr>
          <w:p>
            <w:pPr>
              <w:spacing w:after="0" w:line="20" w:lineRule="exact"/>
              <w:rPr>
                <w:sz w:val="1"/>
                <w:szCs w:val="1"/>
                <w:color w:val="auto"/>
              </w:rPr>
            </w:pPr>
          </w:p>
        </w:tc>
        <w:tc>
          <w:tcPr>
            <w:tcW w:w="5180" w:type="dxa"/>
            <w:vAlign w:val="bottom"/>
            <w:gridSpan w:val="2"/>
            <w:vMerge w:val="restart"/>
          </w:tcPr>
          <w:p>
            <w:pPr>
              <w:spacing w:after="0" w:line="177" w:lineRule="exact"/>
              <w:rPr>
                <w:sz w:val="20"/>
                <w:szCs w:val="20"/>
                <w:color w:val="auto"/>
              </w:rPr>
            </w:pPr>
            <w:r>
              <w:rPr>
                <w:rFonts w:ascii="Arial" w:cs="Arial" w:eastAsia="Arial" w:hAnsi="Arial"/>
                <w:sz w:val="16"/>
                <w:szCs w:val="16"/>
                <w:color w:val="auto"/>
              </w:rPr>
              <w:t>James A. Dowd</w:t>
            </w:r>
          </w:p>
        </w:tc>
        <w:tc>
          <w:tcPr>
            <w:tcW w:w="0" w:type="dxa"/>
            <w:vAlign w:val="bottom"/>
          </w:tcPr>
          <w:p>
            <w:pPr>
              <w:spacing w:after="0" w:line="20" w:lineRule="exact"/>
              <w:rPr>
                <w:sz w:val="1"/>
                <w:szCs w:val="1"/>
                <w:color w:val="auto"/>
              </w:rPr>
            </w:pPr>
          </w:p>
        </w:tc>
      </w:tr>
      <w:tr>
        <w:trPr>
          <w:trHeight w:val="137"/>
        </w:trPr>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540" w:type="dxa"/>
            <w:vAlign w:val="bottom"/>
            <w:vMerge w:val="continue"/>
          </w:tcPr>
          <w:p>
            <w:pPr>
              <w:spacing w:after="0"/>
              <w:rPr>
                <w:sz w:val="11"/>
                <w:szCs w:val="11"/>
                <w:color w:val="auto"/>
              </w:rPr>
            </w:pPr>
          </w:p>
        </w:tc>
        <w:tc>
          <w:tcPr>
            <w:tcW w:w="5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842"/>
        </w:trPr>
        <w:tc>
          <w:tcPr>
            <w:tcW w:w="24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354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39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EXHIBIT 31.2: Rule 13a-14(a) / 15d-14(a) Certification of the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 Walter F. Rusnak, certify that: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Pathfinder Bancorp, Inc.;</w:t>
      </w:r>
    </w:p>
    <w:p>
      <w:pPr>
        <w:spacing w:after="0" w:line="176"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left="1060" w:right="180"/>
        <w:spacing w:after="0" w:line="239"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60"/>
        <w:spacing w:after="0" w:line="234"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ind w:left="1060" w:right="20"/>
        <w:spacing w:after="0" w:line="236"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 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154" w:lineRule="exact"/>
        <w:rPr>
          <w:sz w:val="20"/>
          <w:szCs w:val="20"/>
          <w:color w:val="auto"/>
        </w:rPr>
      </w:pPr>
    </w:p>
    <w:p>
      <w:pPr>
        <w:ind w:left="1060" w:right="420"/>
        <w:spacing w:after="0" w:line="275"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060" w:right="80"/>
        <w:spacing w:after="0" w:line="239"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80" w:type="dxa"/>
            <w:vAlign w:val="bottom"/>
            <w:gridSpan w:val="2"/>
          </w:tcPr>
          <w:p>
            <w:pPr>
              <w:ind w:left="100"/>
              <w:spacing w:after="0"/>
              <w:rPr>
                <w:sz w:val="20"/>
                <w:szCs w:val="20"/>
                <w:color w:val="auto"/>
              </w:rPr>
            </w:pPr>
            <w:r>
              <w:rPr>
                <w:rFonts w:ascii="Arial" w:cs="Arial" w:eastAsia="Arial" w:hAnsi="Arial"/>
                <w:sz w:val="18"/>
                <w:szCs w:val="18"/>
                <w:color w:val="auto"/>
                <w:w w:val="98"/>
              </w:rPr>
              <w:t>November 14, 2023</w:t>
            </w:r>
          </w:p>
        </w:tc>
        <w:tc>
          <w:tcPr>
            <w:tcW w:w="354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/s/ Walter F. Rusnak</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540" w:type="dxa"/>
            <w:vAlign w:val="bottom"/>
            <w:vMerge w:val="restart"/>
          </w:tcPr>
          <w:p>
            <w:pPr>
              <w:spacing w:after="0" w:line="20" w:lineRule="exact"/>
              <w:rPr>
                <w:sz w:val="1"/>
                <w:szCs w:val="1"/>
                <w:color w:val="auto"/>
              </w:rPr>
            </w:pPr>
          </w:p>
        </w:tc>
        <w:tc>
          <w:tcPr>
            <w:tcW w:w="5340" w:type="dxa"/>
            <w:vAlign w:val="bottom"/>
            <w:gridSpan w:val="2"/>
            <w:vMerge w:val="restart"/>
          </w:tcPr>
          <w:p>
            <w:pPr>
              <w:spacing w:after="0" w:line="177" w:lineRule="exact"/>
              <w:rPr>
                <w:sz w:val="20"/>
                <w:szCs w:val="20"/>
                <w:color w:val="auto"/>
              </w:rPr>
            </w:pPr>
            <w:r>
              <w:rPr>
                <w:rFonts w:ascii="Arial" w:cs="Arial" w:eastAsia="Arial" w:hAnsi="Arial"/>
                <w:sz w:val="16"/>
                <w:szCs w:val="16"/>
                <w:color w:val="auto"/>
              </w:rPr>
              <w:t>Walter F. Rusnak</w:t>
            </w:r>
          </w:p>
        </w:tc>
        <w:tc>
          <w:tcPr>
            <w:tcW w:w="0" w:type="dxa"/>
            <w:vAlign w:val="bottom"/>
          </w:tcPr>
          <w:p>
            <w:pPr>
              <w:spacing w:after="0" w:line="20" w:lineRule="exact"/>
              <w:rPr>
                <w:sz w:val="1"/>
                <w:szCs w:val="1"/>
                <w:color w:val="auto"/>
              </w:rPr>
            </w:pPr>
          </w:p>
        </w:tc>
      </w:tr>
      <w:tr>
        <w:trPr>
          <w:trHeight w:val="137"/>
        </w:trPr>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vMerge w:val="continue"/>
          </w:tcPr>
          <w:p>
            <w:pPr>
              <w:spacing w:after="0"/>
              <w:rPr>
                <w:sz w:val="11"/>
                <w:szCs w:val="11"/>
                <w:color w:val="auto"/>
              </w:rPr>
            </w:pPr>
          </w:p>
        </w:tc>
        <w:tc>
          <w:tcPr>
            <w:tcW w:w="5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Senior Vice President, Chief Financial Officer</w:t>
            </w:r>
          </w:p>
        </w:tc>
        <w:tc>
          <w:tcPr>
            <w:tcW w:w="0" w:type="dxa"/>
            <w:vAlign w:val="bottom"/>
          </w:tcPr>
          <w:p>
            <w:pPr>
              <w:spacing w:after="0"/>
              <w:rPr>
                <w:sz w:val="1"/>
                <w:szCs w:val="1"/>
                <w:color w:val="auto"/>
              </w:rPr>
            </w:pPr>
          </w:p>
        </w:tc>
      </w:tr>
      <w:tr>
        <w:trPr>
          <w:trHeight w:val="842"/>
        </w:trPr>
        <w:tc>
          <w:tcPr>
            <w:tcW w:w="1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35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EXHIBIT 32 Section 1350 Certification of the Chief Executive Officer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as adopted pursuant to §906 of the Sarbanes-Oxley Act of 2002</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In connection with the Quarterly Report of Pathfinder Bancorp, Inc. (the “Company”) on Form 10-Q for the period ended September 30, 2023 as filed with the Securities and Exchange Commission (the “Report”), the undersigned hereby certify, pursuant to 18 U.S.C. §1350, as adopted pursuant to §906 of the Sarbanes-Oxley Act of 2002, that: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1.The Report fully complies with the requirements of Sections 13(a) or 15(d) of the Securities Exchange Act of 1934; and</w:t>
      </w:r>
    </w:p>
    <w:p>
      <w:pPr>
        <w:spacing w:after="0" w:line="176" w:lineRule="exact"/>
        <w:rPr>
          <w:sz w:val="20"/>
          <w:szCs w:val="20"/>
          <w:color w:val="auto"/>
        </w:rPr>
      </w:pPr>
    </w:p>
    <w:p>
      <w:pPr>
        <w:ind w:left="180"/>
        <w:spacing w:after="0" w:line="252"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 as of and for the period covered by the Report.</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The purpose of this statement is solely to comply with Title 18, Chapter 63, Section 1350 of the United States Code, as amended by Section 906 of the Sarbanes-Oxley Act of 2002.</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November 14, 2023</w:t>
            </w:r>
          </w:p>
        </w:tc>
        <w:tc>
          <w:tcPr>
            <w:tcW w:w="7080" w:type="dxa"/>
            <w:vAlign w:val="bottom"/>
            <w:gridSpan w:val="4"/>
          </w:tcPr>
          <w:p>
            <w:pPr>
              <w:ind w:left="1740"/>
              <w:spacing w:after="0"/>
              <w:rPr>
                <w:sz w:val="20"/>
                <w:szCs w:val="20"/>
                <w:color w:val="auto"/>
              </w:rPr>
            </w:pPr>
            <w:r>
              <w:rPr>
                <w:rFonts w:ascii="Arial" w:cs="Arial" w:eastAsia="Arial" w:hAnsi="Arial"/>
                <w:sz w:val="16"/>
                <w:szCs w:val="16"/>
                <w:color w:val="auto"/>
              </w:rPr>
              <w:t>/s/ James A. Dowd</w:t>
            </w:r>
          </w:p>
        </w:tc>
      </w:tr>
      <w:tr>
        <w:trPr>
          <w:trHeight w:val="20"/>
        </w:trPr>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77"/>
        </w:trPr>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80" w:type="dxa"/>
            <w:vAlign w:val="bottom"/>
            <w:gridSpan w:val="4"/>
          </w:tcPr>
          <w:p>
            <w:pPr>
              <w:ind w:left="1740"/>
              <w:spacing w:after="0" w:line="177" w:lineRule="exact"/>
              <w:rPr>
                <w:sz w:val="20"/>
                <w:szCs w:val="20"/>
                <w:color w:val="auto"/>
              </w:rPr>
            </w:pPr>
            <w:r>
              <w:rPr>
                <w:rFonts w:ascii="Arial" w:cs="Arial" w:eastAsia="Arial" w:hAnsi="Arial"/>
                <w:sz w:val="16"/>
                <w:szCs w:val="16"/>
                <w:color w:val="auto"/>
              </w:rPr>
              <w:t>James A. Dowd</w:t>
            </w: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80" w:type="dxa"/>
            <w:vAlign w:val="bottom"/>
            <w:gridSpan w:val="4"/>
          </w:tcPr>
          <w:p>
            <w:pPr>
              <w:ind w:left="1740"/>
              <w:spacing w:after="0"/>
              <w:rPr>
                <w:sz w:val="20"/>
                <w:szCs w:val="20"/>
                <w:color w:val="auto"/>
              </w:rPr>
            </w:pPr>
            <w:r>
              <w:rPr>
                <w:rFonts w:ascii="Arial" w:cs="Arial" w:eastAsia="Arial" w:hAnsi="Arial"/>
                <w:sz w:val="16"/>
                <w:szCs w:val="16"/>
                <w:color w:val="auto"/>
              </w:rPr>
              <w:t>President and Chief Executive Officer</w:t>
            </w:r>
          </w:p>
        </w:tc>
      </w:tr>
      <w:tr>
        <w:trPr>
          <w:trHeight w:val="350"/>
        </w:trPr>
        <w:tc>
          <w:tcPr>
            <w:tcW w:w="3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November 14, 2023</w:t>
            </w:r>
          </w:p>
        </w:tc>
        <w:tc>
          <w:tcPr>
            <w:tcW w:w="7080" w:type="dxa"/>
            <w:vAlign w:val="bottom"/>
            <w:gridSpan w:val="4"/>
          </w:tcPr>
          <w:p>
            <w:pPr>
              <w:ind w:left="1740"/>
              <w:spacing w:after="0"/>
              <w:rPr>
                <w:sz w:val="20"/>
                <w:szCs w:val="20"/>
                <w:color w:val="auto"/>
              </w:rPr>
            </w:pPr>
            <w:r>
              <w:rPr>
                <w:rFonts w:ascii="Arial" w:cs="Arial" w:eastAsia="Arial" w:hAnsi="Arial"/>
                <w:sz w:val="16"/>
                <w:szCs w:val="16"/>
                <w:color w:val="auto"/>
              </w:rPr>
              <w:t>/s/ Walter F. Rusnak</w:t>
            </w:r>
          </w:p>
        </w:tc>
      </w:tr>
      <w:tr>
        <w:trPr>
          <w:trHeight w:val="20"/>
        </w:trPr>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77"/>
        </w:trPr>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80" w:type="dxa"/>
            <w:vAlign w:val="bottom"/>
            <w:gridSpan w:val="4"/>
          </w:tcPr>
          <w:p>
            <w:pPr>
              <w:ind w:left="1740"/>
              <w:spacing w:after="0" w:line="177" w:lineRule="exact"/>
              <w:rPr>
                <w:sz w:val="20"/>
                <w:szCs w:val="20"/>
                <w:color w:val="auto"/>
              </w:rPr>
            </w:pPr>
            <w:r>
              <w:rPr>
                <w:rFonts w:ascii="Arial" w:cs="Arial" w:eastAsia="Arial" w:hAnsi="Arial"/>
                <w:sz w:val="16"/>
                <w:szCs w:val="16"/>
                <w:color w:val="auto"/>
              </w:rPr>
              <w:t>Walter F. Rusnak</w:t>
            </w: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80" w:type="dxa"/>
            <w:vAlign w:val="bottom"/>
            <w:gridSpan w:val="4"/>
          </w:tcPr>
          <w:p>
            <w:pPr>
              <w:ind w:left="1740"/>
              <w:spacing w:after="0"/>
              <w:rPr>
                <w:sz w:val="20"/>
                <w:szCs w:val="20"/>
                <w:color w:val="auto"/>
              </w:rPr>
            </w:pPr>
            <w:r>
              <w:rPr>
                <w:rFonts w:ascii="Arial" w:cs="Arial" w:eastAsia="Arial" w:hAnsi="Arial"/>
                <w:sz w:val="16"/>
                <w:szCs w:val="16"/>
                <w:color w:val="auto"/>
              </w:rPr>
              <w:t>Senior Vice President, Chief Financial Officer</w:t>
            </w:r>
          </w:p>
        </w:tc>
      </w:tr>
      <w:tr>
        <w:trPr>
          <w:trHeight w:val="1022"/>
        </w:trPr>
        <w:tc>
          <w:tcPr>
            <w:tcW w:w="38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4" w:name="page75"/>
    <w:bookmarkEnd w:id="7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
      <w:numFmt w:val="bullet"/>
      <w:start w:val="1"/>
    </w:lvl>
  </w:abstractNum>
  <w:abstractNum w:abstractNumId="5">
    <w:nsid w:val="41B71EFB"/>
    <w:multiLevelType w:val="hybridMultilevel"/>
    <w:lvl w:ilvl="0">
      <w:lvlJc w:val="left"/>
      <w:lvlText w:val="%1"/>
      <w:numFmt w:val="decimal"/>
      <w:start w:val="32"/>
    </w:lvl>
  </w:abstractNum>
  <w:abstractNum w:abstractNumId="6">
    <w:nsid w:val="79E2A9E3"/>
    <w:multiLevelType w:val="hybridMultilevel"/>
    <w:lvl w:ilvl="0">
      <w:lvlJc w:val="left"/>
      <w:lvlText w:val="%1"/>
      <w:numFmt w:val="decimal"/>
      <w:start w:val="101"/>
    </w:lvl>
  </w:abstractNum>
  <w:abstractNum w:abstractNumId="7">
    <w:nsid w:val="7545E146"/>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2023-11-14T11:01:48Z</dcterms:created>
  <dcterms:modified xsi:type="dcterms:W3CDTF">2023-11-14T11:01:48Z</dcterms:modified>
</cp:coreProperties>
</file>