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88" w:lineRule="exact"/>
        <w:rPr>
          <w:sz w:val="24"/>
          <w:szCs w:val="24"/>
          <w:color w:val="auto"/>
        </w:rPr>
      </w:pPr>
    </w:p>
    <w:p>
      <w:pPr>
        <w:ind w:left="3020" w:hanging="565"/>
        <w:spacing w:after="0"/>
        <w:tabs>
          <w:tab w:leader="none" w:pos="3020"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QUARTERLY REPORT PURSUANT TO SECTION 13 OR 15(d) OF THE</w:t>
      </w:r>
    </w:p>
    <w:p>
      <w:pPr>
        <w:spacing w:after="0" w:line="14" w:lineRule="exact"/>
        <w:rPr>
          <w:rFonts w:ascii="MS PGothic" w:cs="MS PGothic" w:eastAsia="MS PGothic" w:hAnsi="MS PGothic"/>
          <w:sz w:val="16"/>
          <w:szCs w:val="16"/>
          <w:b w:val="1"/>
          <w:bCs w:val="1"/>
          <w:color w:val="auto"/>
        </w:rPr>
      </w:pPr>
    </w:p>
    <w:p>
      <w:pPr>
        <w:ind w:left="4040"/>
        <w:spacing w:after="0"/>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color w:val="auto"/>
        </w:rPr>
        <w:t>SECURITIES EXCHANGE ACT OF 1934</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 the quarterly period ended September 30, 2025</w:t>
      </w:r>
    </w:p>
    <w:p>
      <w:pPr>
        <w:spacing w:after="0" w:line="9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color w:val="auto"/>
        </w:rPr>
        <w:t>OR</w:t>
      </w:r>
    </w:p>
    <w:p>
      <w:pPr>
        <w:spacing w:after="0" w:line="116" w:lineRule="exact"/>
        <w:rPr>
          <w:sz w:val="24"/>
          <w:szCs w:val="24"/>
          <w:color w:val="auto"/>
        </w:rPr>
      </w:pPr>
    </w:p>
    <w:p>
      <w:pPr>
        <w:ind w:left="3020" w:hanging="565"/>
        <w:spacing w:after="0"/>
        <w:tabs>
          <w:tab w:leader="none" w:pos="30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w:t>
      </w:r>
    </w:p>
    <w:p>
      <w:pPr>
        <w:spacing w:after="0" w:line="14" w:lineRule="exact"/>
        <w:rPr>
          <w:rFonts w:ascii="MS PGothic" w:cs="MS PGothic" w:eastAsia="MS PGothic" w:hAnsi="MS PGothic"/>
          <w:sz w:val="16"/>
          <w:szCs w:val="16"/>
          <w:color w:val="auto"/>
        </w:rPr>
      </w:pPr>
    </w:p>
    <w:p>
      <w:pPr>
        <w:ind w:left="40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SECURITIES EXCHANGE ACT OF 1934</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2549525</wp:posOffset>
            </wp:positionH>
            <wp:positionV relativeFrom="paragraph">
              <wp:posOffset>180975</wp:posOffset>
            </wp:positionV>
            <wp:extent cx="1623695" cy="381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3695" cy="381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Company as Specified in its Charter)</w:t>
      </w:r>
    </w:p>
    <w:p>
      <w:pPr>
        <w:sectPr>
          <w:pgSz w:w="11900" w:h="16840" w:orient="portrait"/>
          <w:cols w:equalWidth="0" w:num="1">
            <w:col w:w="10580"/>
          </w:cols>
          <w:pgMar w:left="660" w:top="1440" w:right="660" w:bottom="1440" w:gutter="0" w:footer="0" w:header="0"/>
        </w:sectPr>
      </w:pPr>
    </w:p>
    <w:p>
      <w:pPr>
        <w:spacing w:after="0" w:line="29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1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001-36695</w:t>
      </w:r>
    </w:p>
    <w:p>
      <w:pPr>
        <w:spacing w:after="0" w:line="1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38-3941859</w:t>
      </w:r>
    </w:p>
    <w:p>
      <w:pPr>
        <w:spacing w:after="0" w:line="1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95" w:lineRule="exact"/>
        <w:rPr>
          <w:sz w:val="24"/>
          <w:szCs w:val="24"/>
          <w:color w:val="auto"/>
        </w:rPr>
      </w:pPr>
    </w:p>
    <w:p>
      <w:pPr>
        <w:sectPr>
          <w:pgSz w:w="11900" w:h="16840" w:orient="portrait"/>
          <w:cols w:equalWidth="0" w:num="3">
            <w:col w:w="3860" w:space="720"/>
            <w:col w:w="2040" w:space="720"/>
            <w:col w:w="3240"/>
          </w:cols>
          <w:pgMar w:left="660" w:top="1440" w:right="660"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b w:val="1"/>
          <w:bCs w:val="1"/>
          <w:color w:val="auto"/>
        </w:rPr>
        <w:t>214 West First Street</w:t>
      </w:r>
    </w:p>
    <w:p>
      <w:pPr>
        <w:spacing w:after="0" w:line="1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Oswego, NY 13126</w:t>
      </w:r>
    </w:p>
    <w:p>
      <w:pPr>
        <w:ind w:left="4820"/>
        <w:spacing w:after="0"/>
        <w:rPr>
          <w:sz w:val="20"/>
          <w:szCs w:val="20"/>
          <w:color w:val="auto"/>
        </w:rPr>
      </w:pPr>
      <w:r>
        <w:rPr>
          <w:rFonts w:ascii="Times New Roman" w:cs="Times New Roman" w:eastAsia="Times New Roman" w:hAnsi="Times New Roman"/>
          <w:sz w:val="16"/>
          <w:szCs w:val="16"/>
          <w:b w:val="1"/>
          <w:bCs w:val="1"/>
          <w:color w:val="auto"/>
        </w:rPr>
        <w:t>(315) 343-0057</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40" w:orient="portrait"/>
          <w:cols w:equalWidth="0" w:num="1">
            <w:col w:w="10580"/>
          </w:cols>
          <w:pgMar w:left="660" w:top="1440" w:right="660" w:bottom="1440" w:gutter="0" w:footer="0" w:header="0"/>
          <w:type w:val="continuous"/>
        </w:sectPr>
      </w:pPr>
    </w:p>
    <w:p>
      <w:pPr>
        <w:spacing w:after="0" w:line="68"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16"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3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PBHC</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170" w:lineRule="exact"/>
        <w:rPr>
          <w:sz w:val="24"/>
          <w:szCs w:val="24"/>
          <w:color w:val="auto"/>
        </w:rPr>
      </w:pPr>
    </w:p>
    <w:p>
      <w:pPr>
        <w:sectPr>
          <w:pgSz w:w="11900" w:h="16840" w:orient="portrait"/>
          <w:cols w:equalWidth="0" w:num="3">
            <w:col w:w="3940" w:space="720"/>
            <w:col w:w="1420" w:space="720"/>
            <w:col w:w="3780"/>
          </w:cols>
          <w:pgMar w:left="660" w:top="1440" w:right="660" w:bottom="1440" w:gutter="0" w:footer="0" w:header="0"/>
          <w:type w:val="continuous"/>
        </w:sectPr>
      </w:pPr>
    </w:p>
    <w:p>
      <w:pPr>
        <w:ind w:right="12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54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4"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p>
      <w:pPr>
        <w:ind w:left="220"/>
        <w:spacing w:after="0" w:line="184" w:lineRule="exact"/>
        <w:tabs>
          <w:tab w:leader="none" w:pos="2200" w:val="left"/>
          <w:tab w:leader="none" w:pos="3840" w:val="left"/>
          <w:tab w:leader="none" w:pos="5880" w:val="left"/>
          <w:tab w:leader="none" w:pos="836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ind w:right="30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tabs>
          <w:tab w:leader="none" w:pos="78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2" w:lineRule="exact"/>
        <w:rPr>
          <w:sz w:val="24"/>
          <w:szCs w:val="24"/>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of November 11, 2025, there were 4,794,225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635000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2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PAGE NO.</w:t>
            </w:r>
          </w:p>
        </w:tc>
      </w:tr>
      <w:tr>
        <w:trPr>
          <w:trHeight w:val="6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360" w:type="dxa"/>
            <w:vAlign w:val="bottom"/>
            <w:gridSpan w:val="18"/>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Consolidated Financial Statements (Unaudited)</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860" w:type="dxa"/>
            <w:vAlign w:val="bottom"/>
          </w:tcPr>
          <w:p>
            <w:pPr>
              <w:spacing w:after="0"/>
              <w:rPr>
                <w:sz w:val="17"/>
                <w:szCs w:val="17"/>
                <w:color w:val="auto"/>
              </w:rPr>
            </w:pPr>
          </w:p>
        </w:tc>
        <w:tc>
          <w:tcPr>
            <w:tcW w:w="34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Consolidated Statements of Condition</w:t>
              </w:r>
            </w:hyperlink>
          </w:p>
        </w:tc>
        <w:tc>
          <w:tcPr>
            <w:tcW w:w="39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64"/>
        </w:trPr>
        <w:tc>
          <w:tcPr>
            <w:tcW w:w="860" w:type="dxa"/>
            <w:vAlign w:val="bottom"/>
          </w:tcPr>
          <w:p>
            <w:pPr>
              <w:spacing w:after="0"/>
              <w:rPr>
                <w:sz w:val="24"/>
                <w:szCs w:val="24"/>
                <w:color w:val="auto"/>
              </w:rPr>
            </w:pPr>
          </w:p>
        </w:tc>
        <w:tc>
          <w:tcPr>
            <w:tcW w:w="2740" w:type="dxa"/>
            <w:vAlign w:val="bottom"/>
            <w:tcBorders>
              <w:top w:val="single" w:sz="8" w:color="0000EE"/>
            </w:tcBorders>
            <w:gridSpan w:val="10"/>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Consolidated Statements of Income</w:t>
              </w:r>
            </w:hyperlink>
          </w:p>
        </w:tc>
        <w:tc>
          <w:tcPr>
            <w:tcW w:w="4620" w:type="dxa"/>
            <w:vAlign w:val="bottom"/>
            <w:gridSpan w:val="8"/>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Consolidated Statements of Comprehensive Income (Loss)</w:t>
              </w:r>
            </w:hyperlink>
          </w:p>
        </w:tc>
        <w:tc>
          <w:tcPr>
            <w:tcW w:w="31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6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Consolidated Statements of Changes in Shareholders' Equity</w:t>
              </w:r>
            </w:hyperlink>
          </w:p>
        </w:tc>
        <w:tc>
          <w:tcPr>
            <w:tcW w:w="298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6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Consolidated Statements of Cash Flows</w:t>
              </w:r>
            </w:hyperlink>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Consolidated Financial Statements</w:t>
              </w:r>
            </w:hyperlink>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8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36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Management's Discussion and Analysis of Financial Condition and Results of Operations (Unaudited)</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Quantitative and Qualitative Disclosures About Market Risk</w:t>
              </w:r>
            </w:hyperlink>
          </w:p>
        </w:tc>
        <w:tc>
          <w:tcPr>
            <w:tcW w:w="300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Controls and Procedures</w:t>
              </w:r>
            </w:hyperlink>
          </w:p>
        </w:tc>
        <w:tc>
          <w:tcPr>
            <w:tcW w:w="558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54"/>
        </w:trPr>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340" w:type="dxa"/>
            <w:vAlign w:val="bottom"/>
          </w:tcPr>
          <w:p>
            <w:pPr>
              <w:spacing w:after="0"/>
              <w:rPr>
                <w:sz w:val="24"/>
                <w:szCs w:val="24"/>
                <w:color w:val="auto"/>
              </w:rPr>
            </w:pPr>
          </w:p>
        </w:tc>
      </w:tr>
      <w:tr>
        <w:trPr>
          <w:trHeight w:val="39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w w:val="98"/>
              </w:rPr>
            </w:pPr>
            <w:hyperlink w:anchor="page70">
              <w:r>
                <w:rPr>
                  <w:rFonts w:ascii="Times New Roman" w:cs="Times New Roman" w:eastAsia="Times New Roman" w:hAnsi="Times New Roman"/>
                  <w:sz w:val="18"/>
                  <w:szCs w:val="18"/>
                  <w:color w:val="0000FF"/>
                  <w:w w:val="98"/>
                </w:rPr>
                <w:t>Legal Proceedings</w:t>
              </w:r>
            </w:hyperlink>
          </w:p>
        </w:tc>
        <w:tc>
          <w:tcPr>
            <w:tcW w:w="602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8"/>
              </w:rPr>
            </w:pPr>
            <w:hyperlink w:anchor="page70">
              <w:r>
                <w:rPr>
                  <w:rFonts w:ascii="Times New Roman" w:cs="Times New Roman" w:eastAsia="Times New Roman" w:hAnsi="Times New Roman"/>
                  <w:sz w:val="18"/>
                  <w:szCs w:val="18"/>
                  <w:color w:val="0000FF"/>
                  <w:w w:val="98"/>
                </w:rPr>
                <w:t>Risk Factor</w:t>
              </w:r>
            </w:hyperlink>
          </w:p>
        </w:tc>
        <w:tc>
          <w:tcPr>
            <w:tcW w:w="652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360" w:type="dxa"/>
            <w:vAlign w:val="bottom"/>
            <w:gridSpan w:val="18"/>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Unregistered Sales of Equity Securities and Use of Proceeds</w:t>
              </w:r>
            </w:hyperlink>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Defaults upon Senior Securities</w:t>
              </w:r>
            </w:hyperlink>
          </w:p>
        </w:tc>
        <w:tc>
          <w:tcPr>
            <w:tcW w:w="30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Mine Safety Disclosures</w:t>
              </w:r>
            </w:hyperlink>
          </w:p>
        </w:tc>
        <w:tc>
          <w:tcPr>
            <w:tcW w:w="50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Other information</w:t>
              </w:r>
            </w:hyperlink>
          </w:p>
        </w:tc>
        <w:tc>
          <w:tcPr>
            <w:tcW w:w="560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6"/>
              </w:rPr>
            </w:pPr>
            <w:hyperlink w:anchor="page71">
              <w:r>
                <w:rPr>
                  <w:rFonts w:ascii="Times New Roman" w:cs="Times New Roman" w:eastAsia="Times New Roman" w:hAnsi="Times New Roman"/>
                  <w:sz w:val="18"/>
                  <w:szCs w:val="18"/>
                  <w:color w:val="0000FF"/>
                  <w:w w:val="96"/>
                </w:rPr>
                <w:t>Exhibits</w:t>
              </w:r>
            </w:hyperlink>
          </w:p>
        </w:tc>
        <w:tc>
          <w:tcPr>
            <w:tcW w:w="700" w:type="dxa"/>
            <w:vAlign w:val="bottom"/>
            <w:tcBorders>
              <w:top w:val="single" w:sz="8" w:color="0000EE"/>
            </w:tcBorders>
            <w:gridSpan w:val="2"/>
          </w:tcPr>
          <w:p>
            <w:pPr>
              <w:spacing w:after="0"/>
              <w:rPr>
                <w:sz w:val="17"/>
                <w:szCs w:val="17"/>
                <w:color w:val="auto"/>
              </w:rPr>
            </w:pPr>
          </w:p>
        </w:tc>
        <w:tc>
          <w:tcPr>
            <w:tcW w:w="60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412"/>
        </w:trPr>
        <w:tc>
          <w:tcPr>
            <w:tcW w:w="8220" w:type="dxa"/>
            <w:vAlign w:val="bottom"/>
            <w:gridSpan w:val="19"/>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SIGNATURES</w:t>
              </w:r>
            </w:hyperlink>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132"/>
        </w:trPr>
        <w:tc>
          <w:tcPr>
            <w:tcW w:w="860" w:type="dxa"/>
            <w:vAlign w:val="bottom"/>
            <w:tcBorders>
              <w:top w:val="single" w:sz="8" w:color="0000EE"/>
              <w:bottom w:val="single" w:sz="8" w:color="EEEEEE"/>
            </w:tcBorders>
          </w:tcPr>
          <w:p>
            <w:pPr>
              <w:spacing w:after="0"/>
              <w:rPr>
                <w:sz w:val="24"/>
                <w:szCs w:val="24"/>
                <w:color w:val="auto"/>
              </w:rPr>
            </w:pPr>
          </w:p>
        </w:tc>
        <w:tc>
          <w:tcPr>
            <w:tcW w:w="260" w:type="dxa"/>
            <w:vAlign w:val="bottom"/>
            <w:tcBorders>
              <w:top w:val="single" w:sz="8" w:color="0000EE"/>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980" w:type="dxa"/>
            <w:vAlign w:val="bottom"/>
            <w:tcBorders>
              <w:bottom w:val="single" w:sz="8" w:color="EEEEEE"/>
            </w:tcBorders>
          </w:tcPr>
          <w:p>
            <w:pPr>
              <w:spacing w:after="0"/>
              <w:rPr>
                <w:sz w:val="24"/>
                <w:szCs w:val="24"/>
                <w:color w:val="auto"/>
              </w:rPr>
            </w:pPr>
          </w:p>
        </w:tc>
        <w:tc>
          <w:tcPr>
            <w:tcW w:w="2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September 30,</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6"/>
        </w:trPr>
        <w:tc>
          <w:tcPr>
            <w:tcW w:w="69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2"/>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19,317</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Interest-earning deposits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21,255</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17,609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40,572</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31,572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294,457</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269,331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Held-to-maturity securities, at amortized cost (fair value of $137,001 and $151,023, respectively)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142,538</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158,683</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Marketable equity securities, at fair value</w:t>
            </w:r>
          </w:p>
        </w:tc>
        <w:tc>
          <w:tcPr>
            <w:tcW w:w="118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5,352</w:t>
            </w: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Federal Home Loan Bank stock, at cost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3,488</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Loans, net of deferred fees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898,520</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918,986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18,654</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17,243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receivable, net</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879,866</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901,743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18,760</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19,009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1,124</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16,082</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16,676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6,498</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Foreclosed real estate</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137</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Intangible assets, net</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5,518</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5,056</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Bank owned life insurance</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31,145</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21,675</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25,150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1,472,268</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1,474,874</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694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Deposits: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1,028,782</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990,805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Noninterest-bearing</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196,299</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213,719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deposits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1,225,081</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1,204,524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Short-term borrowings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38,000</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borrowings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18,702</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Subordinated debt</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30,258</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30,107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1,134</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1,326</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16,479</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14,949</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1,345,929</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1,353,391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ind w:left="40"/>
              <w:spacing w:after="0" w:line="156" w:lineRule="exact"/>
              <w:rPr>
                <w:sz w:val="20"/>
                <w:szCs w:val="20"/>
                <w:color w:val="auto"/>
              </w:rPr>
            </w:pPr>
            <w:r>
              <w:rPr>
                <w:rFonts w:ascii="Times New Roman" w:cs="Times New Roman" w:eastAsia="Times New Roman" w:hAnsi="Times New Roman"/>
                <w:sz w:val="14"/>
                <w:szCs w:val="14"/>
                <w:color w:val="auto"/>
              </w:rPr>
              <w:t>Voting common stock, par value $0.01; 25,000,000 authorized shares; 4,794,225 and 4,745,366 shares</w:t>
            </w: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3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4"/>
                <w:szCs w:val="14"/>
                <w:color w:val="auto"/>
              </w:rPr>
              <w:t>Non-Voting common stock, par value $0.01; 1,505,283 authorized shares; 1,380,283 shares</w:t>
            </w:r>
          </w:p>
        </w:tc>
        <w:tc>
          <w:tcPr>
            <w:tcW w:w="1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1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53,974</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52,750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79,560</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77,816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(7,257)</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Pathfinder Bancorp, Inc. shareholders' equity</w:t>
            </w:r>
          </w:p>
        </w:tc>
        <w:tc>
          <w:tcPr>
            <w:tcW w:w="1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126,339</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1,472,268</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1,474,874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 w:name="page4"/>
    <w:bookmarkEnd w:id="3"/>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1340" w:type="dxa"/>
            <w:vAlign w:val="bottom"/>
          </w:tcPr>
          <w:p>
            <w:pPr>
              <w:spacing w:after="0"/>
              <w:rPr>
                <w:sz w:val="11"/>
                <w:szCs w:val="11"/>
                <w:color w:val="auto"/>
              </w:rPr>
            </w:pPr>
          </w:p>
        </w:tc>
        <w:tc>
          <w:tcPr>
            <w:tcW w:w="2440" w:type="dxa"/>
            <w:vAlign w:val="bottom"/>
            <w:gridSpan w:val="3"/>
          </w:tcPr>
          <w:p>
            <w:pPr>
              <w:jc w:val="right"/>
              <w:ind w:right="726"/>
              <w:spacing w:after="0"/>
              <w:rPr>
                <w:sz w:val="20"/>
                <w:szCs w:val="20"/>
                <w:color w:val="auto"/>
              </w:rPr>
            </w:pPr>
            <w:r>
              <w:rPr>
                <w:rFonts w:ascii="Times New Roman" w:cs="Times New Roman" w:eastAsia="Times New Roman" w:hAnsi="Times New Roman"/>
                <w:sz w:val="11"/>
                <w:szCs w:val="11"/>
                <w:color w:val="auto"/>
              </w:rPr>
              <w:t>For the three months ended</w:t>
            </w:r>
          </w:p>
        </w:tc>
        <w:tc>
          <w:tcPr>
            <w:tcW w:w="240" w:type="dxa"/>
            <w:vAlign w:val="bottom"/>
          </w:tcPr>
          <w:p>
            <w:pPr>
              <w:spacing w:after="0"/>
              <w:rPr>
                <w:sz w:val="11"/>
                <w:szCs w:val="11"/>
                <w:color w:val="auto"/>
              </w:rPr>
            </w:pPr>
          </w:p>
        </w:tc>
        <w:tc>
          <w:tcPr>
            <w:tcW w:w="2380" w:type="dxa"/>
            <w:vAlign w:val="bottom"/>
            <w:gridSpan w:val="3"/>
          </w:tcPr>
          <w:p>
            <w:pPr>
              <w:jc w:val="right"/>
              <w:ind w:right="686"/>
              <w:spacing w:after="0"/>
              <w:rPr>
                <w:sz w:val="20"/>
                <w:szCs w:val="20"/>
                <w:color w:val="auto"/>
              </w:rPr>
            </w:pPr>
            <w:r>
              <w:rPr>
                <w:rFonts w:ascii="Times New Roman" w:cs="Times New Roman" w:eastAsia="Times New Roman" w:hAnsi="Times New Roman"/>
                <w:sz w:val="11"/>
                <w:szCs w:val="11"/>
                <w:color w:val="auto"/>
              </w:rPr>
              <w:t>For the nine months ended</w:t>
            </w:r>
          </w:p>
        </w:tc>
        <w:tc>
          <w:tcPr>
            <w:tcW w:w="0" w:type="dxa"/>
            <w:vAlign w:val="bottom"/>
          </w:tcPr>
          <w:p>
            <w:pPr>
              <w:spacing w:after="0"/>
              <w:rPr>
                <w:sz w:val="1"/>
                <w:szCs w:val="1"/>
                <w:color w:val="auto"/>
              </w:rPr>
            </w:pPr>
          </w:p>
        </w:tc>
      </w:tr>
      <w:tr>
        <w:trPr>
          <w:trHeight w:val="132"/>
        </w:trPr>
        <w:tc>
          <w:tcPr>
            <w:tcW w:w="416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September 30, 2025</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September 30, 2024</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September 30, 2025</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September 30, 2024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Interest and dividend income:</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Loans, including fees</w:t>
            </w:r>
          </w:p>
        </w:tc>
        <w:tc>
          <w:tcPr>
            <w:tcW w:w="1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13,799</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14,425</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40,577</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39,182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Debt securities: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Taxable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5,307</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5,664</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16,014</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17,007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Tax-exempt</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455</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469</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1,322</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Dividends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149</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158</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Federal funds sold and interest earning deposits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492</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288</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Total interest and dividend income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19,736</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21,199</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58,359</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58,831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Interest on deposits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6,957</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7,633</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21,220</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22,670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 on short-term borrowings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566</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1,136</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3,476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Interest on long-term borrowings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202</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264</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 on subordinated debt</w:t>
            </w: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486</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496</w:t>
            </w:r>
          </w:p>
        </w:tc>
        <w:tc>
          <w:tcPr>
            <w:tcW w:w="24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1,444</w:t>
            </w:r>
          </w:p>
        </w:tc>
        <w:tc>
          <w:tcPr>
            <w:tcW w:w="2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1,476</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40" w:type="dxa"/>
            <w:vAlign w:val="bottom"/>
            <w:vMerge w:val="continue"/>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Total interest expense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8,136</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9,467</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24,534</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28,219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interest income</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11,600</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11,732</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33,825</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30,612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Provision for (benefit from) credit losses:</w:t>
            </w: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Loans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3,341</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9,104</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5,018</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Held-to-maturity securities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Unfunded commitments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153</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(104)</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125</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Total provision for credit losses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3,494</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8,969</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5,148</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8,106</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2,763</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28,677</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20,627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Service charges on deposit accounts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404</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392</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1,158</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Earnings and gain on bank owned life insurance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286</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361</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604</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Loan servicing fees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79</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311</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Net realized losses on sales and redemptions of investment securities</w:t>
            </w:r>
          </w:p>
        </w:tc>
        <w:tc>
          <w:tcPr>
            <w:tcW w:w="1340" w:type="dxa"/>
            <w:vAlign w:val="bottom"/>
          </w:tcPr>
          <w:p>
            <w:pPr>
              <w:spacing w:after="0"/>
              <w:rPr>
                <w:sz w:val="11"/>
                <w:szCs w:val="11"/>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26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(188)</w:t>
            </w:r>
          </w:p>
        </w:tc>
        <w:tc>
          <w:tcPr>
            <w:tcW w:w="24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unrealized gains on marketable equity securities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145</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62</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783</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Gains on sales of loans and foreclosed real estate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90</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269</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Fair value adjustment to loans held-for-sale </w:t>
            </w:r>
            <w:r>
              <w:rPr>
                <w:rFonts w:ascii="Times New Roman" w:cs="Times New Roman" w:eastAsia="Times New Roman" w:hAnsi="Times New Roman"/>
                <w:sz w:val="14"/>
                <w:szCs w:val="14"/>
                <w:color w:val="auto"/>
                <w:vertAlign w:val="superscript"/>
              </w:rPr>
              <w:t>1</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(3,064)</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Loss on sale of premises and equipment</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Debit card interchange fees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300</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398</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Insurance agency revenue </w:t>
            </w:r>
            <w:r>
              <w:rPr>
                <w:rFonts w:ascii="Times New Roman" w:cs="Times New Roman" w:eastAsia="Times New Roman" w:hAnsi="Times New Roman"/>
                <w:sz w:val="14"/>
                <w:szCs w:val="14"/>
                <w:color w:val="auto"/>
                <w:vertAlign w:val="superscript"/>
              </w:rPr>
              <w:t>2</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367</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charges, commissions &amp; fees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229</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257</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743</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noninterest income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1,503</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1,707</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1,182</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5,005</w:t>
            </w:r>
          </w:p>
        </w:tc>
        <w:tc>
          <w:tcPr>
            <w:tcW w:w="26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4,959</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13,980</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13,687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Building and occupancy</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1,399</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1,134</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3,976</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Data processing</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641</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672</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1,974</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Professional and other services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709</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1,820</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2,093</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Advertising</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165</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304</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FDIC assessments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171</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228</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400</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Audits and exams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132</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306</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Amortization expense</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156</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129</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470</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Insurance agency expense </w:t>
            </w:r>
            <w:r>
              <w:rPr>
                <w:rFonts w:ascii="Times New Roman" w:cs="Times New Roman" w:eastAsia="Times New Roman" w:hAnsi="Times New Roman"/>
                <w:sz w:val="14"/>
                <w:szCs w:val="14"/>
                <w:color w:val="auto"/>
                <w:vertAlign w:val="superscript"/>
              </w:rPr>
              <w:t>2</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308</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Community service activities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Foreclosed real estate expenses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expenses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602</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674</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1,803</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8,937</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10,259</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25,431</w:t>
            </w:r>
          </w:p>
        </w:tc>
        <w:tc>
          <w:tcPr>
            <w:tcW w:w="240" w:type="dxa"/>
            <w:vAlign w:val="bottom"/>
          </w:tcPr>
          <w:p>
            <w:pPr>
              <w:spacing w:after="0"/>
              <w:rPr>
                <w:sz w:val="11"/>
                <w:szCs w:val="11"/>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25,873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Income (loss) before provision for income taxes</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672</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(5,789)</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4,428</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Provision for (benefit from) income taxes</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26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(1,173)</w:t>
            </w:r>
          </w:p>
        </w:tc>
        <w:tc>
          <w:tcPr>
            <w:tcW w:w="24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797</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 (loss) attributable to noncontrolling interest and</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Pathfinder Bancorp, Inc.</w:t>
            </w:r>
          </w:p>
        </w:tc>
        <w:tc>
          <w:tcPr>
            <w:tcW w:w="13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626</w:t>
            </w: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(4,616)</w:t>
            </w: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3,631</w:t>
            </w: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1"/>
                <w:szCs w:val="11"/>
                <w:color w:val="auto"/>
              </w:rPr>
              <w:t>Net income attributable to noncontrolling interest</w:t>
            </w:r>
          </w:p>
        </w:tc>
        <w:tc>
          <w:tcPr>
            <w:tcW w:w="1340" w:type="dxa"/>
            <w:vAlign w:val="bottom"/>
          </w:tcPr>
          <w:p>
            <w:pPr>
              <w:spacing w:after="0"/>
              <w:rPr>
                <w:sz w:val="11"/>
                <w:szCs w:val="11"/>
                <w:color w:val="auto"/>
              </w:rPr>
            </w:pP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 (loss) attributable to Pathfinder Bancorp Inc.</w:t>
            </w:r>
          </w:p>
        </w:tc>
        <w:tc>
          <w:tcPr>
            <w:tcW w:w="134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626</w:t>
            </w:r>
          </w:p>
        </w:tc>
        <w:tc>
          <w:tcPr>
            <w:tcW w:w="2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(4,644)</w:t>
            </w:r>
          </w:p>
        </w:tc>
        <w:tc>
          <w:tcPr>
            <w:tcW w:w="2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3,631</w:t>
            </w:r>
          </w:p>
        </w:tc>
        <w:tc>
          <w:tcPr>
            <w:tcW w:w="24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Borders>
              <w:bottom w:val="single" w:sz="8" w:color="auto"/>
            </w:tcBorders>
            <w:vMerge w:val="continue"/>
            <w:shd w:val="clear" w:color="auto" w:fill="CFF0FC"/>
          </w:tcPr>
          <w:p>
            <w:pPr>
              <w:spacing w:after="0"/>
              <w:rPr>
                <w:sz w:val="11"/>
                <w:szCs w:val="11"/>
                <w:color w:val="auto"/>
              </w:rPr>
            </w:pPr>
          </w:p>
        </w:tc>
        <w:tc>
          <w:tcPr>
            <w:tcW w:w="1340" w:type="dxa"/>
            <w:vAlign w:val="bottom"/>
            <w:tcBorders>
              <w:bottom w:val="single" w:sz="8" w:color="auto"/>
            </w:tcBorders>
            <w:vMerge w:val="continue"/>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vMerge w:val="continue"/>
            <w:shd w:val="clear" w:color="auto" w:fill="CFF0FC"/>
          </w:tcPr>
          <w:p>
            <w:pPr>
              <w:spacing w:after="0"/>
              <w:rPr>
                <w:sz w:val="11"/>
                <w:szCs w:val="11"/>
                <w:color w:val="auto"/>
              </w:rPr>
            </w:pPr>
          </w:p>
        </w:tc>
        <w:tc>
          <w:tcPr>
            <w:tcW w:w="110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auto"/>
            </w:tcBorders>
            <w:vMerge w:val="continue"/>
            <w:shd w:val="clear" w:color="auto" w:fill="CFF0FC"/>
          </w:tcPr>
          <w:p>
            <w:pPr>
              <w:spacing w:after="0"/>
              <w:rPr>
                <w:sz w:val="11"/>
                <w:szCs w:val="11"/>
                <w:color w:val="auto"/>
              </w:rPr>
            </w:pPr>
          </w:p>
        </w:tc>
        <w:tc>
          <w:tcPr>
            <w:tcW w:w="110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auto"/>
            </w:tcBorders>
            <w:vMerge w:val="continue"/>
            <w:shd w:val="clear" w:color="auto" w:fill="CFF0FC"/>
          </w:tcPr>
          <w:p>
            <w:pPr>
              <w:spacing w:after="0"/>
              <w:rPr>
                <w:sz w:val="11"/>
                <w:szCs w:val="11"/>
                <w:color w:val="auto"/>
              </w:rPr>
            </w:pPr>
          </w:p>
        </w:tc>
        <w:tc>
          <w:tcPr>
            <w:tcW w:w="104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Voting Earnings per common share - basic</w:t>
            </w: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0.10</w:t>
            </w:r>
          </w:p>
        </w:tc>
        <w:tc>
          <w:tcPr>
            <w:tcW w:w="2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(0.75)</w:t>
            </w:r>
          </w:p>
        </w:tc>
        <w:tc>
          <w:tcPr>
            <w:tcW w:w="2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0.58</w:t>
            </w:r>
          </w:p>
        </w:tc>
        <w:tc>
          <w:tcPr>
            <w:tcW w:w="2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Voting Earnings per common share - diluted</w:t>
            </w:r>
          </w:p>
        </w:tc>
        <w:tc>
          <w:tcPr>
            <w:tcW w:w="1340" w:type="dxa"/>
            <w:vAlign w:val="bottom"/>
            <w:tcBorders>
              <w:bottom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0.10</w:t>
            </w:r>
          </w:p>
        </w:tc>
        <w:tc>
          <w:tcPr>
            <w:tcW w:w="26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(0.75)</w:t>
            </w:r>
          </w:p>
        </w:tc>
        <w:tc>
          <w:tcPr>
            <w:tcW w:w="24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0.57</w:t>
            </w:r>
          </w:p>
        </w:tc>
        <w:tc>
          <w:tcPr>
            <w:tcW w:w="24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Borders>
              <w:top w:val="single" w:sz="8" w:color="auto"/>
              <w:bottom w:val="single" w:sz="8" w:color="auto"/>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Series A Non-Voting Earnings per common share- basic</w:t>
            </w:r>
          </w:p>
        </w:tc>
        <w:tc>
          <w:tcPr>
            <w:tcW w:w="1340" w:type="dxa"/>
            <w:vAlign w:val="bottom"/>
            <w:tcBorders>
              <w:top w:val="single" w:sz="8" w:color="auto"/>
              <w:bottom w:val="single" w:sz="8" w:color="auto"/>
            </w:tcBorders>
            <w:shd w:val="clear" w:color="auto" w:fill="CFF0FC"/>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FF0FC"/>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0.10</w:t>
            </w:r>
          </w:p>
        </w:tc>
        <w:tc>
          <w:tcPr>
            <w:tcW w:w="26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(0.75)</w:t>
            </w:r>
          </w:p>
        </w:tc>
        <w:tc>
          <w:tcPr>
            <w:tcW w:w="24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FF0FC"/>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0.58</w:t>
            </w:r>
          </w:p>
        </w:tc>
        <w:tc>
          <w:tcPr>
            <w:tcW w:w="24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Series A Non-Voting Earnings per common share- diluted</w:t>
            </w:r>
          </w:p>
        </w:tc>
        <w:tc>
          <w:tcPr>
            <w:tcW w:w="1340" w:type="dxa"/>
            <w:vAlign w:val="bottom"/>
            <w:tcBorders>
              <w:bottom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0.10</w:t>
            </w:r>
          </w:p>
        </w:tc>
        <w:tc>
          <w:tcPr>
            <w:tcW w:w="26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(0.75)</w:t>
            </w:r>
          </w:p>
        </w:tc>
        <w:tc>
          <w:tcPr>
            <w:tcW w:w="24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0.57</w:t>
            </w:r>
          </w:p>
        </w:tc>
        <w:tc>
          <w:tcPr>
            <w:tcW w:w="240" w:type="dxa"/>
            <w:vAlign w:val="bottom"/>
            <w:tcBorders>
              <w:bottom w:val="single" w:sz="8" w:color="auto"/>
            </w:tcBorders>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Borders>
              <w:top w:val="single" w:sz="8" w:color="auto"/>
              <w:bottom w:val="single" w:sz="8" w:color="auto"/>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Dividends per common share (Voting and Series A Non-Voting)</w:t>
            </w:r>
          </w:p>
        </w:tc>
        <w:tc>
          <w:tcPr>
            <w:tcW w:w="1340" w:type="dxa"/>
            <w:vAlign w:val="bottom"/>
            <w:tcBorders>
              <w:top w:val="single" w:sz="8" w:color="auto"/>
              <w:bottom w:val="single" w:sz="8" w:color="auto"/>
            </w:tcBorders>
            <w:shd w:val="clear" w:color="auto" w:fill="CFF0FC"/>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FF0FC"/>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0.10</w:t>
            </w:r>
          </w:p>
        </w:tc>
        <w:tc>
          <w:tcPr>
            <w:tcW w:w="26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FF0FC"/>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0.10</w:t>
            </w:r>
          </w:p>
        </w:tc>
        <w:tc>
          <w:tcPr>
            <w:tcW w:w="24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FF0FC"/>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0.30</w:t>
            </w:r>
          </w:p>
        </w:tc>
        <w:tc>
          <w:tcPr>
            <w:tcW w:w="24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FF0FC"/>
          </w:tcPr>
          <w:p>
            <w:pPr>
              <w:jc w:val="right"/>
              <w:ind w:right="46"/>
              <w:spacing w:after="0" w:line="109" w:lineRule="exact"/>
              <w:rPr>
                <w:sz w:val="20"/>
                <w:szCs w:val="20"/>
                <w:color w:val="auto"/>
              </w:rPr>
            </w:pPr>
            <w:r>
              <w:rPr>
                <w:rFonts w:ascii="Times New Roman" w:cs="Times New Roman" w:eastAsia="Times New Roman" w:hAnsi="Times New Roman"/>
                <w:sz w:val="11"/>
                <w:szCs w:val="11"/>
                <w:color w:val="auto"/>
              </w:rPr>
              <w:t>0.30</w:t>
            </w:r>
          </w:p>
        </w:tc>
        <w:tc>
          <w:tcPr>
            <w:tcW w:w="0" w:type="dxa"/>
            <w:vAlign w:val="bottom"/>
          </w:tcPr>
          <w:p>
            <w:pPr>
              <w:spacing w:after="0"/>
              <w:rPr>
                <w:sz w:val="1"/>
                <w:szCs w:val="1"/>
                <w:color w:val="auto"/>
              </w:rPr>
            </w:pPr>
          </w:p>
        </w:tc>
      </w:tr>
    </w:tbl>
    <w:p>
      <w:pPr>
        <w:ind w:left="60" w:hanging="54"/>
        <w:spacing w:after="0"/>
        <w:tabs>
          <w:tab w:leader="none" w:pos="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Lower-of-cost-or-market (LOCOM) adjustment on loans held-for-sale to the estimated market value based on sale negotiation terms.</w:t>
      </w:r>
    </w:p>
    <w:p>
      <w:pPr>
        <w:spacing w:after="0" w:line="22"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See Item 2: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 w:name="page5"/>
    <w:bookmarkEnd w:id="4"/>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320" w:type="dxa"/>
            <w:vAlign w:val="bottom"/>
          </w:tcPr>
          <w:p>
            <w:pPr>
              <w:spacing w:after="0"/>
              <w:rPr>
                <w:sz w:val="14"/>
                <w:szCs w:val="14"/>
                <w:color w:val="auto"/>
              </w:rPr>
            </w:pPr>
          </w:p>
        </w:tc>
        <w:tc>
          <w:tcPr>
            <w:tcW w:w="230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6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September 30,</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September 30,</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80"/>
        </w:trPr>
        <w:tc>
          <w:tcPr>
            <w:tcW w:w="5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626</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(4,616)</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3,631</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Comprehensive Income</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Retirement Plans: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Net unrealized gain on retirement plans</w:t>
            </w: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Unrealized holding gains on available-for-sale securities: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holding gains arising during the period</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2,216</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2,847</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2,692</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adjustment for net gains included in net income</w:t>
            </w: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unrealized gains on available-for-sale securities</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2,216</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2,847</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2,697</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3,226</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Derivatives and hedging activities:</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holding (losses) gains arising during the period</w:t>
            </w: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unrealized (losses) gains on derivatives and hedging activities</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(245)</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2,169</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2,802</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2,554</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3,911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Tax effect</w:t>
            </w: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(732)</w:t>
            </w:r>
          </w:p>
        </w:tc>
        <w:tc>
          <w:tcPr>
            <w:tcW w:w="3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1,601</w:t>
            </w: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2,070</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1,887</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2,227</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(2,546)</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5,518</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Pathfinder Bancorp, Inc.</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2,227</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(2,574)</w:t>
            </w:r>
          </w:p>
        </w:tc>
        <w:tc>
          <w:tcPr>
            <w:tcW w:w="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5,518</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2,365</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1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Tax Effect Allocated to Each Component of Other Comprehensive (Income) Loss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Unrealized holding gains on available-for-sale securities arising during the period</w:t>
            </w:r>
          </w:p>
        </w:tc>
        <w:tc>
          <w:tcPr>
            <w:tcW w:w="2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(579)</w:t>
            </w:r>
          </w:p>
        </w:tc>
        <w:tc>
          <w:tcPr>
            <w:tcW w:w="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(744)</w:t>
            </w:r>
          </w:p>
        </w:tc>
        <w:tc>
          <w:tcPr>
            <w:tcW w:w="3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(703)</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Reclassification adjustment for net losses on available-for-sale securities included in net</w:t>
            </w: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losses (gains) on derivatives and hedging arising during the period</w:t>
            </w: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effect related to other comprehensive income</w:t>
            </w:r>
          </w:p>
        </w:tc>
        <w:tc>
          <w:tcPr>
            <w:tcW w:w="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(732)</w:t>
            </w:r>
          </w:p>
        </w:tc>
        <w:tc>
          <w:tcPr>
            <w:tcW w:w="3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 w:name="page6"/>
    <w:bookmarkEnd w:id="5"/>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and September 30, 2024</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Voting</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ed Other</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Unearned</w:t>
            </w:r>
          </w:p>
        </w:tc>
        <w:tc>
          <w:tcPr>
            <w:tcW w:w="18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Common</w:t>
            </w:r>
          </w:p>
        </w:tc>
        <w:tc>
          <w:tcPr>
            <w:tcW w:w="2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Paid in</w:t>
            </w:r>
          </w:p>
        </w:tc>
        <w:tc>
          <w:tcPr>
            <w:tcW w:w="1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Retained</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w:t>
            </w:r>
          </w:p>
        </w:tc>
        <w:tc>
          <w:tcPr>
            <w:tcW w:w="18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ESOP</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controlling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Earnings</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sive Loss</w:t>
            </w: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5"/>
                <w:szCs w:val="15"/>
                <w:color w:val="auto"/>
              </w:rPr>
            </w:pPr>
          </w:p>
        </w:tc>
        <w:tc>
          <w:tcPr>
            <w:tcW w:w="6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53,645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79,564</w:t>
            </w:r>
          </w:p>
        </w:tc>
        <w:tc>
          <w:tcPr>
            <w:tcW w:w="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(8,858)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124,413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626</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1,601</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2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w:t>
            </w:r>
          </w:p>
        </w:tc>
        <w:tc>
          <w:tcPr>
            <w:tcW w:w="180" w:type="dxa"/>
            <w:vAlign w:val="bottom"/>
          </w:tcPr>
          <w:p>
            <w:pPr>
              <w:spacing w:after="0"/>
              <w:rPr>
                <w:sz w:val="16"/>
                <w:szCs w:val="16"/>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 declared ($0.10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($0.10 per</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2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 declared ($0.10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53,974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79,560</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126,339</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53,182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78,936</w:t>
            </w:r>
          </w:p>
        </w:tc>
        <w:tc>
          <w:tcPr>
            <w:tcW w:w="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(8,786)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124,174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(4,644)</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2,070</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ESOP shares earned (6,111 shares)</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 declared ($0.10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(472)</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($0.10 per</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2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 declared ($0.10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53,231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73,670</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September 30, 2024</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Voting</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ed Other</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Unearned</w:t>
            </w:r>
          </w:p>
        </w:tc>
        <w:tc>
          <w:tcPr>
            <w:tcW w:w="18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Common</w:t>
            </w:r>
          </w:p>
        </w:tc>
        <w:tc>
          <w:tcPr>
            <w:tcW w:w="2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Paid in</w:t>
            </w:r>
          </w:p>
        </w:tc>
        <w:tc>
          <w:tcPr>
            <w:tcW w:w="1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Retained</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w:t>
            </w:r>
          </w:p>
        </w:tc>
        <w:tc>
          <w:tcPr>
            <w:tcW w:w="18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ESOP</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controlling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6"/>
              </w:rPr>
              <w:t>Earnings</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sive Loss</w:t>
            </w: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5"/>
                <w:szCs w:val="15"/>
                <w:color w:val="auto"/>
              </w:rPr>
            </w:pPr>
          </w:p>
        </w:tc>
        <w:tc>
          <w:tcPr>
            <w:tcW w:w="6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January 1, 2025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52,750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77,816</w:t>
            </w:r>
          </w:p>
        </w:tc>
        <w:tc>
          <w:tcPr>
            <w:tcW w:w="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(9,144)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121,483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3,631</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1,887</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 declared ($0.30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(1,435)</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($0.30 per</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2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 declared ($0.30 per share)</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53,974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79,560</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126,339</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53,114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76,060</w:t>
            </w:r>
          </w:p>
        </w:tc>
        <w:tc>
          <w:tcPr>
            <w:tcW w:w="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(9,605)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2,889</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ESOP shares earned (18,332 shares)</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 declared ($0.30 per share)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(1,414)</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Non-Voting common stock dividends declared ($0.30 per</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dividends declared ($0.30 per share)</w:t>
            </w:r>
          </w:p>
        </w:tc>
        <w:tc>
          <w:tcPr>
            <w:tcW w:w="2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53,231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73,670</w:t>
            </w:r>
          </w:p>
        </w:tc>
        <w:tc>
          <w:tcPr>
            <w:tcW w:w="1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(6,716)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121,100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 w:name="page8"/>
    <w:bookmarkEnd w:id="7"/>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40" w:type="dxa"/>
            <w:vAlign w:val="bottom"/>
          </w:tcPr>
          <w:p>
            <w:pPr>
              <w:spacing w:after="0"/>
              <w:rPr>
                <w:sz w:val="12"/>
                <w:szCs w:val="12"/>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For the nine months ended September 30,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8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2025</w:t>
            </w:r>
          </w:p>
        </w:tc>
        <w:tc>
          <w:tcPr>
            <w:tcW w:w="108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Pathfinder Bancorp, Inc.</w:t>
            </w:r>
          </w:p>
        </w:tc>
        <w:tc>
          <w:tcPr>
            <w:tcW w:w="18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3,631</w:t>
            </w:r>
          </w:p>
        </w:tc>
        <w:tc>
          <w:tcPr>
            <w:tcW w:w="108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income to net cash flows from operating activities: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5,148</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9,985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Proceeds from sales of loans held-for-sale</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9,243</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4,519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Originations of loans held-for-sale</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(8,974)</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Realized (gains) losses on sales, redemptions and calls of:</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Foreclosed real estate</w:t>
            </w:r>
          </w:p>
        </w:tc>
        <w:tc>
          <w:tcPr>
            <w:tcW w:w="1840" w:type="dxa"/>
            <w:vAlign w:val="bottom"/>
          </w:tcPr>
          <w:p>
            <w:pPr>
              <w:spacing w:after="0"/>
              <w:rPr>
                <w:sz w:val="12"/>
                <w:szCs w:val="12"/>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Loans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(269)</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Available-for-sale investment securities</w:t>
            </w:r>
          </w:p>
        </w:tc>
        <w:tc>
          <w:tcPr>
            <w:tcW w:w="1840" w:type="dxa"/>
            <w:vAlign w:val="bottom"/>
          </w:tcPr>
          <w:p>
            <w:pPr>
              <w:spacing w:after="0"/>
              <w:rPr>
                <w:sz w:val="13"/>
                <w:szCs w:val="13"/>
                <w:color w:val="auto"/>
              </w:rPr>
            </w:pP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1080" w:type="dxa"/>
            <w:vAlign w:val="bottom"/>
          </w:tcPr>
          <w:p>
            <w:pPr>
              <w:spacing w:after="0"/>
              <w:rPr>
                <w:sz w:val="13"/>
                <w:szCs w:val="13"/>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139</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6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Held-to-maturity investment securities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Marketable securities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(783)</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1,236</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mortgage servicing rights</w:t>
            </w:r>
          </w:p>
        </w:tc>
        <w:tc>
          <w:tcPr>
            <w:tcW w:w="1840" w:type="dxa"/>
            <w:vAlign w:val="bottom"/>
          </w:tcPr>
          <w:p>
            <w:pPr>
              <w:spacing w:after="0"/>
              <w:rPr>
                <w:sz w:val="12"/>
                <w:szCs w:val="12"/>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deferred loan fees and costs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32</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operating and finance leases, net</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330</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deferred financing fees from subordinated debt</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151</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Earnings on bank owned life insurance</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(604)</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amortization of premiums and discounts on investment securities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(65)</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amortization of premiums on intangible assets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430</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based compensation and ESOP expense</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695</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accrued interest receivable</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383</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change in other assets and liabilities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(1,596)</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2,470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inflows from operating activities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9,008</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13,864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Purchase of available-for-sale securities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(57,842)</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Purchase of held-to-maturity securities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(16,858)</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Purchase of marketable securities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(493)</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Purchase of Federal Home Loan Bank stock</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(9,758)</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redemption of Federal Home Loan Bank stock</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10,860</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12,824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maturities and principal reductions of available-for-sale securities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33,326</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58,749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maturities and principal reductions of held-to-maturity securities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25,433</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24,678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sales, redemptions and calls of:</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4,389</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3,449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Held-to-maturity securities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7,385</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3,823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Loans held-for-sale</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3,161</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Real estate acquired through foreclosure</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loans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13,536</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Acquisition of core deposit intangible asset</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 of assets held-for-sale</w:t>
            </w:r>
          </w:p>
        </w:tc>
        <w:tc>
          <w:tcPr>
            <w:tcW w:w="1840" w:type="dxa"/>
            <w:vAlign w:val="bottom"/>
          </w:tcPr>
          <w:p>
            <w:pPr>
              <w:spacing w:after="0"/>
              <w:rPr>
                <w:sz w:val="12"/>
                <w:szCs w:val="12"/>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Purchase of premises and equipment</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(987)</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inflows (outflows) from investing activities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12,152</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change in demand deposits, NOW accounts, savings accounts, money management</w:t>
            </w:r>
          </w:p>
        </w:tc>
        <w:tc>
          <w:tcPr>
            <w:tcW w:w="1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deposit accounts, MMDA accounts and escrow deposits</w:t>
            </w:r>
          </w:p>
        </w:tc>
        <w:tc>
          <w:tcPr>
            <w:tcW w:w="1840" w:type="dxa"/>
            <w:vAlign w:val="bottom"/>
          </w:tcPr>
          <w:p>
            <w:pPr>
              <w:spacing w:after="0"/>
              <w:rPr>
                <w:sz w:val="13"/>
                <w:szCs w:val="13"/>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44,510</w:t>
            </w:r>
          </w:p>
        </w:tc>
        <w:tc>
          <w:tcPr>
            <w:tcW w:w="1080" w:type="dxa"/>
            <w:vAlign w:val="bottom"/>
          </w:tcPr>
          <w:p>
            <w:pPr>
              <w:spacing w:after="0"/>
              <w:rPr>
                <w:sz w:val="13"/>
                <w:szCs w:val="13"/>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94,078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change in time deposits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(9,620)</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95,175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brokered deposits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(14,333)</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change in short-term borrowings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(23,000)</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(65,365)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Payments on long-term borrowings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(19,255)</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long-term borrowings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10,889</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530</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dividends paid to common voting shareholders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(1,429)</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Cash dividends paid to common non-voting shareholders</w:t>
            </w:r>
          </w:p>
        </w:tc>
        <w:tc>
          <w:tcPr>
            <w:tcW w:w="1840" w:type="dxa"/>
            <w:vAlign w:val="bottom"/>
          </w:tcPr>
          <w:p>
            <w:pPr>
              <w:spacing w:after="0"/>
              <w:rPr>
                <w:sz w:val="12"/>
                <w:szCs w:val="12"/>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(414)</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dividends paid on warrants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(38)</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 net</w:t>
            </w:r>
          </w:p>
        </w:tc>
        <w:tc>
          <w:tcPr>
            <w:tcW w:w="1840" w:type="dxa"/>
            <w:vAlign w:val="bottom"/>
          </w:tcPr>
          <w:p>
            <w:pPr>
              <w:spacing w:after="0"/>
              <w:rPr>
                <w:sz w:val="12"/>
                <w:szCs w:val="12"/>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2"/>
                <w:szCs w:val="12"/>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outflows from financing activities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(12,160)</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 in cash and cash equivalents</w:t>
            </w:r>
          </w:p>
        </w:tc>
        <w:tc>
          <w:tcPr>
            <w:tcW w:w="1840" w:type="dxa"/>
            <w:vAlign w:val="bottom"/>
          </w:tcPr>
          <w:p>
            <w:pPr>
              <w:spacing w:after="0"/>
              <w:rPr>
                <w:sz w:val="12"/>
                <w:szCs w:val="12"/>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9,000</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31,572</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48,732</w:t>
            </w: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1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40,572</w:t>
            </w:r>
          </w:p>
        </w:tc>
        <w:tc>
          <w:tcPr>
            <w:tcW w:w="108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35,324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566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PAID DURING THE PERIOD FOR:</w:t>
            </w:r>
          </w:p>
        </w:tc>
        <w:tc>
          <w:tcPr>
            <w:tcW w:w="18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w:t>
            </w:r>
          </w:p>
        </w:tc>
        <w:tc>
          <w:tcPr>
            <w:tcW w:w="184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23,946</w:t>
            </w:r>
          </w:p>
        </w:tc>
        <w:tc>
          <w:tcPr>
            <w:tcW w:w="108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Income taxes</w:t>
            </w:r>
          </w:p>
        </w:tc>
        <w:tc>
          <w:tcPr>
            <w:tcW w:w="18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500</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600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 w:name="page9"/>
    <w:bookmarkEnd w:id="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2024 consolidated financial statements may have been reclassified to conform to the current period presentation. These reclassifications had no effect on net income or comprehensive income as previously reported. Operating results for the three and nine months ended September 30, 2025 are not necessarily indicative of the results that may be expected for the full year ending December 31, 2025 or any other interim period.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 w:name="page10"/>
    <w:bookmarkEnd w:id="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Pronouncements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Standards Not Yet Adopted as of September 30, 2025</w:t>
      </w: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Standard</w:t>
            </w:r>
          </w:p>
        </w:tc>
        <w:tc>
          <w:tcPr>
            <w:tcW w:w="4820" w:type="dxa"/>
            <w:vAlign w:val="bottom"/>
            <w:shd w:val="clear" w:color="auto" w:fill="CFF0FC"/>
          </w:tcPr>
          <w:p>
            <w:pPr>
              <w:ind w:left="200"/>
              <w:spacing w:after="0" w:line="176"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720" w:type="dxa"/>
            <w:vAlign w:val="bottom"/>
            <w:shd w:val="clear" w:color="auto" w:fill="CFF0FC"/>
          </w:tcPr>
          <w:p>
            <w:pPr>
              <w:ind w:left="60"/>
              <w:spacing w:after="0" w:line="176" w:lineRule="exact"/>
              <w:rPr>
                <w:sz w:val="20"/>
                <w:szCs w:val="20"/>
                <w:color w:val="auto"/>
              </w:rPr>
            </w:pPr>
            <w:r>
              <w:rPr>
                <w:rFonts w:ascii="Times New Roman" w:cs="Times New Roman" w:eastAsia="Times New Roman" w:hAnsi="Times New Roman"/>
                <w:sz w:val="16"/>
                <w:szCs w:val="16"/>
                <w:b w:val="1"/>
                <w:bCs w:val="1"/>
                <w:color w:val="auto"/>
              </w:rPr>
              <w:t>Required Date</w:t>
            </w:r>
          </w:p>
        </w:tc>
        <w:tc>
          <w:tcPr>
            <w:tcW w:w="2180" w:type="dxa"/>
            <w:vAlign w:val="bottom"/>
            <w:shd w:val="clear" w:color="auto" w:fill="CFF0FC"/>
          </w:tcPr>
          <w:p>
            <w:pPr>
              <w:ind w:left="60"/>
              <w:spacing w:after="0" w:line="176" w:lineRule="exact"/>
              <w:rPr>
                <w:sz w:val="20"/>
                <w:szCs w:val="20"/>
                <w:color w:val="auto"/>
              </w:rPr>
            </w:pPr>
            <w:r>
              <w:rPr>
                <w:rFonts w:ascii="Times New Roman" w:cs="Times New Roman" w:eastAsia="Times New Roman" w:hAnsi="Times New Roman"/>
                <w:sz w:val="16"/>
                <w:szCs w:val="16"/>
                <w:b w:val="1"/>
                <w:bCs w:val="1"/>
                <w:color w:val="auto"/>
              </w:rPr>
              <w:t>Effect on Consolidated</w:t>
            </w:r>
          </w:p>
        </w:tc>
      </w:tr>
      <w:tr>
        <w:trPr>
          <w:trHeight w:val="195"/>
        </w:trPr>
        <w:tc>
          <w:tcPr>
            <w:tcW w:w="1840" w:type="dxa"/>
            <w:vAlign w:val="bottom"/>
            <w:shd w:val="clear" w:color="auto" w:fill="CFF0FC"/>
          </w:tcPr>
          <w:p>
            <w:pPr>
              <w:spacing w:after="0"/>
              <w:rPr>
                <w:sz w:val="16"/>
                <w:szCs w:val="16"/>
                <w:color w:val="auto"/>
              </w:rPr>
            </w:pPr>
          </w:p>
        </w:tc>
        <w:tc>
          <w:tcPr>
            <w:tcW w:w="4820" w:type="dxa"/>
            <w:vAlign w:val="bottom"/>
            <w:shd w:val="clear" w:color="auto" w:fill="CFF0FC"/>
          </w:tcPr>
          <w:p>
            <w:pPr>
              <w:spacing w:after="0"/>
              <w:rPr>
                <w:sz w:val="16"/>
                <w:szCs w:val="16"/>
                <w:color w:val="auto"/>
              </w:rPr>
            </w:pPr>
          </w:p>
        </w:tc>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of Implementation</w:t>
            </w:r>
          </w:p>
        </w:tc>
        <w:tc>
          <w:tcPr>
            <w:tcW w:w="2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r>
      <w:tr>
        <w:trPr>
          <w:trHeight w:val="165"/>
        </w:trPr>
        <w:tc>
          <w:tcPr>
            <w:tcW w:w="666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Income Statement ASU 2024-  ASU 2024-03 was issued to address requests from investors for more</w:t>
            </w:r>
          </w:p>
        </w:tc>
        <w:tc>
          <w:tcPr>
            <w:tcW w:w="172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Fiscal years beginning</w:t>
            </w:r>
          </w:p>
        </w:tc>
        <w:tc>
          <w:tcPr>
            <w:tcW w:w="218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color w:val="auto"/>
              </w:rPr>
              <w:t>Management is evaluating the</w:t>
            </w:r>
          </w:p>
        </w:tc>
      </w:tr>
      <w:tr>
        <w:trPr>
          <w:trHeight w:val="180"/>
        </w:trPr>
        <w:tc>
          <w:tcPr>
            <w:tcW w:w="1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xml:space="preserve">03 </w:t>
            </w:r>
            <w:r>
              <w:rPr>
                <w:rFonts w:ascii="Times New Roman" w:cs="Times New Roman" w:eastAsia="Times New Roman" w:hAnsi="Times New Roman"/>
                <w:sz w:val="16"/>
                <w:szCs w:val="16"/>
                <w:i w:val="1"/>
                <w:iCs w:val="1"/>
                <w:color w:val="auto"/>
              </w:rPr>
              <w:t>(Subtopic 220-40):</w:t>
            </w:r>
          </w:p>
        </w:tc>
        <w:tc>
          <w:tcPr>
            <w:tcW w:w="4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w w:val="99"/>
              </w:rPr>
              <w:t>detailed information about the types of expenses in commonly presented</w:t>
            </w:r>
          </w:p>
        </w:tc>
        <w:tc>
          <w:tcPr>
            <w:tcW w:w="17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after December 15, 2026,</w:t>
            </w:r>
          </w:p>
        </w:tc>
        <w:tc>
          <w:tcPr>
            <w:tcW w:w="21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w w:val="97"/>
              </w:rPr>
              <w:t>adoption of the ASU but does not</w:t>
            </w:r>
          </w:p>
        </w:tc>
      </w:tr>
      <w:tr>
        <w:trPr>
          <w:trHeight w:val="180"/>
        </w:trPr>
        <w:tc>
          <w:tcPr>
            <w:tcW w:w="18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Disaggregation of Income</w:t>
            </w:r>
          </w:p>
        </w:tc>
        <w:tc>
          <w:tcPr>
            <w:tcW w:w="4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income statement captions. The ASU requires new financial statement</w:t>
            </w:r>
          </w:p>
        </w:tc>
        <w:tc>
          <w:tcPr>
            <w:tcW w:w="39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rPr>
              <w:t>and interim periods within expect it will have a material</w:t>
            </w:r>
          </w:p>
        </w:tc>
      </w:tr>
      <w:tr>
        <w:trPr>
          <w:trHeight w:val="182"/>
        </w:trPr>
        <w:tc>
          <w:tcPr>
            <w:tcW w:w="1840" w:type="dxa"/>
            <w:vAlign w:val="bottom"/>
          </w:tcPr>
          <w:p>
            <w:pPr>
              <w:spacing w:after="0" w:line="182" w:lineRule="exact"/>
              <w:rPr>
                <w:sz w:val="20"/>
                <w:szCs w:val="20"/>
                <w:color w:val="auto"/>
              </w:rPr>
            </w:pPr>
            <w:r>
              <w:rPr>
                <w:rFonts w:ascii="Times New Roman" w:cs="Times New Roman" w:eastAsia="Times New Roman" w:hAnsi="Times New Roman"/>
                <w:sz w:val="16"/>
                <w:szCs w:val="16"/>
                <w:i w:val="1"/>
                <w:iCs w:val="1"/>
                <w:color w:val="auto"/>
              </w:rPr>
              <w:t>Statement Expenses</w:t>
            </w:r>
          </w:p>
        </w:tc>
        <w:tc>
          <w:tcPr>
            <w:tcW w:w="4820" w:type="dxa"/>
            <w:vAlign w:val="bottom"/>
          </w:tcPr>
          <w:p>
            <w:pPr>
              <w:ind w:left="200"/>
              <w:spacing w:after="0" w:line="182" w:lineRule="exact"/>
              <w:rPr>
                <w:sz w:val="20"/>
                <w:szCs w:val="20"/>
                <w:color w:val="auto"/>
              </w:rPr>
            </w:pPr>
            <w:r>
              <w:rPr>
                <w:rFonts w:ascii="Times New Roman" w:cs="Times New Roman" w:eastAsia="Times New Roman" w:hAnsi="Times New Roman"/>
                <w:sz w:val="16"/>
                <w:szCs w:val="16"/>
                <w:color w:val="auto"/>
              </w:rPr>
              <w:t>disclosures, disaggregating certain expense categories, such as</w:t>
            </w:r>
          </w:p>
        </w:tc>
        <w:tc>
          <w:tcPr>
            <w:tcW w:w="39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6"/>
                <w:szCs w:val="16"/>
                <w:color w:val="auto"/>
              </w:rPr>
              <w:t>fiscal years beginning afterimpact to the Company's</w:t>
            </w:r>
          </w:p>
        </w:tc>
      </w:tr>
      <w:tr>
        <w:trPr>
          <w:trHeight w:val="180"/>
        </w:trPr>
        <w:tc>
          <w:tcPr>
            <w:tcW w:w="1840" w:type="dxa"/>
            <w:vAlign w:val="bottom"/>
          </w:tcPr>
          <w:p>
            <w:pPr>
              <w:spacing w:after="0"/>
              <w:rPr>
                <w:sz w:val="15"/>
                <w:szCs w:val="15"/>
                <w:color w:val="auto"/>
              </w:rPr>
            </w:pPr>
          </w:p>
        </w:tc>
        <w:tc>
          <w:tcPr>
            <w:tcW w:w="4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compensation, depreciation, and amortization of intangible assets. This</w:t>
            </w:r>
          </w:p>
        </w:tc>
        <w:tc>
          <w:tcPr>
            <w:tcW w:w="17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December 15, 2027.</w:t>
            </w:r>
          </w:p>
        </w:tc>
        <w:tc>
          <w:tcPr>
            <w:tcW w:w="21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w w:val="97"/>
              </w:rPr>
              <w:t>consolidated financial statements.</w:t>
            </w:r>
          </w:p>
        </w:tc>
      </w:tr>
      <w:tr>
        <w:trPr>
          <w:trHeight w:val="180"/>
        </w:trPr>
        <w:tc>
          <w:tcPr>
            <w:tcW w:w="1840" w:type="dxa"/>
            <w:vAlign w:val="bottom"/>
          </w:tcPr>
          <w:p>
            <w:pPr>
              <w:spacing w:after="0"/>
              <w:rPr>
                <w:sz w:val="15"/>
                <w:szCs w:val="15"/>
                <w:color w:val="auto"/>
              </w:rPr>
            </w:pPr>
          </w:p>
        </w:tc>
        <w:tc>
          <w:tcPr>
            <w:tcW w:w="4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w w:val="99"/>
              </w:rPr>
              <w:t>disaggregation is to be presented in a tabular format and aims to provide</w:t>
            </w:r>
          </w:p>
        </w:tc>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0"/>
        </w:trPr>
        <w:tc>
          <w:tcPr>
            <w:tcW w:w="1840" w:type="dxa"/>
            <w:vAlign w:val="bottom"/>
          </w:tcPr>
          <w:p>
            <w:pPr>
              <w:spacing w:after="0"/>
              <w:rPr>
                <w:sz w:val="15"/>
                <w:szCs w:val="15"/>
                <w:color w:val="auto"/>
              </w:rPr>
            </w:pPr>
          </w:p>
        </w:tc>
        <w:tc>
          <w:tcPr>
            <w:tcW w:w="4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w w:val="98"/>
              </w:rPr>
              <w:t>enhanced transparency into the relevant components of income statement</w:t>
            </w:r>
          </w:p>
        </w:tc>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3"/>
        </w:trPr>
        <w:tc>
          <w:tcPr>
            <w:tcW w:w="1840" w:type="dxa"/>
            <w:vAlign w:val="bottom"/>
          </w:tcPr>
          <w:p>
            <w:pPr>
              <w:spacing w:after="0"/>
              <w:rPr>
                <w:sz w:val="17"/>
                <w:szCs w:val="17"/>
                <w:color w:val="auto"/>
              </w:rPr>
            </w:pPr>
          </w:p>
        </w:tc>
        <w:tc>
          <w:tcPr>
            <w:tcW w:w="4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expenses.</w:t>
            </w:r>
          </w:p>
        </w:tc>
        <w:tc>
          <w:tcPr>
            <w:tcW w:w="17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60"/>
        </w:trPr>
        <w:tc>
          <w:tcPr>
            <w:tcW w:w="1840" w:type="dxa"/>
            <w:vAlign w:val="bottom"/>
          </w:tcPr>
          <w:p>
            <w:pPr>
              <w:spacing w:after="0"/>
              <w:rPr>
                <w:sz w:val="24"/>
                <w:szCs w:val="24"/>
                <w:color w:val="auto"/>
              </w:rPr>
            </w:pPr>
          </w:p>
        </w:tc>
        <w:tc>
          <w:tcPr>
            <w:tcW w:w="482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w:t>
            </w:r>
          </w:p>
        </w:tc>
        <w:tc>
          <w:tcPr>
            <w:tcW w:w="1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74"/>
        </w:trPr>
        <w:tc>
          <w:tcPr>
            <w:tcW w:w="1840" w:type="dxa"/>
            <w:vAlign w:val="bottom"/>
            <w:tcBorders>
              <w:bottom w:val="single" w:sz="8" w:color="EEEEEE"/>
            </w:tcBorders>
          </w:tcPr>
          <w:p>
            <w:pPr>
              <w:spacing w:after="0"/>
              <w:rPr>
                <w:sz w:val="24"/>
                <w:szCs w:val="24"/>
                <w:color w:val="auto"/>
              </w:rPr>
            </w:pPr>
          </w:p>
        </w:tc>
        <w:tc>
          <w:tcPr>
            <w:tcW w:w="48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2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Common Share</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Anti-dilutive shares are common stock equivalents with average exercise prices in excess of the weighted average market price for the period presented. There were no anti-dilutive stock options excised for the three and nine months ended September 30, 2025, and September 30, 2024,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56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2025</w:t>
            </w:r>
          </w:p>
        </w:tc>
        <w:tc>
          <w:tcPr>
            <w:tcW w:w="9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2024</w:t>
            </w:r>
          </w:p>
        </w:tc>
        <w:tc>
          <w:tcPr>
            <w:tcW w:w="44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2025</w:t>
            </w:r>
          </w:p>
        </w:tc>
        <w:tc>
          <w:tcPr>
            <w:tcW w:w="9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 attributable to Pathfinder Bancorp, Inc.</w:t>
            </w:r>
          </w:p>
        </w:tc>
        <w:tc>
          <w:tcPr>
            <w:tcW w:w="5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626</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(4,644)</w:t>
            </w:r>
          </w:p>
        </w:tc>
        <w:tc>
          <w:tcPr>
            <w:tcW w:w="4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3,631</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252" w:lineRule="exact"/>
              <w:rPr>
                <w:sz w:val="20"/>
                <w:szCs w:val="20"/>
                <w:color w:val="auto"/>
              </w:rPr>
            </w:pPr>
            <w:r>
              <w:rPr>
                <w:rFonts w:ascii="Times New Roman" w:cs="Times New Roman" w:eastAsia="Times New Roman" w:hAnsi="Times New Roman"/>
                <w:sz w:val="13"/>
                <w:szCs w:val="13"/>
                <w:color w:val="auto"/>
              </w:rPr>
              <w:t>(524</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Series A Non-Voting Common Stock dividends</w:t>
            </w:r>
          </w:p>
        </w:tc>
        <w:tc>
          <w:tcPr>
            <w:tcW w:w="560" w:type="dxa"/>
            <w:vAlign w:val="bottom"/>
          </w:tcPr>
          <w:p>
            <w:pPr>
              <w:spacing w:after="0"/>
              <w:rPr>
                <w:sz w:val="13"/>
                <w:szCs w:val="13"/>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138</w:t>
            </w:r>
          </w:p>
        </w:tc>
        <w:tc>
          <w:tcPr>
            <w:tcW w:w="920" w:type="dxa"/>
            <w:vAlign w:val="bottom"/>
          </w:tcPr>
          <w:p>
            <w:pPr>
              <w:spacing w:after="0"/>
              <w:rPr>
                <w:sz w:val="13"/>
                <w:szCs w:val="13"/>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138</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414</w:t>
            </w:r>
          </w:p>
        </w:tc>
        <w:tc>
          <w:tcPr>
            <w:tcW w:w="92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 dividends</w:t>
            </w: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13</w:t>
            </w: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12</w:t>
            </w:r>
          </w:p>
        </w:tc>
        <w:tc>
          <w:tcPr>
            <w:tcW w:w="4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w:t>
            </w: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Undistributed (losses) earnings allocated to participating securities</w:t>
            </w:r>
          </w:p>
        </w:tc>
        <w:tc>
          <w:tcPr>
            <w:tcW w:w="560" w:type="dxa"/>
            <w:vAlign w:val="bottom"/>
          </w:tcPr>
          <w:p>
            <w:pPr>
              <w:spacing w:after="0"/>
              <w:rPr>
                <w:sz w:val="13"/>
                <w:szCs w:val="1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tcPr>
          <w:p>
            <w:pPr>
              <w:spacing w:after="0"/>
              <w:rPr>
                <w:sz w:val="13"/>
                <w:szCs w:val="13"/>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(1,275)</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418</w:t>
            </w: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 available to common shareholders - Voting</w:t>
            </w:r>
          </w:p>
        </w:tc>
        <w:tc>
          <w:tcPr>
            <w:tcW w:w="5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476</w:t>
            </w:r>
          </w:p>
        </w:tc>
        <w:tc>
          <w:tcPr>
            <w:tcW w:w="92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(3,519)</w:t>
            </w:r>
          </w:p>
        </w:tc>
        <w:tc>
          <w:tcPr>
            <w:tcW w:w="4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2,761</w:t>
            </w:r>
          </w:p>
        </w:tc>
        <w:tc>
          <w:tcPr>
            <w:tcW w:w="92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 attributable to Pathfinder Bancorp, Inc.</w:t>
            </w:r>
          </w:p>
        </w:tc>
        <w:tc>
          <w:tcPr>
            <w:tcW w:w="5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626</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(4,644)</w:t>
            </w:r>
          </w:p>
        </w:tc>
        <w:tc>
          <w:tcPr>
            <w:tcW w:w="4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3,631</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Voting Common Stock dividends</w:t>
            </w:r>
          </w:p>
        </w:tc>
        <w:tc>
          <w:tcPr>
            <w:tcW w:w="560" w:type="dxa"/>
            <w:vAlign w:val="bottom"/>
          </w:tcPr>
          <w:p>
            <w:pPr>
              <w:spacing w:after="0"/>
              <w:rPr>
                <w:sz w:val="13"/>
                <w:szCs w:val="13"/>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479</w:t>
            </w:r>
          </w:p>
        </w:tc>
        <w:tc>
          <w:tcPr>
            <w:tcW w:w="920" w:type="dxa"/>
            <w:vAlign w:val="bottom"/>
          </w:tcPr>
          <w:p>
            <w:pPr>
              <w:spacing w:after="0"/>
              <w:rPr>
                <w:sz w:val="13"/>
                <w:szCs w:val="13"/>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472</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1,435</w:t>
            </w:r>
          </w:p>
        </w:tc>
        <w:tc>
          <w:tcPr>
            <w:tcW w:w="92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 dividends</w:t>
            </w: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13</w:t>
            </w: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12</w:t>
            </w:r>
          </w:p>
        </w:tc>
        <w:tc>
          <w:tcPr>
            <w:tcW w:w="4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w:t>
            </w: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Undistributed (losses) earnings allocated to participating securities</w:t>
            </w:r>
          </w:p>
        </w:tc>
        <w:tc>
          <w:tcPr>
            <w:tcW w:w="560" w:type="dxa"/>
            <w:vAlign w:val="bottom"/>
          </w:tcPr>
          <w:p>
            <w:pPr>
              <w:spacing w:after="0"/>
              <w:rPr>
                <w:sz w:val="13"/>
                <w:szCs w:val="1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tcPr>
          <w:p>
            <w:pPr>
              <w:spacing w:after="0"/>
              <w:rPr>
                <w:sz w:val="13"/>
                <w:szCs w:val="13"/>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(4,097)</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1,360</w:t>
            </w: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(loss) available to common shareholders - Non-Voting</w:t>
            </w:r>
          </w:p>
        </w:tc>
        <w:tc>
          <w:tcPr>
            <w:tcW w:w="5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137</w:t>
            </w:r>
          </w:p>
        </w:tc>
        <w:tc>
          <w:tcPr>
            <w:tcW w:w="92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(1,031)</w:t>
            </w:r>
          </w:p>
        </w:tc>
        <w:tc>
          <w:tcPr>
            <w:tcW w:w="4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798</w:t>
            </w:r>
          </w:p>
        </w:tc>
        <w:tc>
          <w:tcPr>
            <w:tcW w:w="92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4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Basic weighted average common shares outstanding - Voting</w:t>
            </w: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4,790</w:t>
            </w: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4,714</w:t>
            </w:r>
          </w:p>
        </w:tc>
        <w:tc>
          <w:tcPr>
            <w:tcW w:w="4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4,769</w:t>
            </w: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4,708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Basic weighted average common shares outstanding - Series A Non-Voting</w:t>
            </w:r>
          </w:p>
        </w:tc>
        <w:tc>
          <w:tcPr>
            <w:tcW w:w="560" w:type="dxa"/>
            <w:vAlign w:val="bottom"/>
          </w:tcPr>
          <w:p>
            <w:pPr>
              <w:spacing w:after="0"/>
              <w:rPr>
                <w:sz w:val="13"/>
                <w:szCs w:val="13"/>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1,380</w:t>
            </w:r>
          </w:p>
        </w:tc>
        <w:tc>
          <w:tcPr>
            <w:tcW w:w="920" w:type="dxa"/>
            <w:vAlign w:val="bottom"/>
          </w:tcPr>
          <w:p>
            <w:pPr>
              <w:spacing w:after="0"/>
              <w:rPr>
                <w:sz w:val="13"/>
                <w:szCs w:val="13"/>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1,380</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1,380</w:t>
            </w:r>
          </w:p>
        </w:tc>
        <w:tc>
          <w:tcPr>
            <w:tcW w:w="92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 weighted average common shares outstanding - Voting</w:t>
            </w: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4,842</w:t>
            </w: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4,714</w:t>
            </w:r>
          </w:p>
        </w:tc>
        <w:tc>
          <w:tcPr>
            <w:tcW w:w="4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4,821</w:t>
            </w: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4,708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common shares outstanding - Series A Non-Voting</w:t>
            </w:r>
          </w:p>
        </w:tc>
        <w:tc>
          <w:tcPr>
            <w:tcW w:w="560" w:type="dxa"/>
            <w:vAlign w:val="bottom"/>
          </w:tcPr>
          <w:p>
            <w:pPr>
              <w:spacing w:after="0"/>
              <w:rPr>
                <w:sz w:val="13"/>
                <w:szCs w:val="13"/>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1,380</w:t>
            </w:r>
          </w:p>
        </w:tc>
        <w:tc>
          <w:tcPr>
            <w:tcW w:w="920" w:type="dxa"/>
            <w:vAlign w:val="bottom"/>
          </w:tcPr>
          <w:p>
            <w:pPr>
              <w:spacing w:after="0"/>
              <w:rPr>
                <w:sz w:val="13"/>
                <w:szCs w:val="13"/>
                <w:color w:val="auto"/>
              </w:rPr>
            </w:pPr>
          </w:p>
        </w:tc>
        <w:tc>
          <w:tcPr>
            <w:tcW w:w="6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1,380</w:t>
            </w:r>
          </w:p>
        </w:tc>
        <w:tc>
          <w:tcPr>
            <w:tcW w:w="44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1,380</w:t>
            </w:r>
          </w:p>
        </w:tc>
        <w:tc>
          <w:tcPr>
            <w:tcW w:w="920" w:type="dxa"/>
            <w:vAlign w:val="bottom"/>
          </w:tcPr>
          <w:p>
            <w:pPr>
              <w:spacing w:after="0"/>
              <w:rPr>
                <w:sz w:val="13"/>
                <w:szCs w:val="13"/>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1,380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common share - Voting</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0.10</w:t>
            </w:r>
          </w:p>
        </w:tc>
        <w:tc>
          <w:tcPr>
            <w:tcW w:w="92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(0.75)</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0.58</w:t>
            </w:r>
          </w:p>
        </w:tc>
        <w:tc>
          <w:tcPr>
            <w:tcW w:w="92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Basic earnings per common share - Series A Non-Voting</w:t>
            </w:r>
          </w:p>
        </w:tc>
        <w:tc>
          <w:tcPr>
            <w:tcW w:w="5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0.10</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(0.75)</w:t>
            </w:r>
          </w:p>
        </w:tc>
        <w:tc>
          <w:tcPr>
            <w:tcW w:w="4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0.58</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Diluted earnings per common share - Voting </w:t>
            </w:r>
            <w:r>
              <w:rPr>
                <w:rFonts w:ascii="Times New Roman" w:cs="Times New Roman" w:eastAsia="Times New Roman" w:hAnsi="Times New Roman"/>
                <w:sz w:val="16"/>
                <w:szCs w:val="16"/>
                <w:color w:val="auto"/>
                <w:vertAlign w:val="superscript"/>
              </w:rPr>
              <w:t>1</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0.10</w:t>
            </w:r>
          </w:p>
        </w:tc>
        <w:tc>
          <w:tcPr>
            <w:tcW w:w="92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(0.75)</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0.57</w:t>
            </w:r>
          </w:p>
        </w:tc>
        <w:tc>
          <w:tcPr>
            <w:tcW w:w="92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Diluted earnings per common share - Series A Non-Voting </w:t>
            </w:r>
            <w:r>
              <w:rPr>
                <w:rFonts w:ascii="Times New Roman" w:cs="Times New Roman" w:eastAsia="Times New Roman" w:hAnsi="Times New Roman"/>
                <w:sz w:val="16"/>
                <w:szCs w:val="16"/>
                <w:color w:val="auto"/>
                <w:vertAlign w:val="superscript"/>
              </w:rPr>
              <w:t>1</w:t>
            </w:r>
          </w:p>
        </w:tc>
        <w:tc>
          <w:tcPr>
            <w:tcW w:w="5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0.10</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(0.75)</w:t>
            </w:r>
          </w:p>
        </w:tc>
        <w:tc>
          <w:tcPr>
            <w:tcW w:w="4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0.57</w:t>
            </w:r>
          </w:p>
        </w:tc>
        <w:tc>
          <w:tcPr>
            <w:tcW w:w="92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hanging="54"/>
        <w:spacing w:after="0"/>
        <w:tabs>
          <w:tab w:leader="none" w:pos="6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Diluted earnings per share for the first quarter of 2025 has been revised to $0.47, from the $0.41 reported previously.</w:t>
      </w:r>
    </w:p>
    <w:p>
      <w:pPr>
        <w:spacing w:after="0" w:line="161" w:lineRule="exact"/>
        <w:rPr>
          <w:rFonts w:ascii="Times New Roman" w:cs="Times New Roman" w:eastAsia="Times New Roman" w:hAnsi="Times New Roman"/>
          <w:sz w:val="16"/>
          <w:szCs w:val="16"/>
          <w:color w:val="auto"/>
          <w:vertAlign w:val="superscript"/>
        </w:rPr>
      </w:pPr>
    </w:p>
    <w:p>
      <w:pPr>
        <w:ind w:left="5200" w:hanging="87"/>
        <w:spacing w:after="0"/>
        <w:tabs>
          <w:tab w:leader="none" w:pos="52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80" w:type="dxa"/>
            <w:vAlign w:val="bottom"/>
            <w:gridSpan w:val="3"/>
          </w:tcPr>
          <w:p>
            <w:pPr>
              <w:jc w:val="right"/>
              <w:ind w:right="1002"/>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2"/>
            <w:vMerge w:val="continue"/>
          </w:tcPr>
          <w:p>
            <w:pPr>
              <w:spacing w:after="0"/>
              <w:rPr>
                <w:sz w:val="16"/>
                <w:szCs w:val="16"/>
                <w:color w:val="auto"/>
              </w:rPr>
            </w:pPr>
          </w:p>
        </w:tc>
        <w:tc>
          <w:tcPr>
            <w:tcW w:w="14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Amortized Cost</w:t>
            </w:r>
          </w:p>
        </w:tc>
        <w:tc>
          <w:tcPr>
            <w:tcW w:w="18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Gross Unrealized Gains</w:t>
            </w:r>
          </w:p>
        </w:tc>
        <w:tc>
          <w:tcPr>
            <w:tcW w:w="220" w:type="dxa"/>
            <w:vAlign w:val="bottom"/>
          </w:tcPr>
          <w:p>
            <w:pPr>
              <w:spacing w:after="0"/>
              <w:rPr>
                <w:sz w:val="16"/>
                <w:szCs w:val="16"/>
                <w:color w:val="auto"/>
              </w:rPr>
            </w:pPr>
          </w:p>
        </w:tc>
        <w:tc>
          <w:tcPr>
            <w:tcW w:w="1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8"/>
              </w:rPr>
              <w:t>Gross Unrealized Losses</w:t>
            </w: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Estimated 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5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68,852</w:t>
            </w:r>
          </w:p>
        </w:tc>
        <w:tc>
          <w:tcPr>
            <w:tcW w:w="7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(3,008)</w:t>
            </w:r>
          </w:p>
        </w:tc>
        <w:tc>
          <w:tcPr>
            <w:tcW w:w="5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66,226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580" w:type="dxa"/>
            <w:vAlign w:val="bottom"/>
          </w:tcPr>
          <w:p>
            <w:pPr>
              <w:spacing w:after="0"/>
              <w:rPr>
                <w:sz w:val="19"/>
                <w:szCs w:val="19"/>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35,577</w:t>
            </w:r>
          </w:p>
        </w:tc>
        <w:tc>
          <w:tcPr>
            <w:tcW w:w="760" w:type="dxa"/>
            <w:vAlign w:val="bottom"/>
          </w:tcPr>
          <w:p>
            <w:pPr>
              <w:spacing w:after="0"/>
              <w:rPr>
                <w:sz w:val="19"/>
                <w:szCs w:val="19"/>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9"/>
                <w:szCs w:val="19"/>
                <w:color w:val="auto"/>
              </w:rPr>
            </w:pP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(2,649)</w:t>
            </w:r>
          </w:p>
        </w:tc>
        <w:tc>
          <w:tcPr>
            <w:tcW w:w="56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32,947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9,544</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22,794</w:t>
            </w:r>
          </w:p>
        </w:tc>
        <w:tc>
          <w:tcPr>
            <w:tcW w:w="7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52,516</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423</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(1,136)</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51,803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19,783</w:t>
            </w:r>
          </w:p>
        </w:tc>
        <w:tc>
          <w:tcPr>
            <w:tcW w:w="7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(722)</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92,707</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(1,526)</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91,650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301,773</w:t>
            </w:r>
          </w:p>
        </w:tc>
        <w:tc>
          <w:tcPr>
            <w:tcW w:w="7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1,797</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(9,319)</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294,251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7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available-for-sale</w:t>
            </w:r>
          </w:p>
        </w:tc>
        <w:tc>
          <w:tcPr>
            <w:tcW w:w="58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301,979</w:t>
            </w:r>
          </w:p>
        </w:tc>
        <w:tc>
          <w:tcPr>
            <w:tcW w:w="760" w:type="dxa"/>
            <w:vAlign w:val="bottom"/>
            <w:tcBorders>
              <w:bottom w:val="single" w:sz="8" w:color="auto"/>
            </w:tcBorders>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1,797</w:t>
            </w: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(9,319)</w:t>
            </w:r>
          </w:p>
        </w:tc>
        <w:tc>
          <w:tcPr>
            <w:tcW w:w="560" w:type="dxa"/>
            <w:vAlign w:val="bottom"/>
            <w:tcBorders>
              <w:bottom w:val="single" w:sz="8" w:color="auto"/>
            </w:tcBorders>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294,457</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5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3,570</w:t>
            </w:r>
          </w:p>
        </w:tc>
        <w:tc>
          <w:tcPr>
            <w:tcW w:w="7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5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14,614</w:t>
            </w:r>
          </w:p>
        </w:tc>
        <w:tc>
          <w:tcPr>
            <w:tcW w:w="7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(1,332)</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13,305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34,285</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(1,667)</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32,631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15,580</w:t>
            </w:r>
          </w:p>
        </w:tc>
        <w:tc>
          <w:tcPr>
            <w:tcW w:w="760" w:type="dxa"/>
            <w:vAlign w:val="bottom"/>
          </w:tcPr>
          <w:p>
            <w:pPr>
              <w:spacing w:after="0"/>
              <w:rPr>
                <w:sz w:val="15"/>
                <w:szCs w:val="15"/>
                <w:color w:val="auto"/>
              </w:rPr>
            </w:pPr>
          </w:p>
        </w:tc>
        <w:tc>
          <w:tcPr>
            <w:tcW w:w="10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(537)</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8,147</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(477)</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10,268</w:t>
            </w:r>
          </w:p>
        </w:tc>
        <w:tc>
          <w:tcPr>
            <w:tcW w:w="7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(971)</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56,336</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(933)</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55,619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142,800</w:t>
            </w:r>
          </w:p>
        </w:tc>
        <w:tc>
          <w:tcPr>
            <w:tcW w:w="7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(6,106)</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137,001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held-to-maturity, net of allowance for credit losses</w:t>
            </w:r>
          </w:p>
        </w:tc>
        <w:tc>
          <w:tcPr>
            <w:tcW w:w="58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142,538</w:t>
            </w: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12</w:t>
            </w:r>
            <w:r>
              <w:rPr>
                <w:rFonts w:ascii="Times New Roman" w:cs="Times New Roman" w:eastAsia="Times New Roman" w:hAnsi="Times New Roman"/>
                <w:sz w:val="16"/>
                <w:szCs w:val="16"/>
                <w:color w:val="auto"/>
              </w:rPr>
              <w:t xml:space="preserve"> -</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80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 w:name="page13"/>
    <w:bookmarkEnd w:id="12"/>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40" w:type="dxa"/>
            <w:vAlign w:val="bottom"/>
            <w:gridSpan w:val="3"/>
          </w:tcPr>
          <w:p>
            <w:pPr>
              <w:jc w:val="right"/>
              <w:ind w:right="1022"/>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gridSpan w:val="2"/>
            <w:vMerge w:val="continue"/>
          </w:tcPr>
          <w:p>
            <w:pPr>
              <w:spacing w:after="0"/>
              <w:rPr>
                <w:sz w:val="15"/>
                <w:szCs w:val="15"/>
                <w:color w:val="auto"/>
              </w:rPr>
            </w:pPr>
          </w:p>
        </w:tc>
        <w:tc>
          <w:tcPr>
            <w:tcW w:w="1440" w:type="dxa"/>
            <w:vAlign w:val="bottom"/>
            <w:gridSpan w:val="2"/>
          </w:tcPr>
          <w:p>
            <w:pPr>
              <w:jc w:val="right"/>
              <w:ind w:right="62"/>
              <w:spacing w:after="0" w:line="176" w:lineRule="exact"/>
              <w:rPr>
                <w:sz w:val="20"/>
                <w:szCs w:val="20"/>
                <w:color w:val="auto"/>
              </w:rPr>
            </w:pPr>
            <w:r>
              <w:rPr>
                <w:rFonts w:ascii="Times New Roman" w:cs="Times New Roman" w:eastAsia="Times New Roman" w:hAnsi="Times New Roman"/>
                <w:sz w:val="16"/>
                <w:szCs w:val="16"/>
                <w:color w:val="auto"/>
              </w:rPr>
              <w:t>Amortized Cost</w:t>
            </w:r>
          </w:p>
        </w:tc>
        <w:tc>
          <w:tcPr>
            <w:tcW w:w="1800" w:type="dxa"/>
            <w:vAlign w:val="bottom"/>
            <w:gridSpan w:val="2"/>
          </w:tcPr>
          <w:p>
            <w:pPr>
              <w:jc w:val="right"/>
              <w:ind w:right="42"/>
              <w:spacing w:after="0" w:line="176" w:lineRule="exact"/>
              <w:rPr>
                <w:sz w:val="20"/>
                <w:szCs w:val="20"/>
                <w:color w:val="auto"/>
              </w:rPr>
            </w:pPr>
            <w:r>
              <w:rPr>
                <w:rFonts w:ascii="Times New Roman" w:cs="Times New Roman" w:eastAsia="Times New Roman" w:hAnsi="Times New Roman"/>
                <w:sz w:val="16"/>
                <w:szCs w:val="16"/>
                <w:color w:val="auto"/>
              </w:rPr>
              <w:t>Gross Unrealized Gains</w:t>
            </w:r>
          </w:p>
        </w:tc>
        <w:tc>
          <w:tcPr>
            <w:tcW w:w="220" w:type="dxa"/>
            <w:vAlign w:val="bottom"/>
          </w:tcPr>
          <w:p>
            <w:pPr>
              <w:spacing w:after="0"/>
              <w:rPr>
                <w:sz w:val="15"/>
                <w:szCs w:val="15"/>
                <w:color w:val="auto"/>
              </w:rPr>
            </w:pPr>
          </w:p>
        </w:tc>
        <w:tc>
          <w:tcPr>
            <w:tcW w:w="1720" w:type="dxa"/>
            <w:vAlign w:val="bottom"/>
          </w:tcPr>
          <w:p>
            <w:pPr>
              <w:jc w:val="right"/>
              <w:ind w:right="62"/>
              <w:spacing w:after="0" w:line="176" w:lineRule="exact"/>
              <w:rPr>
                <w:sz w:val="20"/>
                <w:szCs w:val="20"/>
                <w:color w:val="auto"/>
              </w:rPr>
            </w:pPr>
            <w:r>
              <w:rPr>
                <w:rFonts w:ascii="Times New Roman" w:cs="Times New Roman" w:eastAsia="Times New Roman" w:hAnsi="Times New Roman"/>
                <w:sz w:val="16"/>
                <w:szCs w:val="16"/>
                <w:color w:val="auto"/>
                <w:w w:val="98"/>
              </w:rPr>
              <w:t>Gross Unrealized Losses</w:t>
            </w:r>
          </w:p>
        </w:tc>
        <w:tc>
          <w:tcPr>
            <w:tcW w:w="1560" w:type="dxa"/>
            <w:vAlign w:val="bottom"/>
            <w:gridSpan w:val="2"/>
          </w:tcPr>
          <w:p>
            <w:pPr>
              <w:jc w:val="right"/>
              <w:ind w:right="22"/>
              <w:spacing w:after="0" w:line="176" w:lineRule="exact"/>
              <w:rPr>
                <w:sz w:val="20"/>
                <w:szCs w:val="20"/>
                <w:color w:val="auto"/>
              </w:rPr>
            </w:pPr>
            <w:r>
              <w:rPr>
                <w:rFonts w:ascii="Times New Roman" w:cs="Times New Roman" w:eastAsia="Times New Roman" w:hAnsi="Times New Roman"/>
                <w:sz w:val="16"/>
                <w:szCs w:val="16"/>
                <w:color w:val="auto"/>
              </w:rPr>
              <w:t>Estimated Fair Value</w:t>
            </w:r>
          </w:p>
        </w:tc>
        <w:tc>
          <w:tcPr>
            <w:tcW w:w="0" w:type="dxa"/>
            <w:vAlign w:val="bottom"/>
          </w:tcPr>
          <w:p>
            <w:pPr>
              <w:spacing w:after="0"/>
              <w:rPr>
                <w:sz w:val="1"/>
                <w:szCs w:val="1"/>
                <w:color w:val="auto"/>
              </w:rPr>
            </w:pPr>
          </w:p>
        </w:tc>
      </w:tr>
      <w:tr>
        <w:trPr>
          <w:trHeight w:val="197"/>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5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73,888</w:t>
            </w:r>
          </w:p>
        </w:tc>
        <w:tc>
          <w:tcPr>
            <w:tcW w:w="800" w:type="dxa"/>
            <w:vAlign w:val="bottom"/>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(3,834)</w:t>
            </w:r>
          </w:p>
        </w:tc>
        <w:tc>
          <w:tcPr>
            <w:tcW w:w="560" w:type="dxa"/>
            <w:vAlign w:val="bottom"/>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35,128</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(1,928)</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Corporate</w:t>
            </w:r>
          </w:p>
        </w:tc>
        <w:tc>
          <w:tcPr>
            <w:tcW w:w="580" w:type="dxa"/>
            <w:vAlign w:val="bottom"/>
          </w:tcPr>
          <w:p>
            <w:pPr>
              <w:spacing w:after="0"/>
              <w:rPr>
                <w:sz w:val="17"/>
                <w:szCs w:val="17"/>
                <w:color w:val="auto"/>
              </w:rPr>
            </w:pPr>
          </w:p>
        </w:tc>
        <w:tc>
          <w:tcPr>
            <w:tcW w:w="8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10,956</w:t>
            </w:r>
          </w:p>
        </w:tc>
        <w:tc>
          <w:tcPr>
            <w:tcW w:w="80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17"/>
                <w:szCs w:val="17"/>
                <w:color w:val="auto"/>
              </w:rPr>
            </w:pPr>
          </w:p>
        </w:tc>
        <w:tc>
          <w:tcPr>
            <w:tcW w:w="1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(284)</w:t>
            </w:r>
          </w:p>
        </w:tc>
        <w:tc>
          <w:tcPr>
            <w:tcW w:w="560" w:type="dxa"/>
            <w:vAlign w:val="bottom"/>
          </w:tcPr>
          <w:p>
            <w:pPr>
              <w:spacing w:after="0"/>
              <w:rPr>
                <w:sz w:val="17"/>
                <w:szCs w:val="17"/>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10,881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18,934</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(473)</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40,636</w:t>
            </w:r>
          </w:p>
        </w:tc>
        <w:tc>
          <w:tcPr>
            <w:tcW w:w="80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14,376</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(891)</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85,426</w:t>
            </w:r>
          </w:p>
        </w:tc>
        <w:tc>
          <w:tcPr>
            <w:tcW w:w="80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(2,275)</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279,344</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966</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(11,185)</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269,125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80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available-for-sale</w:t>
            </w:r>
          </w:p>
        </w:tc>
        <w:tc>
          <w:tcPr>
            <w:tcW w:w="58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279,550</w:t>
            </w:r>
          </w:p>
        </w:tc>
        <w:tc>
          <w:tcPr>
            <w:tcW w:w="800" w:type="dxa"/>
            <w:vAlign w:val="bottom"/>
            <w:tcBorders>
              <w:bottom w:val="single" w:sz="8" w:color="auto"/>
            </w:tcBorders>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966</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(11,185)</w:t>
            </w:r>
          </w:p>
        </w:tc>
        <w:tc>
          <w:tcPr>
            <w:tcW w:w="560" w:type="dxa"/>
            <w:vAlign w:val="bottom"/>
            <w:tcBorders>
              <w:bottom w:val="single" w:sz="8" w:color="auto"/>
            </w:tcBorders>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269,331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5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3,648</w:t>
            </w:r>
          </w:p>
        </w:tc>
        <w:tc>
          <w:tcPr>
            <w:tcW w:w="800" w:type="dxa"/>
            <w:vAlign w:val="bottom"/>
            <w:shd w:val="clear" w:color="auto" w:fill="CFF0FC"/>
          </w:tcPr>
          <w:p>
            <w:pPr>
              <w:jc w:val="right"/>
              <w:ind w:right="5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(282)</w:t>
            </w:r>
          </w:p>
        </w:tc>
        <w:tc>
          <w:tcPr>
            <w:tcW w:w="5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17,153</w:t>
            </w:r>
          </w:p>
        </w:tc>
        <w:tc>
          <w:tcPr>
            <w:tcW w:w="80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(1,833)</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15,330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43,628</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(1,740)</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41,911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13,050</w:t>
            </w:r>
          </w:p>
        </w:tc>
        <w:tc>
          <w:tcPr>
            <w:tcW w:w="80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9,575</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(728)</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8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11,940</w:t>
            </w:r>
          </w:p>
        </w:tc>
        <w:tc>
          <w:tcPr>
            <w:tcW w:w="80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(1,223)</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10,720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59,946</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(1,670)</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58,316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580" w:type="dxa"/>
            <w:vAlign w:val="bottom"/>
          </w:tcPr>
          <w:p>
            <w:pPr>
              <w:spacing w:after="0"/>
              <w:rPr>
                <w:sz w:val="15"/>
                <w:szCs w:val="15"/>
                <w:color w:val="auto"/>
              </w:rPr>
            </w:pPr>
          </w:p>
        </w:tc>
        <w:tc>
          <w:tcPr>
            <w:tcW w:w="8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158,940</w:t>
            </w:r>
          </w:p>
        </w:tc>
        <w:tc>
          <w:tcPr>
            <w:tcW w:w="80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(8,033)</w:t>
            </w:r>
          </w:p>
        </w:tc>
        <w:tc>
          <w:tcPr>
            <w:tcW w:w="560" w:type="dxa"/>
            <w:vAlign w:val="bottom"/>
          </w:tcPr>
          <w:p>
            <w:pPr>
              <w:spacing w:after="0"/>
              <w:rPr>
                <w:sz w:val="15"/>
                <w:szCs w:val="15"/>
                <w:color w:val="auto"/>
              </w:rPr>
            </w:pPr>
          </w:p>
        </w:tc>
        <w:tc>
          <w:tcPr>
            <w:tcW w:w="10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8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held-to-maturity, net of allowance for credit losses</w:t>
            </w:r>
          </w:p>
        </w:tc>
        <w:tc>
          <w:tcPr>
            <w:tcW w:w="58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158,683</w:t>
            </w:r>
          </w:p>
        </w:tc>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debt investments at September 30, 2025 by contractual maturity are shown below. Expected maturities may differ from contractual maturities because borrowers may have the right to call or prepay obligations with or without penalties. Amounts disclosed are gross values and do not include any allowance for credit losses.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tcPr>
          <w:p>
            <w:pPr>
              <w:spacing w:after="0"/>
              <w:rPr>
                <w:sz w:val="16"/>
                <w:szCs w:val="16"/>
                <w:color w:val="auto"/>
              </w:rPr>
            </w:pPr>
          </w:p>
        </w:tc>
        <w:tc>
          <w:tcPr>
            <w:tcW w:w="2620" w:type="dxa"/>
            <w:vAlign w:val="bottom"/>
            <w:gridSpan w:val="3"/>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6"/>
              </w:rPr>
              <w:t>Available-for-Sale</w:t>
            </w:r>
          </w:p>
        </w:tc>
        <w:tc>
          <w:tcPr>
            <w:tcW w:w="200" w:type="dxa"/>
            <w:vAlign w:val="bottom"/>
          </w:tcPr>
          <w:p>
            <w:pPr>
              <w:spacing w:after="0"/>
              <w:rPr>
                <w:sz w:val="16"/>
                <w:szCs w:val="16"/>
                <w:color w:val="auto"/>
              </w:rPr>
            </w:pPr>
          </w:p>
        </w:tc>
        <w:tc>
          <w:tcPr>
            <w:tcW w:w="2800" w:type="dxa"/>
            <w:vAlign w:val="bottom"/>
            <w:gridSpan w:val="3"/>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Held-to-Maturity</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19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Amortized Cost</w:t>
            </w:r>
          </w:p>
        </w:tc>
        <w:tc>
          <w:tcPr>
            <w:tcW w:w="220" w:type="dxa"/>
            <w:vAlign w:val="bottom"/>
          </w:tcPr>
          <w:p>
            <w:pPr>
              <w:spacing w:after="0"/>
              <w:rPr>
                <w:sz w:val="16"/>
                <w:szCs w:val="16"/>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7"/>
              </w:rPr>
              <w:t>Estimated Fair Value</w:t>
            </w:r>
          </w:p>
        </w:tc>
        <w:tc>
          <w:tcPr>
            <w:tcW w:w="20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6"/>
              </w:rPr>
              <w:t>Amortized Cost</w:t>
            </w:r>
          </w:p>
        </w:tc>
        <w:tc>
          <w:tcPr>
            <w:tcW w:w="22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7"/>
              </w:rPr>
              <w:t>Estimated Fair Value</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in one year or less</w:t>
            </w:r>
          </w:p>
        </w:tc>
        <w:tc>
          <w:tcPr>
            <w:tcW w:w="10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6,011</w:t>
            </w:r>
          </w:p>
        </w:tc>
        <w:tc>
          <w:tcPr>
            <w:tcW w:w="22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6,154</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1,145</w:t>
            </w:r>
          </w:p>
        </w:tc>
        <w:tc>
          <w:tcPr>
            <w:tcW w:w="22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180"/>
        </w:trPr>
        <w:tc>
          <w:tcPr>
            <w:tcW w:w="3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after one year through five years</w:t>
            </w:r>
          </w:p>
        </w:tc>
        <w:tc>
          <w:tcPr>
            <w:tcW w:w="10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36,676</w:t>
            </w:r>
          </w:p>
        </w:tc>
        <w:tc>
          <w:tcPr>
            <w:tcW w:w="220" w:type="dxa"/>
            <w:vAlign w:val="bottom"/>
          </w:tcPr>
          <w:p>
            <w:pPr>
              <w:spacing w:after="0"/>
              <w:rPr>
                <w:sz w:val="15"/>
                <w:szCs w:val="15"/>
                <w:color w:val="auto"/>
              </w:rPr>
            </w:pPr>
          </w:p>
        </w:tc>
        <w:tc>
          <w:tcPr>
            <w:tcW w:w="1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34,126</w:t>
            </w:r>
          </w:p>
        </w:tc>
        <w:tc>
          <w:tcPr>
            <w:tcW w:w="20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35,665</w:t>
            </w:r>
          </w:p>
        </w:tc>
        <w:tc>
          <w:tcPr>
            <w:tcW w:w="220" w:type="dxa"/>
            <w:vAlign w:val="bottom"/>
          </w:tcPr>
          <w:p>
            <w:pPr>
              <w:spacing w:after="0"/>
              <w:rPr>
                <w:sz w:val="15"/>
                <w:szCs w:val="15"/>
                <w:color w:val="auto"/>
              </w:rPr>
            </w:pPr>
          </w:p>
        </w:tc>
        <w:tc>
          <w:tcPr>
            <w:tcW w:w="1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34,680</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Due after five years through ten years</w:t>
            </w:r>
          </w:p>
        </w:tc>
        <w:tc>
          <w:tcPr>
            <w:tcW w:w="10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14,984</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14,285</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14,328</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12,412</w:t>
            </w:r>
          </w:p>
        </w:tc>
        <w:tc>
          <w:tcPr>
            <w:tcW w:w="0" w:type="dxa"/>
            <w:vAlign w:val="bottom"/>
          </w:tcPr>
          <w:p>
            <w:pPr>
              <w:spacing w:after="0"/>
              <w:rPr>
                <w:sz w:val="1"/>
                <w:szCs w:val="1"/>
                <w:color w:val="auto"/>
              </w:rPr>
            </w:pPr>
          </w:p>
        </w:tc>
      </w:tr>
      <w:tr>
        <w:trPr>
          <w:trHeight w:val="180"/>
        </w:trPr>
        <w:tc>
          <w:tcPr>
            <w:tcW w:w="3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Due after ten years</w:t>
            </w:r>
          </w:p>
        </w:tc>
        <w:tc>
          <w:tcPr>
            <w:tcW w:w="10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79,096</w:t>
            </w:r>
          </w:p>
        </w:tc>
        <w:tc>
          <w:tcPr>
            <w:tcW w:w="220" w:type="dxa"/>
            <w:vAlign w:val="bottom"/>
          </w:tcPr>
          <w:p>
            <w:pPr>
              <w:spacing w:after="0"/>
              <w:rPr>
                <w:sz w:val="15"/>
                <w:szCs w:val="15"/>
                <w:color w:val="auto"/>
              </w:rPr>
            </w:pPr>
          </w:p>
        </w:tc>
        <w:tc>
          <w:tcPr>
            <w:tcW w:w="1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76,882</w:t>
            </w:r>
          </w:p>
        </w:tc>
        <w:tc>
          <w:tcPr>
            <w:tcW w:w="20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16,911</w:t>
            </w:r>
          </w:p>
        </w:tc>
        <w:tc>
          <w:tcPr>
            <w:tcW w:w="220" w:type="dxa"/>
            <w:vAlign w:val="bottom"/>
          </w:tcPr>
          <w:p>
            <w:pPr>
              <w:spacing w:after="0"/>
              <w:rPr>
                <w:sz w:val="15"/>
                <w:szCs w:val="15"/>
                <w:color w:val="auto"/>
              </w:rPr>
            </w:pPr>
          </w:p>
        </w:tc>
        <w:tc>
          <w:tcPr>
            <w:tcW w:w="1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16,139</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Sub-total</w:t>
            </w:r>
          </w:p>
        </w:tc>
        <w:tc>
          <w:tcPr>
            <w:tcW w:w="10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136,767</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131,447</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68,049</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64,376</w:t>
            </w:r>
          </w:p>
        </w:tc>
        <w:tc>
          <w:tcPr>
            <w:tcW w:w="0" w:type="dxa"/>
            <w:vAlign w:val="bottom"/>
          </w:tcPr>
          <w:p>
            <w:pPr>
              <w:spacing w:after="0"/>
              <w:rPr>
                <w:sz w:val="1"/>
                <w:szCs w:val="1"/>
                <w:color w:val="auto"/>
              </w:rPr>
            </w:pPr>
          </w:p>
        </w:tc>
      </w:tr>
      <w:tr>
        <w:trPr>
          <w:trHeight w:val="180"/>
        </w:trPr>
        <w:tc>
          <w:tcPr>
            <w:tcW w:w="3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10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52,516</w:t>
            </w:r>
          </w:p>
        </w:tc>
        <w:tc>
          <w:tcPr>
            <w:tcW w:w="220" w:type="dxa"/>
            <w:vAlign w:val="bottom"/>
          </w:tcPr>
          <w:p>
            <w:pPr>
              <w:spacing w:after="0"/>
              <w:rPr>
                <w:sz w:val="15"/>
                <w:szCs w:val="15"/>
                <w:color w:val="auto"/>
              </w:rPr>
            </w:pPr>
          </w:p>
        </w:tc>
        <w:tc>
          <w:tcPr>
            <w:tcW w:w="1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51,803</w:t>
            </w:r>
          </w:p>
        </w:tc>
        <w:tc>
          <w:tcPr>
            <w:tcW w:w="200" w:type="dxa"/>
            <w:vAlign w:val="bottom"/>
          </w:tcPr>
          <w:p>
            <w:pPr>
              <w:spacing w:after="0"/>
              <w:rPr>
                <w:sz w:val="15"/>
                <w:szCs w:val="15"/>
                <w:color w:val="auto"/>
              </w:rPr>
            </w:pPr>
          </w:p>
        </w:tc>
        <w:tc>
          <w:tcPr>
            <w:tcW w:w="11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8,147</w:t>
            </w:r>
          </w:p>
        </w:tc>
        <w:tc>
          <w:tcPr>
            <w:tcW w:w="220" w:type="dxa"/>
            <w:vAlign w:val="bottom"/>
          </w:tcPr>
          <w:p>
            <w:pPr>
              <w:spacing w:after="0"/>
              <w:rPr>
                <w:sz w:val="15"/>
                <w:szCs w:val="15"/>
                <w:color w:val="auto"/>
              </w:rPr>
            </w:pPr>
          </w:p>
        </w:tc>
        <w:tc>
          <w:tcPr>
            <w:tcW w:w="1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7,706</w:t>
            </w:r>
          </w:p>
        </w:tc>
        <w:tc>
          <w:tcPr>
            <w:tcW w:w="0" w:type="dxa"/>
            <w:vAlign w:val="bottom"/>
          </w:tcPr>
          <w:p>
            <w:pPr>
              <w:spacing w:after="0"/>
              <w:rPr>
                <w:sz w:val="1"/>
                <w:szCs w:val="1"/>
                <w:color w:val="auto"/>
              </w:rPr>
            </w:pP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0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19,783</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19,351</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10,268</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9,300</w:t>
            </w:r>
          </w:p>
        </w:tc>
        <w:tc>
          <w:tcPr>
            <w:tcW w:w="0" w:type="dxa"/>
            <w:vAlign w:val="bottom"/>
          </w:tcPr>
          <w:p>
            <w:pPr>
              <w:spacing w:after="0"/>
              <w:rPr>
                <w:sz w:val="1"/>
                <w:szCs w:val="1"/>
                <w:color w:val="auto"/>
              </w:rPr>
            </w:pPr>
          </w:p>
        </w:tc>
      </w:tr>
      <w:tr>
        <w:trPr>
          <w:trHeight w:val="180"/>
        </w:trPr>
        <w:tc>
          <w:tcPr>
            <w:tcW w:w="3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020" w:type="dxa"/>
            <w:vAlign w:val="bottom"/>
          </w:tcPr>
          <w:p>
            <w:pPr>
              <w:spacing w:after="0"/>
              <w:rPr>
                <w:sz w:val="15"/>
                <w:szCs w:val="15"/>
                <w:color w:val="auto"/>
              </w:rPr>
            </w:pPr>
          </w:p>
        </w:tc>
        <w:tc>
          <w:tcPr>
            <w:tcW w:w="9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92,707</w:t>
            </w:r>
          </w:p>
        </w:tc>
        <w:tc>
          <w:tcPr>
            <w:tcW w:w="220" w:type="dxa"/>
            <w:vAlign w:val="bottom"/>
          </w:tcPr>
          <w:p>
            <w:pPr>
              <w:spacing w:after="0"/>
              <w:rPr>
                <w:sz w:val="15"/>
                <w:szCs w:val="15"/>
                <w:color w:val="auto"/>
              </w:rPr>
            </w:pPr>
          </w:p>
        </w:tc>
        <w:tc>
          <w:tcPr>
            <w:tcW w:w="14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91,650</w:t>
            </w:r>
          </w:p>
        </w:tc>
        <w:tc>
          <w:tcPr>
            <w:tcW w:w="20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56,336</w:t>
            </w:r>
          </w:p>
        </w:tc>
        <w:tc>
          <w:tcPr>
            <w:tcW w:w="220" w:type="dxa"/>
            <w:vAlign w:val="bottom"/>
          </w:tcPr>
          <w:p>
            <w:pPr>
              <w:spacing w:after="0"/>
              <w:rPr>
                <w:sz w:val="15"/>
                <w:szCs w:val="15"/>
                <w:color w:val="auto"/>
              </w:rPr>
            </w:pPr>
          </w:p>
        </w:tc>
        <w:tc>
          <w:tcPr>
            <w:tcW w:w="14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55,619</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auto"/>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Totals</w:t>
            </w:r>
          </w:p>
        </w:tc>
        <w:tc>
          <w:tcPr>
            <w:tcW w:w="102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301,773</w:t>
            </w:r>
          </w:p>
        </w:tc>
        <w:tc>
          <w:tcPr>
            <w:tcW w:w="220" w:type="dxa"/>
            <w:vAlign w:val="bottom"/>
            <w:tcBorders>
              <w:bottom w:val="single" w:sz="8" w:color="auto"/>
            </w:tcBorders>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294,251</w:t>
            </w:r>
          </w:p>
        </w:tc>
        <w:tc>
          <w:tcPr>
            <w:tcW w:w="2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142,800</w:t>
            </w:r>
          </w:p>
        </w:tc>
        <w:tc>
          <w:tcPr>
            <w:tcW w:w="220" w:type="dxa"/>
            <w:vAlign w:val="bottom"/>
            <w:tcBorders>
              <w:bottom w:val="single" w:sz="8" w:color="auto"/>
            </w:tcBorders>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137,001</w:t>
            </w:r>
          </w:p>
        </w:tc>
        <w:tc>
          <w:tcPr>
            <w:tcW w:w="0" w:type="dxa"/>
            <w:vAlign w:val="bottom"/>
          </w:tcPr>
          <w:p>
            <w:pPr>
              <w:spacing w:after="0"/>
              <w:rPr>
                <w:sz w:val="1"/>
                <w:szCs w:val="1"/>
                <w:color w:val="auto"/>
              </w:rPr>
            </w:pPr>
          </w:p>
        </w:tc>
      </w:tr>
      <w:tr>
        <w:trPr>
          <w:trHeight w:val="346"/>
        </w:trPr>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13</w:t>
            </w:r>
            <w:r>
              <w:rPr>
                <w:rFonts w:ascii="Times New Roman" w:cs="Times New Roman" w:eastAsia="Times New Roman" w:hAnsi="Times New Roman"/>
                <w:sz w:val="16"/>
                <w:szCs w:val="16"/>
                <w:color w:val="auto"/>
              </w:rPr>
              <w:t xml:space="preserve"> -</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9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 w:name="page14"/>
    <w:bookmarkEnd w:id="13"/>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ind w:left="634"/>
              <w:spacing w:after="0"/>
              <w:rPr>
                <w:sz w:val="20"/>
                <w:szCs w:val="20"/>
                <w:color w:val="auto"/>
              </w:rPr>
            </w:pPr>
            <w:r>
              <w:rPr>
                <w:rFonts w:ascii="Times New Roman" w:cs="Times New Roman" w:eastAsia="Times New Roman" w:hAnsi="Times New Roman"/>
                <w:sz w:val="13"/>
                <w:szCs w:val="13"/>
                <w:color w:val="auto"/>
              </w:rPr>
              <w:t>September 30, 2025</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8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color w:val="auto"/>
              </w:rPr>
              <w:t>Less than Twelve Months</w:t>
            </w:r>
          </w:p>
        </w:tc>
        <w:tc>
          <w:tcPr>
            <w:tcW w:w="140" w:type="dxa"/>
            <w:vAlign w:val="bottom"/>
          </w:tcPr>
          <w:p>
            <w:pPr>
              <w:spacing w:after="0"/>
              <w:rPr>
                <w:sz w:val="14"/>
                <w:szCs w:val="14"/>
                <w:color w:val="auto"/>
              </w:rPr>
            </w:pPr>
          </w:p>
        </w:tc>
        <w:tc>
          <w:tcPr>
            <w:tcW w:w="34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w w:val="95"/>
              </w:rPr>
              <w:t>Fair</w:t>
            </w:r>
          </w:p>
        </w:tc>
        <w:tc>
          <w:tcPr>
            <w:tcW w:w="216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Twelve Months or More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 Individual</w:t>
            </w:r>
          </w:p>
        </w:tc>
        <w:tc>
          <w:tcPr>
            <w:tcW w:w="8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Unrealized</w:t>
            </w:r>
          </w:p>
        </w:tc>
        <w:tc>
          <w:tcPr>
            <w:tcW w:w="4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Valu</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w:t>
            </w:r>
          </w:p>
        </w:tc>
        <w:tc>
          <w:tcPr>
            <w:tcW w:w="16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Fair</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 Individual</w:t>
            </w: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Unrealized</w:t>
            </w: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Fair</w:t>
            </w:r>
          </w:p>
        </w:tc>
        <w:tc>
          <w:tcPr>
            <w:tcW w:w="0" w:type="dxa"/>
            <w:vAlign w:val="bottom"/>
          </w:tcPr>
          <w:p>
            <w:pPr>
              <w:spacing w:after="0"/>
              <w:rPr>
                <w:sz w:val="1"/>
                <w:szCs w:val="1"/>
                <w:color w:val="auto"/>
              </w:rPr>
            </w:pPr>
          </w:p>
        </w:tc>
      </w:tr>
      <w:tr>
        <w:trPr>
          <w:trHeight w:val="168"/>
        </w:trPr>
        <w:tc>
          <w:tcPr>
            <w:tcW w:w="2160" w:type="dxa"/>
            <w:vAlign w:val="bottom"/>
            <w:gridSpan w:val="2"/>
            <w:vMerge w:val="continue"/>
          </w:tcPr>
          <w:p>
            <w:pPr>
              <w:spacing w:after="0"/>
              <w:rPr>
                <w:sz w:val="14"/>
                <w:szCs w:val="14"/>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Securities</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Individual Securities</w:t>
            </w:r>
          </w:p>
        </w:tc>
        <w:tc>
          <w:tcPr>
            <w:tcW w:w="1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Value</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16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Available-for-Sale Portfolio</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26,8</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44,22</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Treasury, agencies and GSEs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(2,581)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06</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(3,008)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30,7</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30,77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(2,649)</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77</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(2,649)</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3,31</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Corporate</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4,0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6,82</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 backed securities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07</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(116)</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Residential mortgage-backed - US</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7,7</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17,0</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24,73</w:t>
            </w:r>
          </w:p>
        </w:tc>
        <w:tc>
          <w:tcPr>
            <w:tcW w:w="0" w:type="dxa"/>
            <w:vAlign w:val="bottom"/>
          </w:tcPr>
          <w:p>
            <w:pPr>
              <w:spacing w:after="0"/>
              <w:rPr>
                <w:sz w:val="1"/>
                <w:szCs w:val="1"/>
                <w:color w:val="auto"/>
              </w:rPr>
            </w:pPr>
          </w:p>
        </w:tc>
      </w:tr>
      <w:tr>
        <w:trPr>
          <w:trHeight w:val="192"/>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agency</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(162)</w:t>
            </w:r>
          </w:p>
        </w:tc>
        <w:tc>
          <w:tcPr>
            <w:tcW w:w="14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(974)</w:t>
            </w:r>
          </w:p>
        </w:tc>
        <w:tc>
          <w:tcPr>
            <w:tcW w:w="16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(1,136)</w:t>
            </w:r>
          </w:p>
        </w:tc>
        <w:tc>
          <w:tcPr>
            <w:tcW w:w="160" w:type="dxa"/>
            <w:vAlign w:val="bottom"/>
          </w:tcPr>
          <w:p>
            <w:pPr>
              <w:spacing w:after="0"/>
              <w:rPr>
                <w:sz w:val="16"/>
                <w:szCs w:val="16"/>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6,34</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US agency</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(720)</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(722)</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8,063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19,</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71</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19,7</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39,49</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Private label</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4"/>
                <w:szCs w:val="14"/>
                <w:color w:val="auto"/>
              </w:rPr>
            </w:pP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(1,448)</w:t>
            </w:r>
          </w:p>
        </w:tc>
        <w:tc>
          <w:tcPr>
            <w:tcW w:w="16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71</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(1,526)</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58</w:t>
            </w: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110,</w:t>
            </w: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Totals</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(680)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bottom w:val="single" w:sz="8" w:color="auto"/>
            </w:tcBorders>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(8,639)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856</w:t>
            </w: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(9,319)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Held-to-Maturity Portfolio</w:t>
            </w: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3,38</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US Treasury, agencies and GSEs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11,2</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11,52</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(1,331)</w:t>
            </w:r>
          </w:p>
        </w:tc>
        <w:tc>
          <w:tcPr>
            <w:tcW w:w="16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29</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(1,332)</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20,9</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Corporate</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00</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(1,666)</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08</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(1,667)</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7,07</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backed securities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(537)</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(537)</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7,074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Residential mortgage-backed - US</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6,50</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agency</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(477)</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(477)</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6,502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8,86</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agency</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(971)</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(971)</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8,861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18,6</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26,69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Private label</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63</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(906)</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32</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(933)</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76,5</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85,94</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61</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w:t>
            </w:r>
          </w:p>
        </w:tc>
        <w:tc>
          <w:tcPr>
            <w:tcW w:w="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(6,077)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88</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(6,106)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3"/>
          </w:tcPr>
          <w:p>
            <w:pPr>
              <w:jc w:val="center"/>
              <w:ind w:left="654"/>
              <w:spacing w:after="0"/>
              <w:rPr>
                <w:sz w:val="20"/>
                <w:szCs w:val="20"/>
                <w:color w:val="auto"/>
              </w:rPr>
            </w:pPr>
            <w:r>
              <w:rPr>
                <w:rFonts w:ascii="Times New Roman" w:cs="Times New Roman" w:eastAsia="Times New Roman" w:hAnsi="Times New Roman"/>
                <w:sz w:val="13"/>
                <w:szCs w:val="13"/>
                <w:color w:val="auto"/>
              </w:rPr>
              <w:t>December 31, 2024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8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color w:val="auto"/>
              </w:rPr>
              <w:t>Less than Twelve Months</w:t>
            </w:r>
          </w:p>
        </w:tc>
        <w:tc>
          <w:tcPr>
            <w:tcW w:w="140" w:type="dxa"/>
            <w:vAlign w:val="bottom"/>
          </w:tcPr>
          <w:p>
            <w:pPr>
              <w:spacing w:after="0"/>
              <w:rPr>
                <w:sz w:val="14"/>
                <w:szCs w:val="14"/>
                <w:color w:val="auto"/>
              </w:rPr>
            </w:pPr>
          </w:p>
        </w:tc>
        <w:tc>
          <w:tcPr>
            <w:tcW w:w="34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w w:val="95"/>
              </w:rPr>
              <w:t>Fair</w:t>
            </w:r>
          </w:p>
        </w:tc>
        <w:tc>
          <w:tcPr>
            <w:tcW w:w="216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Twelve Months or More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Total</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 Individual</w:t>
            </w:r>
          </w:p>
        </w:tc>
        <w:tc>
          <w:tcPr>
            <w:tcW w:w="8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Unrealized</w:t>
            </w:r>
          </w:p>
        </w:tc>
        <w:tc>
          <w:tcPr>
            <w:tcW w:w="4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Valu</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w:t>
            </w:r>
          </w:p>
        </w:tc>
        <w:tc>
          <w:tcPr>
            <w:tcW w:w="16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8"/>
              </w:rPr>
              <w:t>Unrealized</w:t>
            </w: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Fair</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Number of Individual</w:t>
            </w: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Unrealized</w:t>
            </w: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Fair</w:t>
            </w:r>
          </w:p>
        </w:tc>
        <w:tc>
          <w:tcPr>
            <w:tcW w:w="0" w:type="dxa"/>
            <w:vAlign w:val="bottom"/>
          </w:tcPr>
          <w:p>
            <w:pPr>
              <w:spacing w:after="0"/>
              <w:rPr>
                <w:sz w:val="1"/>
                <w:szCs w:val="1"/>
                <w:color w:val="auto"/>
              </w:rPr>
            </w:pPr>
          </w:p>
        </w:tc>
      </w:tr>
      <w:tr>
        <w:trPr>
          <w:trHeight w:val="168"/>
        </w:trPr>
        <w:tc>
          <w:tcPr>
            <w:tcW w:w="2160" w:type="dxa"/>
            <w:vAlign w:val="bottom"/>
            <w:gridSpan w:val="2"/>
            <w:vMerge w:val="continue"/>
          </w:tcPr>
          <w:p>
            <w:pPr>
              <w:spacing w:after="0"/>
              <w:rPr>
                <w:sz w:val="14"/>
                <w:szCs w:val="14"/>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Securities</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e</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Individual Securities</w:t>
            </w:r>
          </w:p>
        </w:tc>
        <w:tc>
          <w:tcPr>
            <w:tcW w:w="16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5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Value</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Losses</w:t>
            </w:r>
          </w:p>
        </w:tc>
        <w:tc>
          <w:tcPr>
            <w:tcW w:w="16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Available-for-Sale Portfolio</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79</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26,7</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45,53</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Treasury, agencies and GSEs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0</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(3,702)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(3,834)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25,2</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26,11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0</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(1,925)</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(1,928)</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3,41</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Corporate</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(284)</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0</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(284)</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8,34</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 backed securities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(328)</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08</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(145)</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(473)</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Residential mortgage-backed - US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62</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6,10</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35,73</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agency</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(794)</w:t>
            </w:r>
          </w:p>
        </w:tc>
        <w:tc>
          <w:tcPr>
            <w:tcW w:w="140" w:type="dxa"/>
            <w:vAlign w:val="bottom"/>
          </w:tcPr>
          <w:p>
            <w:pPr>
              <w:spacing w:after="0"/>
              <w:rPr>
                <w:sz w:val="14"/>
                <w:szCs w:val="14"/>
                <w:color w:val="auto"/>
              </w:rPr>
            </w:pP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(706)</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1,9</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6,97</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US agency</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(876)</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(891)</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8,909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56</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23,3</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38,87</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Private label</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tcPr>
          <w:p>
            <w:pPr>
              <w:spacing w:after="0"/>
              <w:rPr>
                <w:sz w:val="14"/>
                <w:szCs w:val="14"/>
                <w:color w:val="auto"/>
              </w:rPr>
            </w:pP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(2,232)</w:t>
            </w:r>
          </w:p>
        </w:tc>
        <w:tc>
          <w:tcPr>
            <w:tcW w:w="16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09</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(2,275)</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70,</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100,</w:t>
            </w: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Totals</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w:t>
            </w:r>
          </w:p>
        </w:tc>
        <w:tc>
          <w:tcPr>
            <w:tcW w:w="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(1,315)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auto"/>
            </w:tcBorders>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(9,870)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100</w:t>
            </w: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(11,185)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i w:val="1"/>
                <w:iCs w:val="1"/>
                <w:color w:val="auto"/>
              </w:rPr>
              <w:t>Held-to-Maturity Portfolio</w:t>
            </w: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3,36</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US Treasury, agencies and GSE's</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6</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3,366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12,5</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13,99</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(1,828)</w:t>
            </w:r>
          </w:p>
        </w:tc>
        <w:tc>
          <w:tcPr>
            <w:tcW w:w="16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61</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(1,833)</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28,6</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29,59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Corporate</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(1,733)</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03</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(1,740)</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6,86</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backed securities</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(552)</w:t>
            </w:r>
          </w:p>
        </w:tc>
        <w:tc>
          <w:tcPr>
            <w:tcW w:w="1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(557)</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Residential mortgage-backed - US</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4,86</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agency</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08</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(613)</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6</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(728)</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7,674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10,1</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68"/>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agency</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(1,223)</w:t>
            </w:r>
          </w:p>
        </w:tc>
        <w:tc>
          <w:tcPr>
            <w:tcW w:w="16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(1,223)</w:t>
            </w:r>
          </w:p>
        </w:tc>
        <w:tc>
          <w:tcPr>
            <w:tcW w:w="16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Collateralized mortgage obligations -</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8,6</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34,5</w:t>
            </w: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43,18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Private label</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44</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(1,615)</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39</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(1,670)</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100,</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117,0</w:t>
            </w: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Totals</w:t>
            </w: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(7,846)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rPr>
              <w:t>918</w:t>
            </w: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(8,033)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10560"/>
          </w:cols>
          <w:pgMar w:left="660" w:top="1440" w:right="680" w:bottom="89"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14</w:t>
      </w: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435610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735" w:right="1440" w:bottom="1440" w:gutter="0" w:footer="0" w:header="0"/>
        </w:sectPr>
      </w:pPr>
    </w:p>
    <w:bookmarkStart w:id="15" w:name="page16"/>
    <w:bookmarkEnd w:id="15"/>
    <w:p>
      <w:pPr>
        <w:spacing w:after="0" w:line="200" w:lineRule="exact"/>
        <w:rPr>
          <w:sz w:val="20"/>
          <w:szCs w:val="20"/>
          <w:color w:val="auto"/>
        </w:rPr>
      </w:pPr>
    </w:p>
    <w:p>
      <w:pPr>
        <w:spacing w:after="0" w:line="2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w:t>
      </w:r>
    </w:p>
    <w:p>
      <w:pPr>
        <w:spacing w:after="0" w:line="3" w:lineRule="exact"/>
        <w:rPr>
          <w:sz w:val="20"/>
          <w:szCs w:val="20"/>
          <w:color w:val="auto"/>
        </w:rPr>
      </w:pPr>
    </w:p>
    <w:p>
      <w:pPr>
        <w:ind w:right="60" w:firstLine="6"/>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shorter-term interest rates and longer-term interest rates (referred to as the “slope” or "shape" of the interest rate yield curve), (3) 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w:t>
      </w:r>
    </w:p>
    <w:p>
      <w:pPr>
        <w:spacing w:after="0" w:line="4"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market premiums demanded by investors for securities with imbedded credit risk (where applicable).</w:t>
      </w:r>
    </w:p>
    <w:p>
      <w:pPr>
        <w:spacing w:after="0" w:line="2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the fair value of any individual security categorized as available-for-sale ("AFS") or held-to-maturity ("HTM") is less than its amortized cost basis, an assessment is made as to whether or not a charge to current earnings for credit losses is required. In assessing potential credit losses, management also makes a quantitative determination of potential credit losses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0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portion of the investment securities portfolio, categorized as AFS, with an aggregate amortized historical cost of $301.8 million, had an aggregate fair value that was less than its aggregate amortized historical cost by $7.5 million</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color w:val="auto"/>
        </w:rPr>
        <w:t xml:space="preserve"> decreasing 2.5%, at September 30, 2025. The AFS securities portfolio, with an aggregate amortized historical cost of $279.6 million, had an aggregate fair value that was less than its aggregate amortized historical cost by $10.2 million, or a decrease of 3.7%, at December 31, 2024. The resultant $2.7 million total improvement in the fair value of the AFS investment portfolio's aggregate fair value, relative to its aggregate amortized historical cost, in the nine months ended September 30, 2025,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nine months ended September 30, 2025 did not represent any changes in credit loss estimations within the portfolio.</w:t>
      </w:r>
    </w:p>
    <w:p>
      <w:pPr>
        <w:spacing w:after="0" w:line="213" w:lineRule="exact"/>
        <w:rPr>
          <w:sz w:val="20"/>
          <w:szCs w:val="20"/>
          <w:color w:val="auto"/>
        </w:rPr>
      </w:pPr>
    </w:p>
    <w:p>
      <w:pPr>
        <w:jc w:val="both"/>
        <w:ind w:right="440"/>
        <w:spacing w:after="0" w:line="257" w:lineRule="auto"/>
        <w:rPr>
          <w:sz w:val="20"/>
          <w:szCs w:val="20"/>
          <w:color w:val="auto"/>
        </w:rPr>
      </w:pPr>
      <w:r>
        <w:rPr>
          <w:rFonts w:ascii="Times New Roman" w:cs="Times New Roman" w:eastAsia="Times New Roman" w:hAnsi="Times New Roman"/>
          <w:sz w:val="18"/>
          <w:szCs w:val="18"/>
          <w:color w:val="auto"/>
        </w:rPr>
        <w:t>The portion of the investment securities portfolio, categorized as HTM, with an aggregate amortized historical cost of $142.8 million, had an aggregate fair value that was less than its aggregate amortized historical cost by $5.8 million, decreasing 4.1%, at September 30, 2025. The portion of the investment securities portfolio, categorized as HTM, with an aggregate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spacing w:after="0" w:line="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amortized historical cost of $158.9 million, had an aggregate fair value that was less than its aggregate amortized historical cost by $7.9 million, or a decrease of 5.0%, at December 31, 2024. The resultant $2.1 million improvement in the aggregate fair value of the HTM investment portfolio, relative to its aggregate amortized historical cost, during the nine months ended September 30, 2025,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nine months ended September 30, 2025 did not represent any changes in credit loss estimations within the portfolio. The Company does not intend to sell these securities, nor is it more likely than not that the Company will be required to sell these securities prior to the recovery of the amortized cost.</w:t>
      </w:r>
    </w:p>
    <w:p>
      <w:pPr>
        <w:spacing w:after="0" w:line="20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following tables represent a rollforward of the allowance for credit losses on investment securities classified as held-to-maturity for the three months ended September 30, 2025 and 2024:</w:t>
      </w:r>
    </w:p>
    <w:tbl>
      <w:tblPr>
        <w:tblLayout w:type="fixed"/>
        <w:tblInd w:w="0" w:type="dxa"/>
        <w:tblCellMar>
          <w:top w:w="0" w:type="dxa"/>
          <w:left w:w="0" w:type="dxa"/>
          <w:bottom w:w="0" w:type="dxa"/>
          <w:right w:w="0" w:type="dxa"/>
        </w:tblCellMar>
      </w:tblPr>
      <w:tr>
        <w:trPr>
          <w:trHeight w:val="180"/>
        </w:trPr>
        <w:tc>
          <w:tcPr>
            <w:tcW w:w="2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Securities Issued</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6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w w:val="97"/>
              </w:rPr>
              <w:t>Government Issued and</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By State and</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w w:val="97"/>
              </w:rPr>
              <w:t>Government Sponsored</w:t>
            </w:r>
          </w:p>
        </w:tc>
        <w:tc>
          <w:tcPr>
            <w:tcW w:w="120" w:type="dxa"/>
            <w:vAlign w:val="bottom"/>
          </w:tcPr>
          <w:p>
            <w:pPr>
              <w:spacing w:after="0"/>
              <w:rPr>
                <w:sz w:val="15"/>
                <w:szCs w:val="15"/>
                <w:color w:val="auto"/>
              </w:rPr>
            </w:pPr>
          </w:p>
        </w:tc>
        <w:tc>
          <w:tcPr>
            <w:tcW w:w="156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96"/>
              </w:rPr>
              <w:t>Mortgage and Asset-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Political</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vMerge w:val="continue"/>
          </w:tcPr>
          <w:p>
            <w:pPr>
              <w:spacing w:after="0"/>
              <w:rPr>
                <w:sz w:val="15"/>
                <w:szCs w:val="15"/>
                <w:color w:val="auto"/>
              </w:rPr>
            </w:pPr>
          </w:p>
        </w:tc>
        <w:tc>
          <w:tcPr>
            <w:tcW w:w="16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Enterprise Securities</w:t>
            </w:r>
          </w:p>
        </w:tc>
        <w:tc>
          <w:tcPr>
            <w:tcW w:w="120" w:type="dxa"/>
            <w:vAlign w:val="bottom"/>
          </w:tcPr>
          <w:p>
            <w:pPr>
              <w:spacing w:after="0"/>
              <w:rPr>
                <w:sz w:val="15"/>
                <w:szCs w:val="15"/>
                <w:color w:val="auto"/>
              </w:rPr>
            </w:pPr>
          </w:p>
        </w:tc>
        <w:tc>
          <w:tcPr>
            <w:tcW w:w="1560" w:type="dxa"/>
            <w:vAlign w:val="bottom"/>
          </w:tcPr>
          <w:p>
            <w:pPr>
              <w:jc w:val="center"/>
              <w:ind w:left="62"/>
              <w:spacing w:after="0" w:line="180" w:lineRule="exact"/>
              <w:rPr>
                <w:sz w:val="20"/>
                <w:szCs w:val="20"/>
                <w:color w:val="auto"/>
              </w:rPr>
            </w:pPr>
            <w:r>
              <w:rPr>
                <w:rFonts w:ascii="Times New Roman" w:cs="Times New Roman" w:eastAsia="Times New Roman" w:hAnsi="Times New Roman"/>
                <w:sz w:val="16"/>
                <w:szCs w:val="16"/>
                <w:color w:val="auto"/>
                <w:w w:val="97"/>
              </w:rPr>
              <w:t>backed Securities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6"/>
              </w:rPr>
              <w:t>Subdivisions</w:t>
            </w:r>
          </w:p>
        </w:tc>
        <w:tc>
          <w:tcPr>
            <w:tcW w:w="148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Corporate Securities</w:t>
            </w:r>
          </w:p>
        </w:tc>
        <w:tc>
          <w:tcPr>
            <w:tcW w:w="300" w:type="dxa"/>
            <w:vAlign w:val="bottom"/>
          </w:tcPr>
          <w:p>
            <w:pPr>
              <w:spacing w:after="0"/>
              <w:rPr>
                <w:sz w:val="15"/>
                <w:szCs w:val="15"/>
                <w:color w:val="auto"/>
              </w:rPr>
            </w:pPr>
          </w:p>
        </w:tc>
        <w:tc>
          <w:tcPr>
            <w:tcW w:w="106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2025</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3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94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w w:val="98"/>
              </w:rPr>
              <w:t>Allowance on purchased financial assets with</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6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September 30, 2025</w:t>
            </w:r>
          </w:p>
        </w:tc>
        <w:tc>
          <w:tcPr>
            <w:tcW w:w="1680" w:type="dxa"/>
            <w:vAlign w:val="bottom"/>
            <w:tcBorders>
              <w:bottom w:val="single" w:sz="8" w:color="auto"/>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1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40" w:type="dxa"/>
            <w:vAlign w:val="bottom"/>
            <w:tcBorders>
              <w:bottom w:val="single" w:sz="8" w:color="auto"/>
            </w:tcBorders>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30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383"/>
        </w:trPr>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Securities Issued</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800" w:type="dxa"/>
            <w:vAlign w:val="bottom"/>
            <w:gridSpan w:val="2"/>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7"/>
              </w:rPr>
              <w:t>Government Issued and</w:t>
            </w: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5"/>
              </w:rPr>
              <w:t>By State and</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800" w:type="dxa"/>
            <w:vAlign w:val="bottom"/>
            <w:gridSpan w:val="2"/>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w w:val="97"/>
              </w:rPr>
              <w:t>Government Sponsored</w:t>
            </w:r>
          </w:p>
        </w:tc>
        <w:tc>
          <w:tcPr>
            <w:tcW w:w="156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6"/>
              </w:rPr>
              <w:t>Mortgage and Asset-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3"/>
              </w:rPr>
              <w:t>Political</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680" w:type="dxa"/>
            <w:vAlign w:val="bottom"/>
          </w:tcPr>
          <w:p>
            <w:pPr>
              <w:jc w:val="center"/>
              <w:ind w:left="182"/>
              <w:spacing w:after="0" w:line="180" w:lineRule="exact"/>
              <w:rPr>
                <w:sz w:val="20"/>
                <w:szCs w:val="20"/>
                <w:color w:val="auto"/>
              </w:rPr>
            </w:pPr>
            <w:r>
              <w:rPr>
                <w:rFonts w:ascii="Times New Roman" w:cs="Times New Roman" w:eastAsia="Times New Roman" w:hAnsi="Times New Roman"/>
                <w:sz w:val="16"/>
                <w:szCs w:val="16"/>
                <w:color w:val="auto"/>
                <w:w w:val="97"/>
              </w:rPr>
              <w:t>Enterprise Securities</w:t>
            </w:r>
          </w:p>
        </w:tc>
        <w:tc>
          <w:tcPr>
            <w:tcW w:w="120" w:type="dxa"/>
            <w:vAlign w:val="bottom"/>
          </w:tcPr>
          <w:p>
            <w:pPr>
              <w:spacing w:after="0"/>
              <w:rPr>
                <w:sz w:val="15"/>
                <w:szCs w:val="15"/>
                <w:color w:val="auto"/>
              </w:rPr>
            </w:pPr>
          </w:p>
        </w:tc>
        <w:tc>
          <w:tcPr>
            <w:tcW w:w="15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backed Securities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9"/>
              </w:rPr>
              <w:t>Subdivisions</w:t>
            </w:r>
          </w:p>
        </w:tc>
        <w:tc>
          <w:tcPr>
            <w:tcW w:w="14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Corporate Securities</w:t>
            </w:r>
          </w:p>
        </w:tc>
        <w:tc>
          <w:tcPr>
            <w:tcW w:w="300" w:type="dxa"/>
            <w:vAlign w:val="bottom"/>
          </w:tcPr>
          <w:p>
            <w:pPr>
              <w:spacing w:after="0"/>
              <w:rPr>
                <w:sz w:val="15"/>
                <w:szCs w:val="15"/>
                <w:color w:val="auto"/>
              </w:rPr>
            </w:pPr>
          </w:p>
        </w:tc>
        <w:tc>
          <w:tcPr>
            <w:tcW w:w="106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3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67"/>
        </w:trPr>
        <w:tc>
          <w:tcPr>
            <w:tcW w:w="294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w w:val="98"/>
              </w:rPr>
              <w:t>Allowance on purchased financial assets with</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6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5"/>
                <w:szCs w:val="15"/>
                <w:color w:val="auto"/>
              </w:rPr>
            </w:pP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September 30, 2024</w:t>
            </w:r>
          </w:p>
        </w:tc>
        <w:tc>
          <w:tcPr>
            <w:tcW w:w="1680" w:type="dxa"/>
            <w:vAlign w:val="bottom"/>
            <w:tcBorders>
              <w:bottom w:val="single" w:sz="8" w:color="auto"/>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FF0FC"/>
          </w:tcPr>
          <w:p>
            <w:pPr>
              <w:jc w:val="right"/>
              <w:ind w:right="1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40" w:type="dxa"/>
            <w:vAlign w:val="bottom"/>
            <w:tcBorders>
              <w:bottom w:val="single" w:sz="8" w:color="auto"/>
            </w:tcBorders>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rollforward of the allowance for credit losses on investment securities classified as held-to-maturity for the nine months ended September 30,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Securities Issued</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68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7"/>
              </w:rPr>
              <w:t>Government Issued and</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color w:val="auto"/>
                <w:w w:val="97"/>
              </w:rPr>
              <w:t>By State and</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6"/>
              </w:rPr>
              <w:t>Government Sponsored</w:t>
            </w:r>
          </w:p>
        </w:tc>
        <w:tc>
          <w:tcPr>
            <w:tcW w:w="12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Mortgage and Asset-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2"/>
              <w:spacing w:after="0" w:line="180" w:lineRule="exact"/>
              <w:rPr>
                <w:sz w:val="20"/>
                <w:szCs w:val="20"/>
                <w:color w:val="auto"/>
              </w:rPr>
            </w:pPr>
            <w:r>
              <w:rPr>
                <w:rFonts w:ascii="Times New Roman" w:cs="Times New Roman" w:eastAsia="Times New Roman" w:hAnsi="Times New Roman"/>
                <w:sz w:val="16"/>
                <w:szCs w:val="16"/>
                <w:color w:val="auto"/>
                <w:w w:val="97"/>
              </w:rPr>
              <w:t>Political</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00" w:type="dxa"/>
            <w:vAlign w:val="bottom"/>
            <w:vMerge w:val="continue"/>
          </w:tcPr>
          <w:p>
            <w:pPr>
              <w:spacing w:after="0"/>
              <w:rPr>
                <w:sz w:val="16"/>
                <w:szCs w:val="16"/>
                <w:color w:val="auto"/>
              </w:rPr>
            </w:pPr>
          </w:p>
        </w:tc>
        <w:tc>
          <w:tcPr>
            <w:tcW w:w="168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7"/>
              </w:rPr>
              <w:t>Enterprise Securities</w:t>
            </w:r>
          </w:p>
        </w:tc>
        <w:tc>
          <w:tcPr>
            <w:tcW w:w="120" w:type="dxa"/>
            <w:vAlign w:val="bottom"/>
          </w:tcPr>
          <w:p>
            <w:pPr>
              <w:spacing w:after="0"/>
              <w:rPr>
                <w:sz w:val="16"/>
                <w:szCs w:val="16"/>
                <w:color w:val="auto"/>
              </w:rPr>
            </w:pPr>
          </w:p>
        </w:tc>
        <w:tc>
          <w:tcPr>
            <w:tcW w:w="15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backed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6"/>
              </w:rPr>
              <w:t>Subdivisions</w:t>
            </w: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Corporate Securities</w:t>
            </w: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December 31, 2024</w:t>
            </w:r>
          </w:p>
        </w:tc>
        <w:tc>
          <w:tcPr>
            <w:tcW w:w="1680" w:type="dxa"/>
            <w:vAlign w:val="bottom"/>
            <w:shd w:val="clear" w:color="auto" w:fill="CFF0FC"/>
          </w:tcPr>
          <w:p>
            <w:pPr>
              <w:jc w:val="right"/>
              <w:ind w:right="1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3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3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80"/>
        </w:trPr>
        <w:tc>
          <w:tcPr>
            <w:tcW w:w="30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Provision (credit) for credit losses</w:t>
            </w:r>
          </w:p>
        </w:tc>
        <w:tc>
          <w:tcPr>
            <w:tcW w:w="16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7"/>
        </w:trPr>
        <w:tc>
          <w:tcPr>
            <w:tcW w:w="300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68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68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6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0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6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Balance, September 30, 2025</w:t>
            </w:r>
          </w:p>
        </w:tc>
        <w:tc>
          <w:tcPr>
            <w:tcW w:w="1680" w:type="dxa"/>
            <w:vAlign w:val="bottom"/>
            <w:tcBorders>
              <w:bottom w:val="single" w:sz="8" w:color="auto"/>
            </w:tcBorders>
          </w:tcPr>
          <w:p>
            <w:pPr>
              <w:jc w:val="right"/>
              <w:ind w:right="1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3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60" w:type="dxa"/>
            <w:vAlign w:val="bottom"/>
            <w:tcBorders>
              <w:bottom w:val="single" w:sz="8" w:color="auto"/>
            </w:tcBorders>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32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16</w:t>
            </w:r>
            <w:r>
              <w:rPr>
                <w:rFonts w:ascii="Times New Roman" w:cs="Times New Roman" w:eastAsia="Times New Roman" w:hAnsi="Times New Roman"/>
                <w:sz w:val="16"/>
                <w:szCs w:val="16"/>
                <w:color w:val="auto"/>
              </w:rPr>
              <w:t xml:space="preserve">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00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Securities Issued</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74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7"/>
              </w:rPr>
              <w:t>Government Issued and</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By State and</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Government Sponsored</w:t>
            </w:r>
          </w:p>
        </w:tc>
        <w:tc>
          <w:tcPr>
            <w:tcW w:w="12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Mortgage and Asset-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Political</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80" w:type="dxa"/>
            <w:vAlign w:val="bottom"/>
            <w:vMerge w:val="continue"/>
          </w:tcPr>
          <w:p>
            <w:pPr>
              <w:spacing w:after="0"/>
              <w:rPr>
                <w:sz w:val="16"/>
                <w:szCs w:val="16"/>
                <w:color w:val="auto"/>
              </w:rPr>
            </w:pPr>
          </w:p>
        </w:tc>
        <w:tc>
          <w:tcPr>
            <w:tcW w:w="17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7"/>
              </w:rPr>
              <w:t>Enterprise Securities</w:t>
            </w:r>
          </w:p>
        </w:tc>
        <w:tc>
          <w:tcPr>
            <w:tcW w:w="12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backed Securities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Subdivisions</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Corporate Securities</w:t>
            </w:r>
          </w:p>
        </w:tc>
        <w:tc>
          <w:tcPr>
            <w:tcW w:w="28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2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December 31, 2023</w:t>
            </w:r>
          </w:p>
        </w:tc>
        <w:tc>
          <w:tcPr>
            <w:tcW w:w="1740" w:type="dxa"/>
            <w:vAlign w:val="bottom"/>
            <w:shd w:val="clear" w:color="auto" w:fill="CFF0FC"/>
          </w:tcPr>
          <w:p>
            <w:pPr>
              <w:jc w:val="right"/>
              <w:ind w:right="14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1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640" w:type="dxa"/>
            <w:vAlign w:val="bottom"/>
            <w:shd w:val="clear" w:color="auto" w:fill="CFF0FC"/>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80"/>
        </w:trPr>
        <w:tc>
          <w:tcPr>
            <w:tcW w:w="29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Provision for credit losses</w:t>
            </w:r>
          </w:p>
        </w:tc>
        <w:tc>
          <w:tcPr>
            <w:tcW w:w="174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7"/>
        </w:trPr>
        <w:tc>
          <w:tcPr>
            <w:tcW w:w="29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credit deterioration</w:t>
            </w: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Charge-offs of securities</w:t>
            </w:r>
          </w:p>
        </w:tc>
        <w:tc>
          <w:tcPr>
            <w:tcW w:w="174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5"/>
                <w:szCs w:val="15"/>
                <w:color w:val="auto"/>
              </w:rPr>
            </w:pPr>
          </w:p>
        </w:tc>
        <w:tc>
          <w:tcPr>
            <w:tcW w:w="8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7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Balance, September 30, 2024</w:t>
            </w:r>
          </w:p>
        </w:tc>
        <w:tc>
          <w:tcPr>
            <w:tcW w:w="1740" w:type="dxa"/>
            <w:vAlign w:val="bottom"/>
            <w:tcBorders>
              <w:bottom w:val="single" w:sz="8" w:color="auto"/>
            </w:tcBorders>
          </w:tcPr>
          <w:p>
            <w:pPr>
              <w:jc w:val="right"/>
              <w:ind w:right="14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40" w:type="dxa"/>
            <w:vAlign w:val="bottom"/>
            <w:tcBorders>
              <w:bottom w:val="single" w:sz="8" w:color="auto"/>
            </w:tcBorders>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28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monitors the credit quality of the debt securities categorized as HTM primarily through the use of NRSRO credit ratings. These assessments are made on a quarterly basis. The following tables summarize the amortized cost of debt securities categorized as HTM at September 30, 2025 and December 31, 2024, aggregated by credit quality indicators: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780" w:type="dxa"/>
            <w:vAlign w:val="bottom"/>
          </w:tcPr>
          <w:p>
            <w:pPr>
              <w:spacing w:after="0"/>
              <w:rPr>
                <w:sz w:val="16"/>
                <w:szCs w:val="16"/>
                <w:color w:val="auto"/>
              </w:rPr>
            </w:pPr>
          </w:p>
        </w:tc>
        <w:tc>
          <w:tcPr>
            <w:tcW w:w="1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AAA or equivalent</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37,193</w:t>
            </w:r>
          </w:p>
        </w:tc>
        <w:tc>
          <w:tcPr>
            <w:tcW w:w="78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38,304</w:t>
            </w:r>
          </w:p>
        </w:tc>
      </w:tr>
      <w:tr>
        <w:trPr>
          <w:trHeight w:val="167"/>
        </w:trPr>
        <w:tc>
          <w:tcPr>
            <w:tcW w:w="49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w w:val="98"/>
              </w:rPr>
              <w:t>AA or equivalent, including securities issued by the United States Government</w:t>
            </w:r>
          </w:p>
        </w:tc>
        <w:tc>
          <w:tcPr>
            <w:tcW w:w="82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r>
      <w:tr>
        <w:trPr>
          <w:trHeight w:val="19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or Government Sponsored Enterprises</w:t>
            </w:r>
          </w:p>
        </w:tc>
        <w:tc>
          <w:tcPr>
            <w:tcW w:w="820" w:type="dxa"/>
            <w:vAlign w:val="bottom"/>
            <w:shd w:val="clear" w:color="auto" w:fill="CFF0FC"/>
          </w:tcPr>
          <w:p>
            <w:pPr>
              <w:spacing w:after="0"/>
              <w:rPr>
                <w:sz w:val="16"/>
                <w:szCs w:val="16"/>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34,888</w:t>
            </w:r>
          </w:p>
        </w:tc>
        <w:tc>
          <w:tcPr>
            <w:tcW w:w="780" w:type="dxa"/>
            <w:vAlign w:val="bottom"/>
            <w:shd w:val="clear" w:color="auto" w:fill="CFF0FC"/>
          </w:tcPr>
          <w:p>
            <w:pPr>
              <w:spacing w:after="0"/>
              <w:rPr>
                <w:sz w:val="16"/>
                <w:szCs w:val="16"/>
                <w:color w:val="auto"/>
              </w:rPr>
            </w:pPr>
          </w:p>
        </w:tc>
        <w:tc>
          <w:tcPr>
            <w:tcW w:w="19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40,429</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 or equivalent</w:t>
            </w:r>
          </w:p>
        </w:tc>
        <w:tc>
          <w:tcPr>
            <w:tcW w:w="82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8,598</w:t>
            </w:r>
          </w:p>
        </w:tc>
        <w:tc>
          <w:tcPr>
            <w:tcW w:w="780" w:type="dxa"/>
            <w:vAlign w:val="bottom"/>
          </w:tcPr>
          <w:p>
            <w:pPr>
              <w:spacing w:after="0"/>
              <w:rPr>
                <w:sz w:val="15"/>
                <w:szCs w:val="15"/>
                <w:color w:val="auto"/>
              </w:rPr>
            </w:pPr>
          </w:p>
        </w:tc>
        <w:tc>
          <w:tcPr>
            <w:tcW w:w="1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12,602</w:t>
            </w: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BBB or equivalent</w:t>
            </w:r>
          </w:p>
        </w:tc>
        <w:tc>
          <w:tcPr>
            <w:tcW w:w="82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10,003</w:t>
            </w:r>
          </w:p>
        </w:tc>
        <w:tc>
          <w:tcPr>
            <w:tcW w:w="780" w:type="dxa"/>
            <w:vAlign w:val="bottom"/>
            <w:shd w:val="clear" w:color="auto" w:fill="CFF0FC"/>
          </w:tcPr>
          <w:p>
            <w:pPr>
              <w:spacing w:after="0"/>
              <w:rPr>
                <w:sz w:val="15"/>
                <w:szCs w:val="15"/>
                <w:color w:val="auto"/>
              </w:rPr>
            </w:pPr>
          </w:p>
        </w:tc>
        <w:tc>
          <w:tcPr>
            <w:tcW w:w="1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15,265</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BB or equivalent</w:t>
            </w:r>
          </w:p>
        </w:tc>
        <w:tc>
          <w:tcPr>
            <w:tcW w:w="820" w:type="dxa"/>
            <w:vAlign w:val="bottom"/>
          </w:tcPr>
          <w:p>
            <w:pPr>
              <w:spacing w:after="0"/>
              <w:rPr>
                <w:sz w:val="15"/>
                <w:szCs w:val="15"/>
                <w:color w:val="auto"/>
              </w:rPr>
            </w:pP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1,489</w:t>
            </w:r>
          </w:p>
        </w:tc>
        <w:tc>
          <w:tcPr>
            <w:tcW w:w="780" w:type="dxa"/>
            <w:vAlign w:val="bottom"/>
          </w:tcPr>
          <w:p>
            <w:pPr>
              <w:spacing w:after="0"/>
              <w:rPr>
                <w:sz w:val="15"/>
                <w:szCs w:val="15"/>
                <w:color w:val="auto"/>
              </w:rPr>
            </w:pPr>
          </w:p>
        </w:tc>
        <w:tc>
          <w:tcPr>
            <w:tcW w:w="19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1,487</w:t>
            </w: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Unrated</w:t>
            </w:r>
          </w:p>
        </w:tc>
        <w:tc>
          <w:tcPr>
            <w:tcW w:w="82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50,629</w:t>
            </w:r>
          </w:p>
        </w:tc>
        <w:tc>
          <w:tcPr>
            <w:tcW w:w="780" w:type="dxa"/>
            <w:vAlign w:val="bottom"/>
            <w:shd w:val="clear" w:color="auto" w:fill="CFF0FC"/>
          </w:tcPr>
          <w:p>
            <w:pPr>
              <w:spacing w:after="0"/>
              <w:rPr>
                <w:sz w:val="15"/>
                <w:szCs w:val="15"/>
                <w:color w:val="auto"/>
              </w:rPr>
            </w:pPr>
          </w:p>
        </w:tc>
        <w:tc>
          <w:tcPr>
            <w:tcW w:w="19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50,853</w:t>
            </w:r>
          </w:p>
        </w:tc>
      </w:tr>
      <w:tr>
        <w:trPr>
          <w:trHeight w:val="180"/>
        </w:trPr>
        <w:tc>
          <w:tcPr>
            <w:tcW w:w="498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142,800</w:t>
            </w:r>
          </w:p>
        </w:tc>
        <w:tc>
          <w:tcPr>
            <w:tcW w:w="780" w:type="dxa"/>
            <w:vAlign w:val="bottom"/>
            <w:tcBorders>
              <w:bottom w:val="single" w:sz="8" w:color="auto"/>
            </w:tcBorders>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158,940</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Gross realized (losses) gains on sales and redemptions of available-for-sale and held-to-maturity securities for the indicated periods are detailed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For the three months ended September 30,</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3"/>
          </w:tcPr>
          <w:p>
            <w:pPr>
              <w:jc w:val="right"/>
              <w:ind w:right="362"/>
              <w:spacing w:after="0"/>
              <w:rPr>
                <w:sz w:val="20"/>
                <w:szCs w:val="20"/>
                <w:color w:val="auto"/>
              </w:rPr>
            </w:pPr>
            <w:r>
              <w:rPr>
                <w:rFonts w:ascii="Times New Roman" w:cs="Times New Roman" w:eastAsia="Times New Roman" w:hAnsi="Times New Roman"/>
                <w:sz w:val="16"/>
                <w:szCs w:val="16"/>
                <w:color w:val="auto"/>
              </w:rPr>
              <w:t>For the nine months ended September 30,</w:t>
            </w:r>
          </w:p>
        </w:tc>
        <w:tc>
          <w:tcPr>
            <w:tcW w:w="0" w:type="dxa"/>
            <w:vAlign w:val="bottom"/>
          </w:tcPr>
          <w:p>
            <w:pPr>
              <w:spacing w:after="0"/>
              <w:rPr>
                <w:sz w:val="1"/>
                <w:szCs w:val="1"/>
                <w:color w:val="auto"/>
              </w:rPr>
            </w:pPr>
          </w:p>
        </w:tc>
      </w:tr>
      <w:tr>
        <w:trPr>
          <w:trHeight w:val="180"/>
        </w:trPr>
        <w:tc>
          <w:tcPr>
            <w:tcW w:w="2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080" w:type="dxa"/>
            <w:vAlign w:val="bottom"/>
          </w:tcPr>
          <w:p>
            <w:pPr>
              <w:spacing w:after="0"/>
              <w:rPr>
                <w:sz w:val="15"/>
                <w:szCs w:val="15"/>
                <w:color w:val="auto"/>
              </w:rPr>
            </w:pPr>
          </w:p>
        </w:tc>
        <w:tc>
          <w:tcPr>
            <w:tcW w:w="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5"/>
                <w:szCs w:val="15"/>
                <w:color w:val="auto"/>
              </w:rPr>
            </w:pPr>
          </w:p>
        </w:tc>
        <w:tc>
          <w:tcPr>
            <w:tcW w:w="16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62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gains on investments</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180"/>
        </w:trPr>
        <w:tc>
          <w:tcPr>
            <w:tcW w:w="2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Realized losses on investments</w:t>
            </w:r>
          </w:p>
        </w:tc>
        <w:tc>
          <w:tcPr>
            <w:tcW w:w="1040" w:type="dxa"/>
            <w:vAlign w:val="bottom"/>
            <w:shd w:val="clear" w:color="auto" w:fill="CFF0FC"/>
          </w:tcPr>
          <w:p>
            <w:pPr>
              <w:spacing w:after="0"/>
              <w:rPr>
                <w:sz w:val="15"/>
                <w:szCs w:val="15"/>
                <w:color w:val="auto"/>
              </w:rPr>
            </w:pPr>
          </w:p>
        </w:tc>
        <w:tc>
          <w:tcPr>
            <w:tcW w:w="1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8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6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180"/>
        </w:trPr>
        <w:tc>
          <w:tcPr>
            <w:tcW w:w="272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80" w:type="dxa"/>
            <w:vAlign w:val="bottom"/>
            <w:tcBorders>
              <w:bottom w:val="single" w:sz="8" w:color="auto"/>
            </w:tcBorders>
          </w:tcPr>
          <w:p>
            <w:pPr>
              <w:jc w:val="right"/>
              <w:ind w:right="8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620" w:type="dxa"/>
            <w:vAlign w:val="bottom"/>
            <w:tcBorders>
              <w:bottom w:val="single" w:sz="8" w:color="auto"/>
            </w:tcBorders>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securities with a fair value of $133.9 million and $119.8 million, respectively, were pledged to collateralize certain municipal deposit relationships. As of the same dates, securities with a fair value of $126.3 million and $123.2 million, respectively, were pledged against certain borrowing arrangements.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Pension and Postretirement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 w:name="page19"/>
    <w:bookmarkEnd w:id="18"/>
    <w:p>
      <w:pPr>
        <w:spacing w:after="0" w:line="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net periodic pension plan and postretirement plan costs for the indicated periods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Postretirement Benefits</w:t>
            </w:r>
          </w:p>
        </w:tc>
        <w:tc>
          <w:tcPr>
            <w:tcW w:w="3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Pension Benefits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Postretirement Benefits</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4"/>
                <w:szCs w:val="14"/>
                <w:color w:val="auto"/>
              </w:rPr>
            </w:pPr>
          </w:p>
        </w:tc>
        <w:tc>
          <w:tcPr>
            <w:tcW w:w="3060" w:type="dxa"/>
            <w:vAlign w:val="bottom"/>
            <w:gridSpan w:val="6"/>
          </w:tcPr>
          <w:p>
            <w:pPr>
              <w:jc w:val="right"/>
              <w:ind w:right="108"/>
              <w:spacing w:after="0"/>
              <w:rPr>
                <w:sz w:val="20"/>
                <w:szCs w:val="20"/>
                <w:color w:val="auto"/>
              </w:rPr>
            </w:pPr>
            <w:r>
              <w:rPr>
                <w:rFonts w:ascii="Times New Roman" w:cs="Times New Roman" w:eastAsia="Times New Roman" w:hAnsi="Times New Roman"/>
                <w:sz w:val="14"/>
                <w:szCs w:val="14"/>
                <w:color w:val="auto"/>
              </w:rPr>
              <w:t>For the three months ended September 30,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color w:val="auto"/>
              </w:rPr>
              <w:t>For the nine months ended September 30,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5"/>
                <w:szCs w:val="15"/>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68"/>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5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w:t>
            </w:r>
          </w:p>
        </w:tc>
        <w:tc>
          <w:tcPr>
            <w:tcW w:w="5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w:t>
            </w:r>
          </w:p>
        </w:tc>
        <w:tc>
          <w:tcPr>
            <w:tcW w:w="26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431</w:t>
            </w:r>
          </w:p>
        </w:tc>
        <w:tc>
          <w:tcPr>
            <w:tcW w:w="50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8"/>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5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(255)</w:t>
            </w:r>
          </w:p>
        </w:tc>
        <w:tc>
          <w:tcPr>
            <w:tcW w:w="5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(767)</w:t>
            </w:r>
          </w:p>
        </w:tc>
        <w:tc>
          <w:tcPr>
            <w:tcW w:w="5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prior service credits</w:t>
            </w:r>
          </w:p>
        </w:tc>
        <w:tc>
          <w:tcPr>
            <w:tcW w:w="5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net losses/(gains)</w:t>
            </w:r>
          </w:p>
        </w:tc>
        <w:tc>
          <w:tcPr>
            <w:tcW w:w="56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w:t>
            </w:r>
          </w:p>
        </w:tc>
        <w:tc>
          <w:tcPr>
            <w:tcW w:w="50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50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FF0FC"/>
          </w:tcPr>
          <w:p>
            <w:pPr>
              <w:spacing w:after="0"/>
              <w:rPr>
                <w:sz w:val="16"/>
                <w:szCs w:val="1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88"/>
        </w:trPr>
        <w:tc>
          <w:tcPr>
            <w:tcW w:w="258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80" w:type="dxa"/>
            <w:vAlign w:val="bottom"/>
            <w:vMerge w:val="continue"/>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6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periodic benefit plan (benefit) cost</w:t>
            </w: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5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(229)</w:t>
            </w:r>
          </w:p>
        </w:tc>
        <w:tc>
          <w:tcPr>
            <w:tcW w:w="5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evaluate the need for further contributions to the defined benefit pension plan during 2025. The prepaid pension asset of $8.3 million and $7.9 million as of September 30, 2025 and December 31, 2024 respectively, is recorded in other assets on the consolidated statements of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classifications of loans at the indicated dates are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0" w:type="dxa"/>
            <w:vAlign w:val="bottom"/>
          </w:tcPr>
          <w:p>
            <w:pPr>
              <w:spacing w:after="0"/>
              <w:rPr>
                <w:sz w:val="16"/>
                <w:szCs w:val="16"/>
                <w:color w:val="auto"/>
              </w:rPr>
            </w:pPr>
          </w:p>
        </w:tc>
        <w:tc>
          <w:tcPr>
            <w:tcW w:w="1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September 30, 2025</w:t>
            </w:r>
          </w:p>
        </w:tc>
        <w:tc>
          <w:tcPr>
            <w:tcW w:w="280" w:type="dxa"/>
            <w:vAlign w:val="bottom"/>
          </w:tcPr>
          <w:p>
            <w:pPr>
              <w:spacing w:after="0"/>
              <w:rPr>
                <w:sz w:val="16"/>
                <w:szCs w:val="16"/>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24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238,975</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251,373</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2400" w:type="dxa"/>
            <w:vAlign w:val="bottom"/>
          </w:tcPr>
          <w:p>
            <w:pPr>
              <w:spacing w:after="0"/>
              <w:rPr>
                <w:sz w:val="15"/>
                <w:szCs w:val="15"/>
                <w:color w:val="auto"/>
              </w:rPr>
            </w:pP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240,381</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256,237</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2400" w:type="dxa"/>
            <w:vAlign w:val="bottom"/>
          </w:tcPr>
          <w:p>
            <w:pPr>
              <w:spacing w:after="0"/>
              <w:rPr>
                <w:sz w:val="15"/>
                <w:szCs w:val="15"/>
                <w:color w:val="auto"/>
              </w:rPr>
            </w:pP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371,683</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377,619</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79,021</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67,602</w:t>
            </w: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240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86,687</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89,800</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Tax exempt loans</w:t>
            </w:r>
          </w:p>
        </w:tc>
        <w:tc>
          <w:tcPr>
            <w:tcW w:w="2400" w:type="dxa"/>
            <w:vAlign w:val="bottom"/>
          </w:tcPr>
          <w:p>
            <w:pPr>
              <w:spacing w:after="0"/>
              <w:rPr>
                <w:sz w:val="15"/>
                <w:szCs w:val="15"/>
                <w:color w:val="auto"/>
              </w:rPr>
            </w:pP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543,694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539,678</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2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50,106</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51,948</w:t>
            </w: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240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65,694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72,710</w:t>
            </w: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 loans</w:t>
            </w:r>
          </w:p>
        </w:tc>
        <w:tc>
          <w:tcPr>
            <w:tcW w:w="240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115,800</w:t>
            </w:r>
          </w:p>
        </w:tc>
        <w:tc>
          <w:tcPr>
            <w:tcW w:w="28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124,658</w:t>
            </w:r>
          </w:p>
        </w:tc>
        <w:tc>
          <w:tcPr>
            <w:tcW w:w="0" w:type="dxa"/>
            <w:vAlign w:val="bottom"/>
          </w:tcPr>
          <w:p>
            <w:pPr>
              <w:spacing w:after="0"/>
              <w:rPr>
                <w:sz w:val="1"/>
                <w:szCs w:val="1"/>
                <w:color w:val="auto"/>
              </w:rPr>
            </w:pPr>
          </w:p>
        </w:tc>
      </w:tr>
      <w:tr>
        <w:trPr>
          <w:trHeight w:val="109"/>
        </w:trPr>
        <w:tc>
          <w:tcPr>
            <w:tcW w:w="4920" w:type="dxa"/>
            <w:vAlign w:val="bottom"/>
            <w:shd w:val="clear" w:color="auto" w:fill="CFF0FC"/>
          </w:tcPr>
          <w:p>
            <w:pPr>
              <w:spacing w:after="0"/>
              <w:rPr>
                <w:sz w:val="9"/>
                <w:szCs w:val="9"/>
                <w:color w:val="auto"/>
              </w:rPr>
            </w:pPr>
          </w:p>
        </w:tc>
        <w:tc>
          <w:tcPr>
            <w:tcW w:w="2400" w:type="dxa"/>
            <w:vAlign w:val="bottom"/>
            <w:shd w:val="clear" w:color="auto" w:fill="CFF0FC"/>
          </w:tcPr>
          <w:p>
            <w:pPr>
              <w:spacing w:after="0"/>
              <w:rPr>
                <w:sz w:val="9"/>
                <w:szCs w:val="9"/>
                <w:color w:val="auto"/>
              </w:rPr>
            </w:pPr>
          </w:p>
        </w:tc>
        <w:tc>
          <w:tcPr>
            <w:tcW w:w="154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Subtotal loans</w:t>
            </w:r>
          </w:p>
        </w:tc>
        <w:tc>
          <w:tcPr>
            <w:tcW w:w="2400" w:type="dxa"/>
            <w:vAlign w:val="bottom"/>
          </w:tcPr>
          <w:p>
            <w:pPr>
              <w:spacing w:after="0"/>
              <w:rPr>
                <w:sz w:val="15"/>
                <w:szCs w:val="15"/>
                <w:color w:val="auto"/>
              </w:rPr>
            </w:pP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899,875</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920,573</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Net deferred loan fees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Loans, net of deferred fees</w:t>
            </w:r>
          </w:p>
        </w:tc>
        <w:tc>
          <w:tcPr>
            <w:tcW w:w="2400" w:type="dxa"/>
            <w:vAlign w:val="bottom"/>
          </w:tcPr>
          <w:p>
            <w:pPr>
              <w:spacing w:after="0"/>
              <w:rPr>
                <w:sz w:val="15"/>
                <w:szCs w:val="15"/>
                <w:color w:val="auto"/>
              </w:rPr>
            </w:pPr>
          </w:p>
        </w:tc>
        <w:tc>
          <w:tcPr>
            <w:tcW w:w="15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898,520</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918,986</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4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18,654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0" w:type="dxa"/>
            <w:vAlign w:val="bottom"/>
          </w:tcPr>
          <w:p>
            <w:pPr>
              <w:spacing w:after="0"/>
              <w:rPr>
                <w:sz w:val="1"/>
                <w:szCs w:val="1"/>
                <w:color w:val="auto"/>
              </w:rPr>
            </w:pPr>
          </w:p>
        </w:tc>
      </w:tr>
      <w:tr>
        <w:trPr>
          <w:trHeight w:val="203"/>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Loans receivable, net</w:t>
            </w:r>
          </w:p>
        </w:tc>
        <w:tc>
          <w:tcPr>
            <w:tcW w:w="2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879,866</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901,743</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Periodically,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and one transaction in 2024. The following tables detail the purchased loan pool positions held by the Bank at September 30, 2025 and December 31, 2024 (the month/year of the earliest acquisition date is depicted in parentheses):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color w:val="auto"/>
              </w:rPr>
              <w:t>September 30, 2025</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Unamortize</w:t>
            </w:r>
          </w:p>
        </w:tc>
        <w:tc>
          <w:tcPr>
            <w:tcW w:w="96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Maturity</w:t>
            </w:r>
          </w:p>
        </w:tc>
        <w:tc>
          <w:tcPr>
            <w:tcW w:w="9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rPr>
              <w:t>Cumulative</w:t>
            </w:r>
          </w:p>
        </w:tc>
      </w:tr>
      <w:tr>
        <w:trPr>
          <w:trHeight w:val="180"/>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180" w:type="dxa"/>
            <w:vAlign w:val="bottom"/>
          </w:tcPr>
          <w:p>
            <w:pPr>
              <w:spacing w:after="0"/>
              <w:rPr>
                <w:sz w:val="15"/>
                <w:szCs w:val="15"/>
                <w:color w:val="auto"/>
              </w:rPr>
            </w:pPr>
          </w:p>
        </w:tc>
        <w:tc>
          <w:tcPr>
            <w:tcW w:w="7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2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d Premium/</w:t>
            </w: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7"/>
              </w:rPr>
              <w:t>Number of</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Range (in</w:t>
            </w:r>
          </w:p>
        </w:tc>
        <w:tc>
          <w:tcPr>
            <w:tcW w:w="9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rPr>
              <w:t>net charge-</w:t>
            </w:r>
          </w:p>
        </w:tc>
      </w:tr>
      <w:tr>
        <w:trPr>
          <w:trHeight w:val="193"/>
        </w:trPr>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Balance</w:t>
            </w:r>
          </w:p>
        </w:tc>
        <w:tc>
          <w:tcPr>
            <w:tcW w:w="18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(Discount)</w:t>
            </w: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7"/>
              </w:rPr>
              <w:t>Loans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years)</w:t>
            </w:r>
          </w:p>
        </w:tc>
        <w:tc>
          <w:tcPr>
            <w:tcW w:w="220" w:type="dxa"/>
            <w:vAlign w:val="bottom"/>
          </w:tcPr>
          <w:p>
            <w:pPr>
              <w:spacing w:after="0"/>
              <w:rPr>
                <w:sz w:val="16"/>
                <w:szCs w:val="16"/>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offs</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 loans (6/2019)</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6,800</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3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lines of credit (8/2019)</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Residential real estate loans (12/2019)</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15-24</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consumer loan pool 1 (12/2019)</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8,400</w:t>
            </w:r>
          </w:p>
        </w:tc>
        <w:tc>
          <w:tcPr>
            <w:tcW w:w="300" w:type="dxa"/>
            <w:vAlign w:val="bottom"/>
          </w:tcPr>
          <w:p>
            <w:pPr>
              <w:spacing w:after="0"/>
              <w:rPr>
                <w:sz w:val="15"/>
                <w:szCs w:val="15"/>
                <w:color w:val="auto"/>
              </w:rPr>
            </w:pP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(1,148)</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456</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7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Unsecured consumer loans pool 5 (1/2021)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FF0FC"/>
          </w:tcPr>
          <w:p>
            <w:pPr>
              <w:spacing w:after="0"/>
              <w:rPr>
                <w:sz w:val="24"/>
                <w:szCs w:val="24"/>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24,400</w:t>
            </w:r>
          </w:p>
        </w:tc>
        <w:tc>
          <w:tcPr>
            <w:tcW w:w="1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11,200</w:t>
            </w:r>
          </w:p>
        </w:tc>
        <w:tc>
          <w:tcPr>
            <w:tcW w:w="30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(313)</w:t>
            </w: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563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20" w:type="dxa"/>
            <w:vAlign w:val="bottom"/>
            <w:shd w:val="clear" w:color="auto" w:fill="CFF0FC"/>
          </w:tcPr>
          <w:p>
            <w:pPr>
              <w:spacing w:after="0"/>
              <w:rPr>
                <w:sz w:val="24"/>
                <w:szCs w:val="24"/>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1,335</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3,800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(11/2021)</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15,400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(2,426)</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780</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16-24</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542</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Unsecured consumer loans pool 6 (11/2021) </w:t>
            </w:r>
            <w:r>
              <w:rPr>
                <w:rFonts w:ascii="Times New Roman" w:cs="Times New Roman" w:eastAsia="Times New Roman" w:hAnsi="Times New Roman"/>
                <w:sz w:val="20"/>
                <w:szCs w:val="20"/>
                <w:color w:val="auto"/>
                <w:vertAlign w:val="superscript"/>
              </w:rPr>
              <w:t>1</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22,200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13,900</w:t>
            </w:r>
          </w:p>
        </w:tc>
        <w:tc>
          <w:tcPr>
            <w:tcW w:w="300" w:type="dxa"/>
            <w:vAlign w:val="bottom"/>
          </w:tcPr>
          <w:p>
            <w:pPr>
              <w:spacing w:after="0"/>
              <w:rPr>
                <w:sz w:val="15"/>
                <w:szCs w:val="15"/>
                <w:color w:val="auto"/>
              </w:rPr>
            </w:pP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(1,926)</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493</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5-23</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1,520</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(7/2024)</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14,000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143,750</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74,781</w:t>
            </w:r>
          </w:p>
        </w:tc>
        <w:tc>
          <w:tcPr>
            <w:tcW w:w="300" w:type="dxa"/>
            <w:vAlign w:val="bottom"/>
            <w:tcBorders>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(5,518)</w:t>
            </w:r>
          </w:p>
        </w:tc>
        <w:tc>
          <w:tcPr>
            <w:tcW w:w="9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2,516</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3,612</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23"/>
        </w:trPr>
        <w:tc>
          <w:tcPr>
            <w:tcW w:w="4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December 31, 2024</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0"/>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Unamortize</w:t>
            </w:r>
          </w:p>
        </w:tc>
        <w:tc>
          <w:tcPr>
            <w:tcW w:w="96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Maturity</w:t>
            </w:r>
          </w:p>
        </w:tc>
        <w:tc>
          <w:tcPr>
            <w:tcW w:w="9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rPr>
              <w:t>Cumulative</w:t>
            </w:r>
          </w:p>
        </w:tc>
      </w:tr>
      <w:tr>
        <w:trPr>
          <w:trHeight w:val="180"/>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180" w:type="dxa"/>
            <w:vAlign w:val="bottom"/>
          </w:tcPr>
          <w:p>
            <w:pPr>
              <w:spacing w:after="0"/>
              <w:rPr>
                <w:sz w:val="15"/>
                <w:szCs w:val="15"/>
                <w:color w:val="auto"/>
              </w:rPr>
            </w:pPr>
          </w:p>
        </w:tc>
        <w:tc>
          <w:tcPr>
            <w:tcW w:w="7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2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d Premium/</w:t>
            </w:r>
          </w:p>
        </w:tc>
        <w:tc>
          <w:tcPr>
            <w:tcW w:w="9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7"/>
              </w:rPr>
              <w:t>Number of</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Range (in</w:t>
            </w:r>
          </w:p>
        </w:tc>
        <w:tc>
          <w:tcPr>
            <w:tcW w:w="9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rPr>
              <w:t>net charge-</w:t>
            </w:r>
          </w:p>
        </w:tc>
      </w:tr>
      <w:tr>
        <w:trPr>
          <w:trHeight w:val="180"/>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w:t>
            </w:r>
          </w:p>
        </w:tc>
        <w:tc>
          <w:tcPr>
            <w:tcW w:w="180" w:type="dxa"/>
            <w:vAlign w:val="bottom"/>
          </w:tcPr>
          <w:p>
            <w:pPr>
              <w:spacing w:after="0"/>
              <w:rPr>
                <w:sz w:val="15"/>
                <w:szCs w:val="15"/>
                <w:color w:val="auto"/>
              </w:rPr>
            </w:pPr>
          </w:p>
        </w:tc>
        <w:tc>
          <w:tcPr>
            <w:tcW w:w="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Balance</w:t>
            </w:r>
          </w:p>
        </w:tc>
        <w:tc>
          <w:tcPr>
            <w:tcW w:w="102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(Discount)</w:t>
            </w:r>
          </w:p>
        </w:tc>
        <w:tc>
          <w:tcPr>
            <w:tcW w:w="96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color w:val="auto"/>
                <w:w w:val="97"/>
              </w:rPr>
              <w:t>Loans</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years)</w:t>
            </w:r>
          </w:p>
        </w:tc>
        <w:tc>
          <w:tcPr>
            <w:tcW w:w="220" w:type="dxa"/>
            <w:vAlign w:val="bottom"/>
          </w:tcPr>
          <w:p>
            <w:pPr>
              <w:spacing w:after="0"/>
              <w:rPr>
                <w:sz w:val="15"/>
                <w:szCs w:val="15"/>
                <w:color w:val="auto"/>
              </w:rPr>
            </w:pPr>
          </w:p>
        </w:tc>
        <w:tc>
          <w:tcPr>
            <w:tcW w:w="68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offs</w:t>
            </w:r>
          </w:p>
        </w:tc>
      </w:tr>
      <w:tr>
        <w:trPr>
          <w:trHeight w:val="19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 loans (6/2019)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6,800</w:t>
            </w:r>
          </w:p>
        </w:tc>
        <w:tc>
          <w:tcPr>
            <w:tcW w:w="18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1,200</w:t>
            </w:r>
          </w:p>
        </w:tc>
        <w:tc>
          <w:tcPr>
            <w:tcW w:w="30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Home equity lines of credit (8/2019)</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21,900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consumer loan pool 2 (11/2019)</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26,600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Residential real estate loans (12/2019)</w:t>
            </w:r>
          </w:p>
        </w:tc>
        <w:tc>
          <w:tcPr>
            <w:tcW w:w="8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4,300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4,200</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278</w:t>
            </w: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consumer loan pool 1 (12/2019)</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9,300</w:t>
            </w:r>
          </w:p>
        </w:tc>
        <w:tc>
          <w:tcPr>
            <w:tcW w:w="300" w:type="dxa"/>
            <w:vAlign w:val="bottom"/>
          </w:tcPr>
          <w:p>
            <w:pPr>
              <w:spacing w:after="0"/>
              <w:rPr>
                <w:sz w:val="15"/>
                <w:szCs w:val="15"/>
                <w:color w:val="auto"/>
              </w:rPr>
            </w:pP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(1,257)</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475</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21-24</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Unsecured consumer loans pool 5 (1/2021) </w:t>
            </w:r>
            <w:r>
              <w:rPr>
                <w:rFonts w:ascii="Times New Roman" w:cs="Times New Roman" w:eastAsia="Times New Roman" w:hAnsi="Times New Roman"/>
                <w:sz w:val="20"/>
                <w:szCs w:val="20"/>
                <w:color w:val="auto"/>
                <w:vertAlign w:val="superscript"/>
              </w:rPr>
              <w:t>1</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24,400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12,600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(342)</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1,124</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11,600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7,900</w:t>
            </w:r>
          </w:p>
        </w:tc>
        <w:tc>
          <w:tcPr>
            <w:tcW w:w="300" w:type="dxa"/>
            <w:vAlign w:val="bottom"/>
          </w:tcPr>
          <w:p>
            <w:pPr>
              <w:spacing w:after="0"/>
              <w:rPr>
                <w:sz w:val="15"/>
                <w:szCs w:val="15"/>
                <w:color w:val="auto"/>
              </w:rPr>
            </w:pPr>
          </w:p>
        </w:tc>
        <w:tc>
          <w:tcPr>
            <w:tcW w:w="7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Secured consumer installment loans (11/2021)</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21,300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16,300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(2,613)</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802</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17-24</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467</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Unsecured consumer loans pool 6 (11/2021) </w:t>
            </w:r>
            <w:r>
              <w:rPr>
                <w:rFonts w:ascii="Times New Roman" w:cs="Times New Roman" w:eastAsia="Times New Roman" w:hAnsi="Times New Roman"/>
                <w:sz w:val="20"/>
                <w:szCs w:val="20"/>
                <w:color w:val="auto"/>
                <w:vertAlign w:val="superscript"/>
              </w:rPr>
              <w:t>1</w:t>
            </w:r>
          </w:p>
        </w:tc>
        <w:tc>
          <w:tcPr>
            <w:tcW w:w="840" w:type="dxa"/>
            <w:vAlign w:val="bottom"/>
          </w:tcPr>
          <w:p>
            <w:pPr>
              <w:spacing w:after="0"/>
              <w:rPr>
                <w:sz w:val="15"/>
                <w:szCs w:val="15"/>
                <w:color w:val="auto"/>
              </w:rPr>
            </w:pPr>
          </w:p>
        </w:tc>
        <w:tc>
          <w:tcPr>
            <w:tcW w:w="7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22,200</w:t>
            </w:r>
          </w:p>
        </w:tc>
        <w:tc>
          <w:tcPr>
            <w:tcW w:w="180" w:type="dxa"/>
            <w:vAlign w:val="bottom"/>
          </w:tcPr>
          <w:p>
            <w:pPr>
              <w:spacing w:after="0"/>
              <w:rPr>
                <w:sz w:val="15"/>
                <w:szCs w:val="15"/>
                <w:color w:val="auto"/>
              </w:rPr>
            </w:pPr>
          </w:p>
        </w:tc>
        <w:tc>
          <w:tcPr>
            <w:tcW w:w="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15,200</w:t>
            </w:r>
          </w:p>
        </w:tc>
        <w:tc>
          <w:tcPr>
            <w:tcW w:w="300" w:type="dxa"/>
            <w:vAlign w:val="bottom"/>
          </w:tcPr>
          <w:p>
            <w:pPr>
              <w:spacing w:after="0"/>
              <w:rPr>
                <w:sz w:val="15"/>
                <w:szCs w:val="15"/>
                <w:color w:val="auto"/>
              </w:rPr>
            </w:pP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(2,069)</w:t>
            </w:r>
          </w:p>
        </w:tc>
        <w:tc>
          <w:tcPr>
            <w:tcW w:w="9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506</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7-23</w:t>
            </w:r>
          </w:p>
        </w:tc>
        <w:tc>
          <w:tcPr>
            <w:tcW w:w="22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1,196</w:t>
            </w:r>
          </w:p>
        </w:tc>
      </w:tr>
      <w:tr>
        <w:trPr>
          <w:trHeight w:val="180"/>
        </w:trPr>
        <w:tc>
          <w:tcPr>
            <w:tcW w:w="4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commercial line of credit 1 (7/2024)</w:t>
            </w:r>
          </w:p>
        </w:tc>
        <w:tc>
          <w:tcPr>
            <w:tcW w:w="8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4,800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9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170,350</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75,660</w:t>
            </w:r>
          </w:p>
        </w:tc>
        <w:tc>
          <w:tcPr>
            <w:tcW w:w="300" w:type="dxa"/>
            <w:vAlign w:val="bottom"/>
            <w:tcBorders>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(5,964)</w:t>
            </w:r>
          </w:p>
        </w:tc>
        <w:tc>
          <w:tcPr>
            <w:tcW w:w="96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2,677</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3,018</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200" w:firstLine="6"/>
        <w:spacing w:after="0" w:line="241" w:lineRule="auto"/>
        <w:tabs>
          <w:tab w:leader="none" w:pos="72"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The Bank realized gains related to the settlement of these two hedging contracts were $117,000 and $694,000, respectively. These gains on the extinguishments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$634,000 at September 30, 2025.</w:t>
      </w:r>
    </w:p>
    <w:p>
      <w:pPr>
        <w:spacing w:after="0" w:line="19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 allowance for credit losses (the "ACL") related to these pools were $3.1 million and $3.9 million, respectively.</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of September 30, 2025, the Company had $107.7 million in residential and commercial real estate mortgage loans pledged to the Federal Home Loan Bank of New York (“FHLB-NY”). During the nine months ended September 30, 2025, the Company also initiated the pledge of $10.2 million in home equity loans to the Federal Reserve Bank of New York</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 w:name="page21"/>
    <w:bookmarkEnd w:id="2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(“FRB-NY”).</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pledged collateral with the FHLB-NY of $113.8 million and had no loans pledged to the FRB-NY. All loans pledged with the FHLB-NY and FRB-NY are under a blanket collateral agreement to secure the Company’s line of credit and term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Origination / Risk Management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lending policies and procedures are presented in Note 5 to the audited consolidated financial statements included in the 2024 Annual Report on Form 10-K filed with the Securities and Exchange Commission on March 31, 2025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Portfolio Segment</w:t>
            </w: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41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r>
      <w:tr>
        <w:trPr>
          <w:trHeight w:val="234"/>
        </w:trPr>
        <w:tc>
          <w:tcPr>
            <w:tcW w:w="3400" w:type="dxa"/>
            <w:vAlign w:val="bottom"/>
          </w:tcPr>
          <w:p>
            <w:pPr>
              <w:spacing w:after="0"/>
              <w:rPr>
                <w:sz w:val="20"/>
                <w:szCs w:val="20"/>
                <w:color w:val="auto"/>
              </w:rPr>
            </w:pP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Construction</w:t>
            </w:r>
          </w:p>
        </w:tc>
      </w:tr>
      <w:tr>
        <w:trPr>
          <w:trHeight w:val="41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Loans</w:t>
            </w: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Real estate</w:t>
            </w:r>
          </w:p>
        </w:tc>
      </w:tr>
      <w:tr>
        <w:trPr>
          <w:trHeight w:val="216"/>
        </w:trPr>
        <w:tc>
          <w:tcPr>
            <w:tcW w:w="3400" w:type="dxa"/>
            <w:vAlign w:val="bottom"/>
          </w:tcPr>
          <w:p>
            <w:pPr>
              <w:spacing w:after="0"/>
              <w:rPr>
                <w:sz w:val="18"/>
                <w:szCs w:val="18"/>
                <w:color w:val="auto"/>
              </w:rPr>
            </w:pP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Lines of credit</w:t>
            </w:r>
          </w:p>
        </w:tc>
      </w:tr>
      <w:tr>
        <w:trPr>
          <w:trHeight w:val="216"/>
        </w:trPr>
        <w:tc>
          <w:tcPr>
            <w:tcW w:w="3400" w:type="dxa"/>
            <w:vAlign w:val="bottom"/>
          </w:tcPr>
          <w:p>
            <w:pPr>
              <w:spacing w:after="0"/>
              <w:rPr>
                <w:sz w:val="18"/>
                <w:szCs w:val="18"/>
                <w:color w:val="auto"/>
              </w:rPr>
            </w:pP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Other commercial and industrial</w:t>
            </w:r>
          </w:p>
        </w:tc>
      </w:tr>
      <w:tr>
        <w:trPr>
          <w:trHeight w:val="234"/>
        </w:trPr>
        <w:tc>
          <w:tcPr>
            <w:tcW w:w="3400" w:type="dxa"/>
            <w:vAlign w:val="bottom"/>
          </w:tcPr>
          <w:p>
            <w:pPr>
              <w:spacing w:after="0"/>
              <w:rPr>
                <w:sz w:val="20"/>
                <w:szCs w:val="20"/>
                <w:color w:val="auto"/>
              </w:rPr>
            </w:pP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Tax exempt loans</w:t>
            </w:r>
          </w:p>
        </w:tc>
      </w:tr>
      <w:tr>
        <w:trPr>
          <w:trHeight w:val="41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Loans</w:t>
            </w: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Home equity and junior liens</w:t>
            </w:r>
          </w:p>
        </w:tc>
      </w:tr>
      <w:tr>
        <w:trPr>
          <w:trHeight w:val="234"/>
        </w:trPr>
        <w:tc>
          <w:tcPr>
            <w:tcW w:w="3400" w:type="dxa"/>
            <w:vAlign w:val="bottom"/>
          </w:tcPr>
          <w:p>
            <w:pPr>
              <w:spacing w:after="0"/>
              <w:rPr>
                <w:sz w:val="20"/>
                <w:szCs w:val="20"/>
                <w:color w:val="auto"/>
              </w:rPr>
            </w:pPr>
          </w:p>
        </w:tc>
        <w:tc>
          <w:tcPr>
            <w:tcW w:w="71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Other consumer</w:t>
            </w:r>
          </w:p>
        </w:tc>
      </w:tr>
      <w:tr>
        <w:trPr>
          <w:trHeight w:val="364"/>
        </w:trPr>
        <w:tc>
          <w:tcPr>
            <w:tcW w:w="3400" w:type="dxa"/>
            <w:vAlign w:val="bottom"/>
          </w:tcPr>
          <w:p>
            <w:pPr>
              <w:spacing w:after="0"/>
              <w:rPr>
                <w:sz w:val="24"/>
                <w:szCs w:val="24"/>
                <w:color w:val="auto"/>
              </w:rPr>
            </w:pPr>
          </w:p>
        </w:tc>
        <w:tc>
          <w:tcPr>
            <w:tcW w:w="71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w:t>
            </w:r>
            <w:r>
              <w:rPr>
                <w:rFonts w:ascii="Times New Roman" w:cs="Times New Roman" w:eastAsia="Times New Roman" w:hAnsi="Times New Roman"/>
                <w:sz w:val="16"/>
                <w:szCs w:val="16"/>
                <w:color w:val="auto"/>
              </w:rPr>
              <w:t xml:space="preserve"> -</w:t>
            </w:r>
          </w:p>
        </w:tc>
      </w:tr>
      <w:tr>
        <w:trPr>
          <w:trHeight w:val="674"/>
        </w:trPr>
        <w:tc>
          <w:tcPr>
            <w:tcW w:w="3400" w:type="dxa"/>
            <w:vAlign w:val="bottom"/>
            <w:tcBorders>
              <w:bottom w:val="single" w:sz="8" w:color="EEEEEE"/>
            </w:tcBorders>
          </w:tcPr>
          <w:p>
            <w:pPr>
              <w:spacing w:after="0"/>
              <w:rPr>
                <w:sz w:val="24"/>
                <w:szCs w:val="24"/>
                <w:color w:val="auto"/>
              </w:rPr>
            </w:pPr>
          </w:p>
        </w:tc>
        <w:tc>
          <w:tcPr>
            <w:tcW w:w="7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 w:name="page22"/>
    <w:bookmarkEnd w:id="21"/>
    <w:p>
      <w:pPr>
        <w:spacing w:after="0" w:line="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following tables present the classes of the loan portfolio as of September 30, 2025, summarized by the aggregate pass rating and the classified ratings of special mention, substandard and doubtful within the Company's internal risk rating system as of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Term Loans By Origination Year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Revolving loans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Revolving</w:t>
            </w:r>
          </w:p>
        </w:tc>
        <w:tc>
          <w:tcPr>
            <w:tcW w:w="12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converted to term</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2025</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tcPr>
          <w:p>
            <w:pPr>
              <w:spacing w:after="0"/>
              <w:rPr>
                <w:sz w:val="14"/>
                <w:szCs w:val="14"/>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2022</w:t>
            </w:r>
          </w:p>
        </w:tc>
        <w:tc>
          <w:tcPr>
            <w:tcW w:w="1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2021</w:t>
            </w:r>
          </w:p>
        </w:tc>
        <w:tc>
          <w:tcPr>
            <w:tcW w:w="22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Prior</w:t>
            </w:r>
          </w:p>
        </w:tc>
        <w:tc>
          <w:tcPr>
            <w:tcW w:w="18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loans</w:t>
            </w:r>
          </w:p>
        </w:tc>
        <w:tc>
          <w:tcPr>
            <w:tcW w:w="200" w:type="dxa"/>
            <w:vAlign w:val="bottom"/>
          </w:tcPr>
          <w:p>
            <w:pPr>
              <w:spacing w:after="0"/>
              <w:rPr>
                <w:sz w:val="14"/>
                <w:szCs w:val="14"/>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loans</w:t>
            </w:r>
          </w:p>
        </w:tc>
        <w:tc>
          <w:tcPr>
            <w:tcW w:w="26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32,158</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47,967</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29,667</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53,338</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40,680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125,159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328,969</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3,061</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11,495</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7,505</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4,037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26,098</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1,238</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8,082</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3,951</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2,454</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16,557</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35,219</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48,799</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42,400</w:t>
            </w:r>
          </w:p>
        </w:tc>
        <w:tc>
          <w:tcPr>
            <w:tcW w:w="2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68,925</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44,631</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131,709</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371,683</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lines of credit:</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67,975</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2,613</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70,588</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6,825</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6,825</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1,369</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239</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1,608</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commercial lines of credit</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76,169</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2,852</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79,021</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commercial and industrial: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12,734</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14,542</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14,863</w:t>
            </w:r>
          </w:p>
        </w:tc>
        <w:tc>
          <w:tcPr>
            <w:tcW w:w="2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12,244</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2,626</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13,460</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4,028</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74,497</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576</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4,435</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1,337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7,963</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126</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196</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3,905</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4,227</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other commercial and industrial</w:t>
            </w:r>
          </w:p>
        </w:tc>
        <w:tc>
          <w:tcPr>
            <w:tcW w:w="260" w:type="dxa"/>
            <w:vAlign w:val="bottom"/>
          </w:tcPr>
          <w:p>
            <w:pPr>
              <w:spacing w:after="0"/>
              <w:rPr>
                <w:sz w:val="14"/>
                <w:szCs w:val="14"/>
                <w:color w:val="auto"/>
              </w:rPr>
            </w:pPr>
          </w:p>
        </w:tc>
        <w:tc>
          <w:tcPr>
            <w:tcW w:w="58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13,310</w:t>
            </w:r>
          </w:p>
        </w:tc>
        <w:tc>
          <w:tcPr>
            <w:tcW w:w="2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16,116</w:t>
            </w:r>
          </w:p>
        </w:tc>
        <w:tc>
          <w:tcPr>
            <w:tcW w:w="300" w:type="dxa"/>
            <w:vAlign w:val="bottom"/>
          </w:tcPr>
          <w:p>
            <w:pPr>
              <w:spacing w:after="0"/>
              <w:rPr>
                <w:sz w:val="14"/>
                <w:szCs w:val="14"/>
                <w:color w:val="auto"/>
              </w:rPr>
            </w:pP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19,424</w:t>
            </w:r>
          </w:p>
        </w:tc>
        <w:tc>
          <w:tcPr>
            <w:tcW w:w="24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12,244</w:t>
            </w:r>
          </w:p>
        </w:tc>
        <w:tc>
          <w:tcPr>
            <w:tcW w:w="1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2,863</w:t>
            </w:r>
          </w:p>
        </w:tc>
        <w:tc>
          <w:tcPr>
            <w:tcW w:w="220" w:type="dxa"/>
            <w:vAlign w:val="bottom"/>
          </w:tcPr>
          <w:p>
            <w:pPr>
              <w:spacing w:after="0"/>
              <w:rPr>
                <w:sz w:val="14"/>
                <w:szCs w:val="14"/>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18,702</w:t>
            </w:r>
          </w:p>
        </w:tc>
        <w:tc>
          <w:tcPr>
            <w:tcW w:w="18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4,028</w:t>
            </w:r>
          </w:p>
        </w:tc>
        <w:tc>
          <w:tcPr>
            <w:tcW w:w="20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86,687</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Paycheck Protection Program loans</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Paycheck Protection Program loans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exempt loans</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4,167</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6,229</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tax exempt loans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4,167</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6,229</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1-4 family first-lien residential mortgages:</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8,552</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15,372</w:t>
            </w:r>
          </w:p>
        </w:tc>
        <w:tc>
          <w:tcPr>
            <w:tcW w:w="2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26,998</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43,669</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130,461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236,207</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589</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89</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1,203</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1,392</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787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1-4 family first-lien residential mortgages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8,552</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15,372</w:t>
            </w:r>
          </w:p>
        </w:tc>
        <w:tc>
          <w:tcPr>
            <w:tcW w:w="2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27,098</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43,758</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133,040</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238,975</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1,406</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construction</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1,406</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Home equity and junior liens:</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4,325</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3,359</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2,931</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2,674</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11,053</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21,179</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889</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48,944</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3"/>
                <w:szCs w:val="1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358</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657</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1,092</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home equity and junior liens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4,325</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3,418</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2,931</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2,686</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11,461</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21,856</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895</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50,106</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Consumer:</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2,522</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53,547</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2,900</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2,365</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65,585</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Total other consumer</w:t>
            </w:r>
          </w:p>
        </w:tc>
        <w:tc>
          <w:tcPr>
            <w:tcW w:w="26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2,522</w:t>
            </w: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30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53,569</w:t>
            </w:r>
          </w:p>
        </w:tc>
        <w:tc>
          <w:tcPr>
            <w:tcW w:w="24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2,913</w:t>
            </w:r>
          </w:p>
        </w:tc>
        <w:tc>
          <w:tcPr>
            <w:tcW w:w="1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1,586</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2,376</w:t>
            </w:r>
          </w:p>
        </w:tc>
        <w:tc>
          <w:tcPr>
            <w:tcW w:w="18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65,694</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deferred loan fees</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(392)</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(164)</w:t>
            </w: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(169)</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(711)</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0" w:type="dxa"/>
            <w:vAlign w:val="bottom"/>
          </w:tcPr>
          <w:p>
            <w:pPr>
              <w:spacing w:after="0"/>
              <w:rPr>
                <w:sz w:val="1"/>
                <w:szCs w:val="1"/>
                <w:color w:val="auto"/>
              </w:rPr>
            </w:pPr>
          </w:p>
        </w:tc>
      </w:tr>
      <w:tr>
        <w:trPr>
          <w:trHeight w:val="156"/>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Total loans</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66,942</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81,470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134,188</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113,947</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95,355</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300,818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102,053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3,747</w:t>
            </w:r>
          </w:p>
        </w:tc>
        <w:tc>
          <w:tcPr>
            <w:tcW w:w="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898,520</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21</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The following tables present the classes of the loan portfolio as of December 31, 2024, summarized by the aggregate pass rating and the classified ratings of special mention, substandard and doubtful within the Company's internal risk rating system as of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Term Loans By Origination Year</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Revolving loans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Revolving</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converted to term</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32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2020</w:t>
            </w:r>
          </w:p>
        </w:tc>
        <w:tc>
          <w:tcPr>
            <w:tcW w:w="22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Prior</w:t>
            </w:r>
          </w:p>
        </w:tc>
        <w:tc>
          <w:tcPr>
            <w:tcW w:w="18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loans</w:t>
            </w:r>
          </w:p>
        </w:tc>
        <w:tc>
          <w:tcPr>
            <w:tcW w:w="180" w:type="dxa"/>
            <w:vAlign w:val="bottom"/>
          </w:tcPr>
          <w:p>
            <w:pPr>
              <w:spacing w:after="0"/>
              <w:rPr>
                <w:sz w:val="14"/>
                <w:szCs w:val="14"/>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loans</w:t>
            </w:r>
          </w:p>
        </w:tc>
        <w:tc>
          <w:tcPr>
            <w:tcW w:w="26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45,123</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51,531</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61,943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50,014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27,688</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107,106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343,405</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16,160</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4,370</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20,530</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838</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4,165</w:t>
            </w:r>
          </w:p>
        </w:tc>
        <w:tc>
          <w:tcPr>
            <w:tcW w:w="320" w:type="dxa"/>
            <w:vAlign w:val="bottom"/>
          </w:tcPr>
          <w:p>
            <w:pPr>
              <w:spacing w:after="0"/>
              <w:rPr>
                <w:sz w:val="13"/>
                <w:szCs w:val="1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4,819</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215</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2,938</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13,475</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45,961</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55,846</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78,603</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54,833</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27,903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114,473</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377,619</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lines of credit:</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57,618</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2,495</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60,113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5,622</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190</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5,812</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1,309</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368</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1,677</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commercial lines of credit</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64,549</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3,053</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67,602</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commercial and industrial: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14,141</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20,814</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14,160</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4,186</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3,987</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14,609</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6,022</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77,919</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2,640</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258</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5,217</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1,041</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312</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4,398</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5,883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429</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781</w:t>
            </w:r>
          </w:p>
        </w:tc>
        <w:tc>
          <w:tcPr>
            <w:tcW w:w="0" w:type="dxa"/>
            <w:vAlign w:val="bottom"/>
          </w:tcPr>
          <w:p>
            <w:pPr>
              <w:spacing w:after="0"/>
              <w:rPr>
                <w:sz w:val="1"/>
                <w:szCs w:val="1"/>
                <w:color w:val="auto"/>
              </w:rPr>
            </w:pPr>
          </w:p>
        </w:tc>
      </w:tr>
      <w:tr>
        <w:trPr>
          <w:trHeight w:val="172"/>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other commercial and industrial</w:t>
            </w:r>
          </w:p>
        </w:tc>
        <w:tc>
          <w:tcPr>
            <w:tcW w:w="280" w:type="dxa"/>
            <w:vAlign w:val="bottom"/>
          </w:tcPr>
          <w:p>
            <w:pPr>
              <w:spacing w:after="0"/>
              <w:rPr>
                <w:sz w:val="14"/>
                <w:szCs w:val="14"/>
                <w:color w:val="auto"/>
              </w:rPr>
            </w:pPr>
          </w:p>
        </w:tc>
        <w:tc>
          <w:tcPr>
            <w:tcW w:w="58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16,781</w:t>
            </w:r>
          </w:p>
        </w:tc>
        <w:tc>
          <w:tcPr>
            <w:tcW w:w="2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23,494</w:t>
            </w:r>
          </w:p>
        </w:tc>
        <w:tc>
          <w:tcPr>
            <w:tcW w:w="320" w:type="dxa"/>
            <w:vAlign w:val="bottom"/>
          </w:tcPr>
          <w:p>
            <w:pPr>
              <w:spacing w:after="0"/>
              <w:rPr>
                <w:sz w:val="14"/>
                <w:szCs w:val="14"/>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15,290</w:t>
            </w:r>
          </w:p>
        </w:tc>
        <w:tc>
          <w:tcPr>
            <w:tcW w:w="20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4,873</w:t>
            </w:r>
          </w:p>
        </w:tc>
        <w:tc>
          <w:tcPr>
            <w:tcW w:w="18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4,333</w:t>
            </w:r>
          </w:p>
        </w:tc>
        <w:tc>
          <w:tcPr>
            <w:tcW w:w="220" w:type="dxa"/>
            <w:vAlign w:val="bottom"/>
          </w:tcPr>
          <w:p>
            <w:pPr>
              <w:spacing w:after="0"/>
              <w:rPr>
                <w:sz w:val="14"/>
                <w:szCs w:val="14"/>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19,007</w:t>
            </w:r>
          </w:p>
        </w:tc>
        <w:tc>
          <w:tcPr>
            <w:tcW w:w="18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6,022</w:t>
            </w:r>
          </w:p>
        </w:tc>
        <w:tc>
          <w:tcPr>
            <w:tcW w:w="180" w:type="dxa"/>
            <w:vAlign w:val="bottom"/>
          </w:tcPr>
          <w:p>
            <w:pPr>
              <w:spacing w:after="0"/>
              <w:rPr>
                <w:sz w:val="14"/>
                <w:szCs w:val="14"/>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89,800</w:t>
            </w: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Paycheck Protection Program loans</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Paycheck Protection Program loans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exempt loans</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4,363</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tax exempt loans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87</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4,363</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1-4 family first-lien residential mortgages:</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11,085</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15,922</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29,167</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48,525</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35,973</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107,571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248,243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554</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473</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91</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207</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713</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940</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1,092</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1-4 family first-lien residential mortgages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11,085</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15,922</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29,167</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48,616</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36,886</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109,697</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251,373</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4,864</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4,864</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construction</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4,864</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4,864</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Home equity and junior liens:</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6,113</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3,181</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2,906</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1,692</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11,807</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20,352</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706</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50,849</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320</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657</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home equity and junior liens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6,113</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3,181</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2,918</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1,692</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12,202</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21,029</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721</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51,948</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Consumer:</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Pass</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4,475</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58,818</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3,908</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1,031</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2,305</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72,558</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Special Mention</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6"/>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Substandard</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76</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Doubtful</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Total other consumer</w:t>
            </w:r>
          </w:p>
        </w:tc>
        <w:tc>
          <w:tcPr>
            <w:tcW w:w="280" w:type="dxa"/>
            <w:vAlign w:val="bottom"/>
          </w:tcPr>
          <w:p>
            <w:pPr>
              <w:spacing w:after="0"/>
              <w:rPr>
                <w:sz w:val="13"/>
                <w:szCs w:val="13"/>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4,477</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58,820</w:t>
            </w:r>
          </w:p>
        </w:tc>
        <w:tc>
          <w:tcPr>
            <w:tcW w:w="3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3,938</w:t>
            </w:r>
          </w:p>
        </w:tc>
        <w:tc>
          <w:tcPr>
            <w:tcW w:w="2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2,102</w:t>
            </w:r>
          </w:p>
        </w:tc>
        <w:tc>
          <w:tcPr>
            <w:tcW w:w="18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1,055</w:t>
            </w:r>
          </w:p>
        </w:tc>
        <w:tc>
          <w:tcPr>
            <w:tcW w:w="22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2,318</w:t>
            </w:r>
          </w:p>
        </w:tc>
        <w:tc>
          <w:tcPr>
            <w:tcW w:w="18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72,710</w:t>
            </w:r>
          </w:p>
        </w:tc>
        <w:tc>
          <w:tcPr>
            <w:tcW w:w="0" w:type="dxa"/>
            <w:vAlign w:val="bottom"/>
          </w:tcPr>
          <w:p>
            <w:pPr>
              <w:spacing w:after="0"/>
              <w:rPr>
                <w:sz w:val="1"/>
                <w:szCs w:val="1"/>
                <w:color w:val="auto"/>
              </w:rPr>
            </w:pPr>
          </w:p>
        </w:tc>
      </w:tr>
      <w:tr>
        <w:trPr>
          <w:trHeight w:val="1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deferred loan fees</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(462)</w:t>
            </w: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(197)</w:t>
            </w: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(70)</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(705)</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(1,587)</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Total loans</w:t>
            </w:r>
          </w:p>
        </w:tc>
        <w:tc>
          <w:tcPr>
            <w:tcW w:w="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88,906</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158,192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130,008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113,145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72,006</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261,355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91,600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3,774</w:t>
            </w:r>
          </w:p>
        </w:tc>
        <w:tc>
          <w:tcPr>
            <w:tcW w:w="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918,986</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22</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spacing w:after="0" w:line="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and Past Due Loans</w:t>
      </w:r>
    </w:p>
    <w:p>
      <w:pPr>
        <w:spacing w:after="0" w:line="1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23</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660" w:top="1440" w:right="880" w:bottom="1440" w:gutter="0" w:footer="0" w:header="0"/>
        </w:sectPr>
      </w:pPr>
    </w:p>
    <w:bookmarkStart w:id="24" w:name="page25"/>
    <w:bookmarkEnd w:id="24"/>
    <w:p>
      <w:pPr>
        <w:spacing w:after="0" w:line="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 aging analysis of past due loans, not including net deferred loan costs, segregated by portfolio segment and class of loans, as of September 30, 2025 and December 31, 2024, are detailed in the following tables: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auto"/>
                <w:w w:val="97"/>
              </w:rPr>
              <w:t>As of September 30, 2025</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32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6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30-59 Days</w:t>
            </w:r>
          </w:p>
        </w:tc>
        <w:tc>
          <w:tcPr>
            <w:tcW w:w="18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 Days</w:t>
            </w:r>
          </w:p>
        </w:tc>
        <w:tc>
          <w:tcPr>
            <w:tcW w:w="32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8"/>
              </w:rPr>
              <w:t>Total Loans</w:t>
            </w:r>
          </w:p>
        </w:tc>
        <w:tc>
          <w:tcPr>
            <w:tcW w:w="0" w:type="dxa"/>
            <w:vAlign w:val="bottom"/>
          </w:tcPr>
          <w:p>
            <w:pPr>
              <w:spacing w:after="0"/>
              <w:rPr>
                <w:sz w:val="1"/>
                <w:szCs w:val="1"/>
                <w:color w:val="auto"/>
              </w:rPr>
            </w:pPr>
          </w:p>
        </w:tc>
      </w:tr>
      <w:tr>
        <w:trPr>
          <w:trHeight w:val="193"/>
        </w:trPr>
        <w:tc>
          <w:tcPr>
            <w:tcW w:w="32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1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Over</w:t>
            </w:r>
          </w:p>
        </w:tc>
        <w:tc>
          <w:tcPr>
            <w:tcW w:w="320" w:type="dxa"/>
            <w:vAlign w:val="bottom"/>
          </w:tcPr>
          <w:p>
            <w:pPr>
              <w:spacing w:after="0"/>
              <w:rPr>
                <w:sz w:val="16"/>
                <w:szCs w:val="16"/>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2,208</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1,142</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2,226</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5,576</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233,399</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238,975</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Loans held-for-sale</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2,208</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1,142</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2,226</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5,576</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234,805</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240,381</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1,677</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1,081</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14,709</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17,467</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354,216</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371,683</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1,982</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77,039</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79,021</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4,333</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4,418</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9,004</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77,683</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86,687</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Tax exempt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6,182</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2,102</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20,169</w:t>
            </w:r>
          </w:p>
        </w:tc>
        <w:tc>
          <w:tcPr>
            <w:tcW w:w="32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28,453</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515,241</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543,694</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687</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271</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471</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1,429</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48,677</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50,106</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527</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470</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64,258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65,694</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1,214</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741</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910</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2,865</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112,935</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115,800</w:t>
            </w:r>
          </w:p>
        </w:tc>
        <w:tc>
          <w:tcPr>
            <w:tcW w:w="0" w:type="dxa"/>
            <w:vAlign w:val="bottom"/>
          </w:tcPr>
          <w:p>
            <w:pPr>
              <w:spacing w:after="0"/>
              <w:rPr>
                <w:sz w:val="1"/>
                <w:szCs w:val="1"/>
                <w:color w:val="auto"/>
              </w:rPr>
            </w:pPr>
          </w:p>
        </w:tc>
      </w:tr>
      <w:tr>
        <w:trPr>
          <w:trHeight w:val="220"/>
        </w:trPr>
        <w:tc>
          <w:tcPr>
            <w:tcW w:w="326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7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9,604</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3,985</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23,305</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36,894</w:t>
            </w:r>
          </w:p>
        </w:tc>
        <w:tc>
          <w:tcPr>
            <w:tcW w:w="3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862,981</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899,875</w:t>
            </w:r>
          </w:p>
        </w:tc>
        <w:tc>
          <w:tcPr>
            <w:tcW w:w="0" w:type="dxa"/>
            <w:vAlign w:val="bottom"/>
          </w:tcPr>
          <w:p>
            <w:pPr>
              <w:spacing w:after="0"/>
              <w:rPr>
                <w:sz w:val="1"/>
                <w:szCs w:val="1"/>
                <w:color w:val="auto"/>
              </w:rPr>
            </w:pPr>
          </w:p>
        </w:tc>
      </w:tr>
      <w:tr>
        <w:trPr>
          <w:trHeight w:val="346"/>
        </w:trPr>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w w:val="98"/>
              </w:rPr>
              <w:t>As of December 31, 2024</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2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6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30-59 Days</w:t>
            </w:r>
          </w:p>
        </w:tc>
        <w:tc>
          <w:tcPr>
            <w:tcW w:w="18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 Days</w:t>
            </w:r>
          </w:p>
        </w:tc>
        <w:tc>
          <w:tcPr>
            <w:tcW w:w="32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8"/>
              </w:rPr>
              <w:t>Total Loans</w:t>
            </w:r>
          </w:p>
        </w:tc>
        <w:tc>
          <w:tcPr>
            <w:tcW w:w="0" w:type="dxa"/>
            <w:vAlign w:val="bottom"/>
          </w:tcPr>
          <w:p>
            <w:pPr>
              <w:spacing w:after="0"/>
              <w:rPr>
                <w:sz w:val="1"/>
                <w:szCs w:val="1"/>
                <w:color w:val="auto"/>
              </w:rPr>
            </w:pPr>
          </w:p>
        </w:tc>
      </w:tr>
      <w:tr>
        <w:trPr>
          <w:trHeight w:val="193"/>
        </w:trPr>
        <w:tc>
          <w:tcPr>
            <w:tcW w:w="32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1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Over</w:t>
            </w:r>
          </w:p>
        </w:tc>
        <w:tc>
          <w:tcPr>
            <w:tcW w:w="320" w:type="dxa"/>
            <w:vAlign w:val="bottom"/>
          </w:tcPr>
          <w:p>
            <w:pPr>
              <w:spacing w:after="0"/>
              <w:rPr>
                <w:sz w:val="16"/>
                <w:szCs w:val="16"/>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Receivable</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1-4 family first-lien residential mortgages</w:t>
            </w: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2,262</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245,144</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251,373</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Loans held-for-sale</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2,262</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6,229</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250,008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256,237</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1,110</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2,086</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10,261</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13,457</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364,162</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377,619</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953</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1,448</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2,429</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65,173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67,602</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3,022</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6,503</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9,891</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79,909</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89,800</w:t>
            </w: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Paycheck Protection Program loans</w:t>
            </w:r>
          </w:p>
        </w:tc>
        <w:tc>
          <w:tcPr>
            <w:tcW w:w="760" w:type="dxa"/>
            <w:vAlign w:val="bottom"/>
          </w:tcPr>
          <w:p>
            <w:pPr>
              <w:spacing w:after="0"/>
              <w:rPr>
                <w:sz w:val="15"/>
                <w:szCs w:val="15"/>
                <w:color w:val="auto"/>
              </w:rPr>
            </w:pPr>
          </w:p>
        </w:tc>
        <w:tc>
          <w:tcPr>
            <w:tcW w:w="9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Tax exempt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5,085</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2,480</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18,212</w:t>
            </w:r>
          </w:p>
        </w:tc>
        <w:tc>
          <w:tcPr>
            <w:tcW w:w="320" w:type="dxa"/>
            <w:vAlign w:val="bottom"/>
          </w:tcPr>
          <w:p>
            <w:pPr>
              <w:spacing w:after="0"/>
              <w:rPr>
                <w:sz w:val="15"/>
                <w:szCs w:val="15"/>
                <w:color w:val="auto"/>
              </w:rPr>
            </w:pPr>
          </w:p>
        </w:tc>
        <w:tc>
          <w:tcPr>
            <w:tcW w:w="7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25,777</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513,901</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539,678</w:t>
            </w:r>
          </w:p>
        </w:tc>
        <w:tc>
          <w:tcPr>
            <w:tcW w:w="0" w:type="dxa"/>
            <w:vAlign w:val="bottom"/>
          </w:tcPr>
          <w:p>
            <w:pPr>
              <w:spacing w:after="0"/>
              <w:rPr>
                <w:sz w:val="1"/>
                <w:szCs w:val="1"/>
                <w:color w:val="auto"/>
              </w:rPr>
            </w:pPr>
          </w:p>
        </w:tc>
      </w:tr>
      <w:tr>
        <w:trPr>
          <w:trHeight w:val="180"/>
        </w:trPr>
        <w:tc>
          <w:tcPr>
            <w:tcW w:w="32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1,327</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50,621</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51,948</w:t>
            </w:r>
          </w:p>
        </w:tc>
        <w:tc>
          <w:tcPr>
            <w:tcW w:w="0" w:type="dxa"/>
            <w:vAlign w:val="bottom"/>
          </w:tcPr>
          <w:p>
            <w:pPr>
              <w:spacing w:after="0"/>
              <w:rPr>
                <w:sz w:val="1"/>
                <w:szCs w:val="1"/>
                <w:color w:val="auto"/>
              </w:rPr>
            </w:pPr>
          </w:p>
        </w:tc>
      </w:tr>
      <w:tr>
        <w:trPr>
          <w:trHeight w:val="228"/>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consumer</w:t>
            </w:r>
          </w:p>
        </w:tc>
        <w:tc>
          <w:tcPr>
            <w:tcW w:w="7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912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560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296</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1,768</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70,942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72,710</w:t>
            </w: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760" w:type="dxa"/>
            <w:vAlign w:val="bottom"/>
          </w:tcPr>
          <w:p>
            <w:pPr>
              <w:spacing w:after="0"/>
              <w:rPr>
                <w:sz w:val="15"/>
                <w:szCs w:val="15"/>
                <w:color w:val="auto"/>
              </w:rPr>
            </w:pPr>
          </w:p>
        </w:tc>
        <w:tc>
          <w:tcPr>
            <w:tcW w:w="9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1,496</w:t>
            </w:r>
          </w:p>
        </w:tc>
        <w:tc>
          <w:tcPr>
            <w:tcW w:w="18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710</w:t>
            </w:r>
          </w:p>
        </w:tc>
        <w:tc>
          <w:tcPr>
            <w:tcW w:w="32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3,095</w:t>
            </w:r>
          </w:p>
        </w:tc>
        <w:tc>
          <w:tcPr>
            <w:tcW w:w="34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121,563</w:t>
            </w:r>
          </w:p>
        </w:tc>
        <w:tc>
          <w:tcPr>
            <w:tcW w:w="220" w:type="dxa"/>
            <w:vAlign w:val="bottom"/>
          </w:tcPr>
          <w:p>
            <w:pPr>
              <w:spacing w:after="0"/>
              <w:rPr>
                <w:sz w:val="15"/>
                <w:szCs w:val="15"/>
                <w:color w:val="auto"/>
              </w:rPr>
            </w:pPr>
          </w:p>
        </w:tc>
        <w:tc>
          <w:tcPr>
            <w:tcW w:w="8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124,658</w:t>
            </w:r>
          </w:p>
        </w:tc>
        <w:tc>
          <w:tcPr>
            <w:tcW w:w="0" w:type="dxa"/>
            <w:vAlign w:val="bottom"/>
          </w:tcPr>
          <w:p>
            <w:pPr>
              <w:spacing w:after="0"/>
              <w:rPr>
                <w:sz w:val="1"/>
                <w:szCs w:val="1"/>
                <w:color w:val="auto"/>
              </w:rPr>
            </w:pPr>
          </w:p>
        </w:tc>
      </w:tr>
      <w:tr>
        <w:trPr>
          <w:trHeight w:val="220"/>
        </w:trPr>
        <w:tc>
          <w:tcPr>
            <w:tcW w:w="326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7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8,843</w:t>
            </w:r>
          </w:p>
        </w:tc>
        <w:tc>
          <w:tcPr>
            <w:tcW w:w="1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4,174</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35,101</w:t>
            </w:r>
          </w:p>
        </w:tc>
        <w:tc>
          <w:tcPr>
            <w:tcW w:w="3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885,472</w:t>
            </w:r>
          </w:p>
        </w:tc>
        <w:tc>
          <w:tcPr>
            <w:tcW w:w="2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920,573</w:t>
            </w:r>
          </w:p>
        </w:tc>
        <w:tc>
          <w:tcPr>
            <w:tcW w:w="0" w:type="dxa"/>
            <w:vAlign w:val="bottom"/>
          </w:tcPr>
          <w:p>
            <w:pPr>
              <w:spacing w:after="0"/>
              <w:rPr>
                <w:sz w:val="1"/>
                <w:szCs w:val="1"/>
                <w:color w:val="auto"/>
              </w:rPr>
            </w:pPr>
          </w:p>
        </w:tc>
      </w:tr>
      <w:tr>
        <w:trPr>
          <w:trHeight w:val="778"/>
        </w:trPr>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b w:val="1"/>
                <w:bCs w:val="1"/>
                <w:color w:val="auto"/>
                <w:w w:val="97"/>
              </w:rPr>
              <w:t>24</w:t>
            </w:r>
            <w:r>
              <w:rPr>
                <w:rFonts w:ascii="Times New Roman" w:cs="Times New Roman" w:eastAsia="Times New Roman" w:hAnsi="Times New Roman"/>
                <w:sz w:val="16"/>
                <w:szCs w:val="16"/>
                <w:color w:val="auto"/>
                <w:w w:val="97"/>
              </w:rPr>
              <w:t xml:space="preserve">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2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1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amount of interest income recognized on nonaccrual loans and the cost basis of nonaccrual loans, for which there is no ACL, are detailed in the following tables. All loans greater than 90 days past due are classified as nonaccrual.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As of and for the nine months ended</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0" w:type="dxa"/>
            <w:vAlign w:val="bottom"/>
            <w:gridSpan w:val="2"/>
          </w:tcPr>
          <w:p>
            <w:pPr>
              <w:jc w:val="right"/>
              <w:ind w:right="642"/>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Nonaccrual loans without</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3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7"/>
              </w:rPr>
              <w:t>related allowance for credit</w:t>
            </w:r>
          </w:p>
        </w:tc>
        <w:tc>
          <w:tcPr>
            <w:tcW w:w="15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Recognized interest</w:t>
            </w: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1460" w:type="dxa"/>
            <w:vAlign w:val="bottom"/>
          </w:tcPr>
          <w:p>
            <w:pPr>
              <w:spacing w:after="0"/>
              <w:rPr>
                <w:sz w:val="15"/>
                <w:szCs w:val="15"/>
                <w:color w:val="auto"/>
              </w:rPr>
            </w:pP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loss</w:t>
            </w:r>
          </w:p>
        </w:tc>
        <w:tc>
          <w:tcPr>
            <w:tcW w:w="66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income</w:t>
            </w: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3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146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2,226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residential mortgage loans</w:t>
            </w:r>
          </w:p>
        </w:tc>
        <w:tc>
          <w:tcPr>
            <w:tcW w:w="1460" w:type="dxa"/>
            <w:vAlign w:val="bottom"/>
          </w:tcPr>
          <w:p>
            <w:pPr>
              <w:spacing w:after="0"/>
              <w:rPr>
                <w:sz w:val="15"/>
                <w:szCs w:val="15"/>
                <w:color w:val="auto"/>
              </w:rPr>
            </w:pP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2,226</w:t>
            </w: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loans:</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0"/>
        </w:trPr>
        <w:tc>
          <w:tcPr>
            <w:tcW w:w="37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1460" w:type="dxa"/>
            <w:vAlign w:val="bottom"/>
          </w:tcPr>
          <w:p>
            <w:pPr>
              <w:spacing w:after="0"/>
              <w:rPr>
                <w:sz w:val="15"/>
                <w:szCs w:val="15"/>
                <w:color w:val="auto"/>
              </w:rPr>
            </w:pPr>
          </w:p>
        </w:tc>
        <w:tc>
          <w:tcPr>
            <w:tcW w:w="16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14,709</w:t>
            </w: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11,893</w:t>
            </w:r>
          </w:p>
        </w:tc>
        <w:tc>
          <w:tcPr>
            <w:tcW w:w="6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295</w:t>
            </w:r>
          </w:p>
        </w:tc>
      </w:tr>
      <w:tr>
        <w:trPr>
          <w:trHeight w:val="180"/>
        </w:trPr>
        <w:tc>
          <w:tcPr>
            <w:tcW w:w="37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Lines of credit</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260" w:type="dxa"/>
            <w:vAlign w:val="bottom"/>
            <w:shd w:val="clear" w:color="auto" w:fill="CFF0FC"/>
          </w:tcPr>
          <w:p>
            <w:pPr>
              <w:spacing w:after="0"/>
              <w:rPr>
                <w:sz w:val="15"/>
                <w:szCs w:val="15"/>
                <w:color w:val="auto"/>
              </w:rPr>
            </w:pPr>
          </w:p>
        </w:tc>
        <w:tc>
          <w:tcPr>
            <w:tcW w:w="19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948</w:t>
            </w:r>
          </w:p>
        </w:tc>
        <w:tc>
          <w:tcPr>
            <w:tcW w:w="6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180"/>
        </w:trPr>
        <w:tc>
          <w:tcPr>
            <w:tcW w:w="37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commercial and industrial</w:t>
            </w:r>
          </w:p>
        </w:tc>
        <w:tc>
          <w:tcPr>
            <w:tcW w:w="1460" w:type="dxa"/>
            <w:vAlign w:val="bottom"/>
          </w:tcPr>
          <w:p>
            <w:pPr>
              <w:spacing w:after="0"/>
              <w:rPr>
                <w:sz w:val="15"/>
                <w:szCs w:val="15"/>
                <w:color w:val="auto"/>
              </w:rPr>
            </w:pPr>
          </w:p>
        </w:tc>
        <w:tc>
          <w:tcPr>
            <w:tcW w:w="16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4,418</w:t>
            </w: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6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267</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commercial loans</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20,169</w:t>
            </w:r>
          </w:p>
        </w:tc>
        <w:tc>
          <w:tcPr>
            <w:tcW w:w="260" w:type="dxa"/>
            <w:vAlign w:val="bottom"/>
            <w:shd w:val="clear" w:color="auto" w:fill="CFF0FC"/>
          </w:tcPr>
          <w:p>
            <w:pPr>
              <w:spacing w:after="0"/>
              <w:rPr>
                <w:sz w:val="15"/>
                <w:szCs w:val="15"/>
                <w:color w:val="auto"/>
              </w:rPr>
            </w:pPr>
          </w:p>
        </w:tc>
        <w:tc>
          <w:tcPr>
            <w:tcW w:w="19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12,854</w:t>
            </w:r>
          </w:p>
        </w:tc>
        <w:tc>
          <w:tcPr>
            <w:tcW w:w="6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665</w:t>
            </w: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Consumer loans:</w:t>
            </w:r>
          </w:p>
        </w:tc>
        <w:tc>
          <w:tcPr>
            <w:tcW w:w="1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61"/>
        </w:trPr>
        <w:tc>
          <w:tcPr>
            <w:tcW w:w="37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80"/>
        </w:trPr>
        <w:tc>
          <w:tcPr>
            <w:tcW w:w="37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Home equity and junior liens</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471</w:t>
            </w:r>
          </w:p>
        </w:tc>
        <w:tc>
          <w:tcPr>
            <w:tcW w:w="260" w:type="dxa"/>
            <w:vAlign w:val="bottom"/>
            <w:shd w:val="clear" w:color="auto" w:fill="CFF0FC"/>
          </w:tcPr>
          <w:p>
            <w:pPr>
              <w:spacing w:after="0"/>
              <w:rPr>
                <w:sz w:val="15"/>
                <w:szCs w:val="15"/>
                <w:color w:val="auto"/>
              </w:rPr>
            </w:pPr>
          </w:p>
        </w:tc>
        <w:tc>
          <w:tcPr>
            <w:tcW w:w="19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37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consumer</w:t>
            </w:r>
          </w:p>
        </w:tc>
        <w:tc>
          <w:tcPr>
            <w:tcW w:w="1460" w:type="dxa"/>
            <w:vAlign w:val="bottom"/>
          </w:tcPr>
          <w:p>
            <w:pPr>
              <w:spacing w:after="0"/>
              <w:rPr>
                <w:sz w:val="15"/>
                <w:szCs w:val="15"/>
                <w:color w:val="auto"/>
              </w:rPr>
            </w:pPr>
          </w:p>
        </w:tc>
        <w:tc>
          <w:tcPr>
            <w:tcW w:w="16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5"/>
                <w:szCs w:val="15"/>
                <w:color w:val="auto"/>
              </w:rPr>
            </w:pPr>
          </w:p>
        </w:tc>
        <w:tc>
          <w:tcPr>
            <w:tcW w:w="194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consumer loans</w:t>
            </w:r>
          </w:p>
        </w:tc>
        <w:tc>
          <w:tcPr>
            <w:tcW w:w="146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910</w:t>
            </w:r>
          </w:p>
        </w:tc>
        <w:tc>
          <w:tcPr>
            <w:tcW w:w="260" w:type="dxa"/>
            <w:vAlign w:val="bottom"/>
            <w:shd w:val="clear" w:color="auto" w:fill="CFF0FC"/>
          </w:tcPr>
          <w:p>
            <w:pPr>
              <w:spacing w:after="0"/>
              <w:rPr>
                <w:sz w:val="15"/>
                <w:szCs w:val="15"/>
                <w:color w:val="auto"/>
              </w:rPr>
            </w:pPr>
          </w:p>
        </w:tc>
        <w:tc>
          <w:tcPr>
            <w:tcW w:w="19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180"/>
        </w:trPr>
        <w:tc>
          <w:tcPr>
            <w:tcW w:w="372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nonaccrual loans</w:t>
            </w:r>
          </w:p>
        </w:tc>
        <w:tc>
          <w:tcPr>
            <w:tcW w:w="1460" w:type="dxa"/>
            <w:vAlign w:val="bottom"/>
            <w:tcBorders>
              <w:bottom w:val="single" w:sz="8" w:color="auto"/>
            </w:tcBorders>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23,305</w:t>
            </w:r>
          </w:p>
        </w:tc>
        <w:tc>
          <w:tcPr>
            <w:tcW w:w="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12,854</w:t>
            </w:r>
          </w:p>
        </w:tc>
        <w:tc>
          <w:tcPr>
            <w:tcW w:w="660" w:type="dxa"/>
            <w:vAlign w:val="bottom"/>
            <w:tcBorders>
              <w:bottom w:val="single" w:sz="8" w:color="auto"/>
            </w:tcBorders>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815</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mortgage loans:</w:t>
      </w:r>
    </w:p>
    <w:p>
      <w:pPr>
        <w:ind w:left="40"/>
        <w:spacing w:after="0"/>
        <w:rPr>
          <w:sz w:val="20"/>
          <w:szCs w:val="20"/>
          <w:color w:val="auto"/>
        </w:rPr>
      </w:pPr>
      <w:r>
        <w:rPr>
          <w:rFonts w:ascii="Times New Roman" w:cs="Times New Roman" w:eastAsia="Times New Roman" w:hAnsi="Times New Roman"/>
          <w:sz w:val="14"/>
          <w:szCs w:val="14"/>
          <w:color w:val="auto"/>
        </w:rPr>
        <w:t>1-4 family first-lien residential mortgages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residential mortgage loans</w:t>
      </w:r>
    </w:p>
    <w:p>
      <w:pPr>
        <w:spacing w:after="0" w:line="234" w:lineRule="auto"/>
        <w:rPr>
          <w:sz w:val="20"/>
          <w:szCs w:val="20"/>
          <w:color w:val="auto"/>
        </w:rPr>
      </w:pPr>
      <w:r>
        <w:rPr>
          <w:rFonts w:ascii="Times New Roman" w:cs="Times New Roman" w:eastAsia="Times New Roman" w:hAnsi="Times New Roman"/>
          <w:sz w:val="16"/>
          <w:szCs w:val="16"/>
          <w:color w:val="auto"/>
        </w:rPr>
        <w:t>Commercial loans:</w:t>
      </w:r>
    </w:p>
    <w:p>
      <w:pPr>
        <w:ind w:left="40"/>
        <w:spacing w:after="0" w:line="235" w:lineRule="auto"/>
        <w:rPr>
          <w:sz w:val="20"/>
          <w:szCs w:val="20"/>
          <w:color w:val="auto"/>
        </w:rPr>
      </w:pPr>
      <w:r>
        <w:rPr>
          <w:rFonts w:ascii="Times New Roman" w:cs="Times New Roman" w:eastAsia="Times New Roman" w:hAnsi="Times New Roman"/>
          <w:sz w:val="16"/>
          <w:szCs w:val="16"/>
          <w:color w:val="auto"/>
        </w:rPr>
        <w:t>Real estate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Lines of credit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commercial and industrial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commercial loans</w:t>
      </w:r>
    </w:p>
    <w:p>
      <w:pPr>
        <w:spacing w:after="0" w:line="234" w:lineRule="auto"/>
        <w:rPr>
          <w:sz w:val="20"/>
          <w:szCs w:val="20"/>
          <w:color w:val="auto"/>
        </w:rPr>
      </w:pPr>
      <w:r>
        <w:rPr>
          <w:rFonts w:ascii="Times New Roman" w:cs="Times New Roman" w:eastAsia="Times New Roman" w:hAnsi="Times New Roman"/>
          <w:sz w:val="16"/>
          <w:szCs w:val="16"/>
          <w:color w:val="auto"/>
        </w:rPr>
        <w:t>Consumer loans:</w:t>
      </w:r>
    </w:p>
    <w:p>
      <w:pPr>
        <w:ind w:left="40"/>
        <w:spacing w:after="0" w:line="235" w:lineRule="auto"/>
        <w:rPr>
          <w:sz w:val="20"/>
          <w:szCs w:val="20"/>
          <w:color w:val="auto"/>
        </w:rPr>
      </w:pPr>
      <w:r>
        <w:rPr>
          <w:rFonts w:ascii="Times New Roman" w:cs="Times New Roman" w:eastAsia="Times New Roman" w:hAnsi="Times New Roman"/>
          <w:sz w:val="16"/>
          <w:szCs w:val="16"/>
          <w:color w:val="auto"/>
        </w:rPr>
        <w:t>Home equity and junior liens</w:t>
      </w:r>
    </w:p>
    <w:p>
      <w:pPr>
        <w:ind w:left="40"/>
        <w:spacing w:after="0" w:line="235" w:lineRule="auto"/>
        <w:rPr>
          <w:sz w:val="20"/>
          <w:szCs w:val="20"/>
          <w:color w:val="auto"/>
        </w:rPr>
      </w:pPr>
      <w:r>
        <w:rPr>
          <w:rFonts w:ascii="Times New Roman" w:cs="Times New Roman" w:eastAsia="Times New Roman" w:hAnsi="Times New Roman"/>
          <w:sz w:val="16"/>
          <w:szCs w:val="16"/>
          <w:color w:val="auto"/>
        </w:rPr>
        <w:t>Other consumer</w:t>
      </w:r>
    </w:p>
    <w:p>
      <w:pPr>
        <w:spacing w:after="0"/>
        <w:rPr>
          <w:sz w:val="20"/>
          <w:szCs w:val="20"/>
          <w:color w:val="auto"/>
        </w:rPr>
      </w:pPr>
      <w:r>
        <w:rPr>
          <w:rFonts w:ascii="Times New Roman" w:cs="Times New Roman" w:eastAsia="Times New Roman" w:hAnsi="Times New Roman"/>
          <w:sz w:val="16"/>
          <w:szCs w:val="16"/>
          <w:color w:val="auto"/>
        </w:rPr>
        <w:t>Total consumer loans</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Total nonaccrual loans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0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color w:val="auto"/>
                <w:w w:val="99"/>
              </w:rPr>
              <w:t>As of and for the year ended</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w w:val="95"/>
              </w:rPr>
              <w:t>December 31, 2024</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Nonaccrual loans without</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99"/>
              </w:rPr>
              <w:t>related allowance for credit</w:t>
            </w:r>
          </w:p>
        </w:tc>
        <w:tc>
          <w:tcPr>
            <w:tcW w:w="1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Recognized interest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Nonaccrual Loans</w:t>
            </w:r>
          </w:p>
        </w:tc>
        <w:tc>
          <w:tcPr>
            <w:tcW w:w="340" w:type="dxa"/>
            <w:vAlign w:val="bottom"/>
          </w:tcPr>
          <w:p>
            <w:pPr>
              <w:spacing w:after="0"/>
              <w:rPr>
                <w:sz w:val="17"/>
                <w:szCs w:val="17"/>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loss</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337"/>
        </w:trPr>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641</w:t>
            </w:r>
          </w:p>
        </w:tc>
        <w:tc>
          <w:tcPr>
            <w:tcW w:w="6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spacing w:after="0"/>
              <w:rPr>
                <w:sz w:val="17"/>
                <w:szCs w:val="17"/>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641</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337"/>
        </w:trPr>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340" w:type="dxa"/>
            <w:vAlign w:val="bottom"/>
          </w:tcPr>
          <w:p>
            <w:pPr>
              <w:spacing w:after="0"/>
              <w:rPr>
                <w:sz w:val="24"/>
                <w:szCs w:val="24"/>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4,537</w:t>
            </w: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1,448</w:t>
            </w:r>
          </w:p>
        </w:tc>
        <w:tc>
          <w:tcPr>
            <w:tcW w:w="340" w:type="dxa"/>
            <w:vAlign w:val="bottom"/>
          </w:tcPr>
          <w:p>
            <w:pPr>
              <w:spacing w:after="0"/>
              <w:rPr>
                <w:sz w:val="15"/>
                <w:szCs w:val="15"/>
                <w:color w:val="auto"/>
              </w:rPr>
            </w:pPr>
          </w:p>
        </w:tc>
        <w:tc>
          <w:tcPr>
            <w:tcW w:w="1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1,255</w:t>
            </w:r>
          </w:p>
        </w:tc>
        <w:tc>
          <w:tcPr>
            <w:tcW w:w="6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340" w:type="dxa"/>
            <w:vAlign w:val="bottom"/>
          </w:tcPr>
          <w:p>
            <w:pPr>
              <w:spacing w:after="0"/>
              <w:rPr>
                <w:sz w:val="18"/>
                <w:szCs w:val="18"/>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1,921</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340" w:type="dxa"/>
            <w:vAlign w:val="bottom"/>
          </w:tcPr>
          <w:p>
            <w:pPr>
              <w:spacing w:after="0"/>
              <w:rPr>
                <w:sz w:val="17"/>
                <w:szCs w:val="17"/>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7,713</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337"/>
        </w:trPr>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340" w:type="dxa"/>
            <w:vAlign w:val="bottom"/>
          </w:tcPr>
          <w:p>
            <w:pPr>
              <w:spacing w:after="0"/>
              <w:rPr>
                <w:sz w:val="24"/>
                <w:szCs w:val="24"/>
                <w:color w:val="auto"/>
              </w:rPr>
            </w:pP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340" w:type="dxa"/>
            <w:vAlign w:val="bottom"/>
          </w:tcPr>
          <w:p>
            <w:pPr>
              <w:spacing w:after="0"/>
              <w:rPr>
                <w:sz w:val="15"/>
                <w:szCs w:val="15"/>
                <w:color w:val="auto"/>
              </w:rPr>
            </w:pPr>
          </w:p>
        </w:tc>
        <w:tc>
          <w:tcPr>
            <w:tcW w:w="1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0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400" w:type="dxa"/>
            <w:vAlign w:val="bottom"/>
            <w:vMerge w:val="continue"/>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340" w:type="dxa"/>
            <w:vAlign w:val="bottom"/>
            <w:vMerge w:val="continue"/>
          </w:tcPr>
          <w:p>
            <w:pPr>
              <w:spacing w:after="0"/>
              <w:rPr>
                <w:sz w:val="15"/>
                <w:szCs w:val="15"/>
                <w:color w:val="auto"/>
              </w:rPr>
            </w:pPr>
          </w:p>
        </w:tc>
        <w:tc>
          <w:tcPr>
            <w:tcW w:w="196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8,354</w:t>
            </w:r>
          </w:p>
        </w:tc>
        <w:tc>
          <w:tcPr>
            <w:tcW w:w="660" w:type="dxa"/>
            <w:vAlign w:val="bottom"/>
            <w:vMerge w:val="continue"/>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72"/>
        </w:trPr>
        <w:tc>
          <w:tcPr>
            <w:tcW w:w="4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-1446530</wp:posOffset>
            </wp:positionV>
            <wp:extent cx="6707505"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-1217930</wp:posOffset>
            </wp:positionV>
            <wp:extent cx="670750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-988695</wp:posOffset>
            </wp:positionV>
            <wp:extent cx="670750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-737235</wp:posOffset>
            </wp:positionV>
            <wp:extent cx="6707505"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-508635</wp:posOffset>
            </wp:positionV>
            <wp:extent cx="670750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-280035</wp:posOffset>
            </wp:positionV>
            <wp:extent cx="670750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-5715</wp:posOffset>
            </wp:positionV>
            <wp:extent cx="67075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8890</wp:posOffset>
            </wp:positionV>
            <wp:extent cx="67075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4060" w:space="720"/>
            <w:col w:w="5780"/>
          </w:cols>
          <w:pgMar w:left="660" w:top="1440" w:right="680" w:bottom="1440" w:gutter="0" w:footer="0" w:header="0"/>
          <w:type w:val="continuous"/>
        </w:sectPr>
      </w:pPr>
    </w:p>
    <w:p>
      <w:pPr>
        <w:spacing w:after="0" w:line="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September 30, 2025, the Bank's 73 nonperforming loans represented 2.6% of total loans, with an aggregate outstanding balance of $23.3 million, as compared to 93 loans, representing 2.4% of total loans, with an aggregate outstanding balance of $22.1 million at December 31, 2024. This increase in nonaccrual balances of $1.2 million was primarily the result of loans associated with two local commercial relationships that moved to nonperforming status.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25</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6" w:name="page27"/>
    <w:bookmarkEnd w:id="26"/>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Modified With Borrowers Experiencing Financial Difficulty</w:t>
      </w:r>
    </w:p>
    <w:p>
      <w:pPr>
        <w:spacing w:after="0" w:line="1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consecutive months.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impact of commercial loan modifications made to borrowers experiencing financial difficult during the three and nine months ended September 30, 2025 related to a total of three borrowers that were granted either maturity extensions or an interest modification. The Company closely monitors the performance of loans that are modified to borrowers experiencing financial difficulty to understand the effectiveness of its modification efforts. The payment status of modified loans were current during the three months ending September 30, 2025. There were no loan modifications made to borrowers experiencing financial difficulty during the three or nine months ended September 30, 2024.</w:t>
      </w:r>
    </w:p>
    <w:p>
      <w:pPr>
        <w:spacing w:after="0" w:line="6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loans for the three and nine months ended September 30, 2025 and September 30, 2024 that were experiencing financial difficulty and modified, by class and by type of modification.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00" w:type="dxa"/>
            <w:vAlign w:val="bottom"/>
            <w:gridSpan w:val="2"/>
          </w:tcPr>
          <w:p>
            <w:pPr>
              <w:jc w:val="right"/>
              <w:ind w:right="622"/>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400" w:type="dxa"/>
            <w:vAlign w:val="bottom"/>
          </w:tcPr>
          <w:p>
            <w:pPr>
              <w:spacing w:after="0"/>
              <w:rPr>
                <w:sz w:val="15"/>
                <w:szCs w:val="15"/>
                <w:color w:val="auto"/>
              </w:rPr>
            </w:pPr>
          </w:p>
        </w:tc>
        <w:tc>
          <w:tcPr>
            <w:tcW w:w="3400" w:type="dxa"/>
            <w:vAlign w:val="bottom"/>
            <w:gridSpan w:val="2"/>
          </w:tcPr>
          <w:p>
            <w:pPr>
              <w:jc w:val="right"/>
              <w:ind w:right="522"/>
              <w:spacing w:after="0"/>
              <w:rPr>
                <w:sz w:val="20"/>
                <w:szCs w:val="20"/>
                <w:color w:val="auto"/>
              </w:rPr>
            </w:pPr>
            <w:r>
              <w:rPr>
                <w:rFonts w:ascii="Times New Roman" w:cs="Times New Roman" w:eastAsia="Times New Roman" w:hAnsi="Times New Roman"/>
                <w:sz w:val="16"/>
                <w:szCs w:val="16"/>
                <w:color w:val="auto"/>
              </w:rPr>
              <w:t>Three Months Ended September 30, 2024</w:t>
            </w:r>
          </w:p>
        </w:tc>
      </w:tr>
      <w:tr>
        <w:trPr>
          <w:trHeight w:val="180"/>
        </w:trPr>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Term</w:t>
            </w:r>
          </w:p>
        </w:tc>
        <w:tc>
          <w:tcPr>
            <w:tcW w:w="18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Total Class of</w:t>
            </w:r>
          </w:p>
        </w:tc>
        <w:tc>
          <w:tcPr>
            <w:tcW w:w="400" w:type="dxa"/>
            <w:vAlign w:val="bottom"/>
          </w:tcPr>
          <w:p>
            <w:pPr>
              <w:spacing w:after="0"/>
              <w:rPr>
                <w:sz w:val="15"/>
                <w:szCs w:val="15"/>
                <w:color w:val="auto"/>
              </w:rPr>
            </w:pPr>
          </w:p>
        </w:tc>
        <w:tc>
          <w:tcPr>
            <w:tcW w:w="192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Term</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Total Class of</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Extension</w:t>
            </w:r>
          </w:p>
        </w:tc>
        <w:tc>
          <w:tcPr>
            <w:tcW w:w="186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Receivable</w:t>
            </w:r>
          </w:p>
        </w:tc>
        <w:tc>
          <w:tcPr>
            <w:tcW w:w="400" w:type="dxa"/>
            <w:vAlign w:val="bottom"/>
          </w:tcPr>
          <w:p>
            <w:pPr>
              <w:spacing w:after="0"/>
              <w:rPr>
                <w:sz w:val="15"/>
                <w:szCs w:val="15"/>
                <w:color w:val="auto"/>
              </w:rPr>
            </w:pPr>
          </w:p>
        </w:tc>
        <w:tc>
          <w:tcPr>
            <w:tcW w:w="192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Extension</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Receivable</w:t>
            </w:r>
          </w:p>
        </w:tc>
      </w:tr>
      <w:tr>
        <w:trPr>
          <w:trHeight w:val="19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9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92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92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3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4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FF0FC"/>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r>
      <w:tr>
        <w:trPr>
          <w:trHeight w:val="479"/>
        </w:trPr>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gridSpan w:val="2"/>
          </w:tcPr>
          <w:p>
            <w:pPr>
              <w:jc w:val="right"/>
              <w:ind w:right="662"/>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400" w:type="dxa"/>
            <w:vAlign w:val="bottom"/>
          </w:tcPr>
          <w:p>
            <w:pPr>
              <w:spacing w:after="0"/>
              <w:rPr>
                <w:sz w:val="24"/>
                <w:szCs w:val="24"/>
                <w:color w:val="auto"/>
              </w:rPr>
            </w:pPr>
          </w:p>
        </w:tc>
        <w:tc>
          <w:tcPr>
            <w:tcW w:w="3400" w:type="dxa"/>
            <w:vAlign w:val="bottom"/>
            <w:gridSpan w:val="2"/>
          </w:tcPr>
          <w:p>
            <w:pPr>
              <w:jc w:val="right"/>
              <w:ind w:right="562"/>
              <w:spacing w:after="0"/>
              <w:rPr>
                <w:sz w:val="20"/>
                <w:szCs w:val="20"/>
                <w:color w:val="auto"/>
              </w:rPr>
            </w:pPr>
            <w:r>
              <w:rPr>
                <w:rFonts w:ascii="Times New Roman" w:cs="Times New Roman" w:eastAsia="Times New Roman" w:hAnsi="Times New Roman"/>
                <w:sz w:val="16"/>
                <w:szCs w:val="16"/>
                <w:color w:val="auto"/>
              </w:rPr>
              <w:t>Nine Months Ended September 30, 2024</w:t>
            </w:r>
          </w:p>
        </w:tc>
      </w:tr>
      <w:tr>
        <w:trPr>
          <w:trHeight w:val="180"/>
        </w:trPr>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Term</w:t>
            </w:r>
          </w:p>
        </w:tc>
        <w:tc>
          <w:tcPr>
            <w:tcW w:w="18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Total Class of</w:t>
            </w:r>
          </w:p>
        </w:tc>
        <w:tc>
          <w:tcPr>
            <w:tcW w:w="400" w:type="dxa"/>
            <w:vAlign w:val="bottom"/>
          </w:tcPr>
          <w:p>
            <w:pPr>
              <w:spacing w:after="0"/>
              <w:rPr>
                <w:sz w:val="15"/>
                <w:szCs w:val="15"/>
                <w:color w:val="auto"/>
              </w:rPr>
            </w:pPr>
          </w:p>
        </w:tc>
        <w:tc>
          <w:tcPr>
            <w:tcW w:w="19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Term</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Total Class of</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Extension</w:t>
            </w:r>
          </w:p>
        </w:tc>
        <w:tc>
          <w:tcPr>
            <w:tcW w:w="18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Receivable</w:t>
            </w:r>
          </w:p>
        </w:tc>
        <w:tc>
          <w:tcPr>
            <w:tcW w:w="40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Extension</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Receivable</w:t>
            </w:r>
          </w:p>
        </w:tc>
      </w:tr>
      <w:tr>
        <w:trPr>
          <w:trHeight w:val="19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9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2,367</w:t>
            </w:r>
          </w:p>
        </w:tc>
        <w:tc>
          <w:tcPr>
            <w:tcW w:w="1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40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920" w:type="dxa"/>
            <w:vAlign w:val="bottom"/>
          </w:tcPr>
          <w:p>
            <w:pPr>
              <w:spacing w:after="0"/>
              <w:rPr>
                <w:sz w:val="15"/>
                <w:szCs w:val="15"/>
                <w:color w:val="auto"/>
              </w:rPr>
            </w:pPr>
          </w:p>
        </w:tc>
        <w:tc>
          <w:tcPr>
            <w:tcW w:w="16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3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2,367</w:t>
            </w:r>
          </w:p>
        </w:tc>
        <w:tc>
          <w:tcPr>
            <w:tcW w:w="18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40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r>
      <w:tr>
        <w:trPr>
          <w:trHeight w:val="346"/>
        </w:trPr>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ind w:right="122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26</w:t>
            </w:r>
            <w:r>
              <w:rPr>
                <w:rFonts w:ascii="Times New Roman" w:cs="Times New Roman" w:eastAsia="Times New Roman" w:hAnsi="Times New Roman"/>
                <w:sz w:val="16"/>
                <w:szCs w:val="16"/>
                <w:color w:val="auto"/>
              </w:rPr>
              <w:t xml:space="preserve"> -</w:t>
            </w: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74"/>
        </w:trPr>
        <w:tc>
          <w:tcPr>
            <w:tcW w:w="23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4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360" w:type="dxa"/>
            <w:vAlign w:val="bottom"/>
          </w:tcPr>
          <w:p>
            <w:pPr>
              <w:spacing w:after="0"/>
              <w:rPr>
                <w:sz w:val="16"/>
                <w:szCs w:val="16"/>
                <w:color w:val="auto"/>
              </w:rPr>
            </w:pPr>
          </w:p>
        </w:tc>
        <w:tc>
          <w:tcPr>
            <w:tcW w:w="3400" w:type="dxa"/>
            <w:vAlign w:val="bottom"/>
            <w:gridSpan w:val="2"/>
          </w:tcPr>
          <w:p>
            <w:pPr>
              <w:jc w:val="right"/>
              <w:ind w:right="502"/>
              <w:spacing w:after="0"/>
              <w:rPr>
                <w:sz w:val="20"/>
                <w:szCs w:val="20"/>
                <w:color w:val="auto"/>
              </w:rPr>
            </w:pPr>
            <w:r>
              <w:rPr>
                <w:rFonts w:ascii="Times New Roman" w:cs="Times New Roman" w:eastAsia="Times New Roman" w:hAnsi="Times New Roman"/>
                <w:sz w:val="16"/>
                <w:szCs w:val="16"/>
                <w:color w:val="auto"/>
              </w:rPr>
              <w:t>Three Months Ended September 30, 2024</w:t>
            </w:r>
          </w:p>
        </w:tc>
      </w:tr>
      <w:tr>
        <w:trPr>
          <w:trHeight w:val="180"/>
        </w:trPr>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0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Interest Rate</w:t>
            </w:r>
          </w:p>
        </w:tc>
        <w:tc>
          <w:tcPr>
            <w:tcW w:w="164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Total Class of</w:t>
            </w:r>
          </w:p>
        </w:tc>
        <w:tc>
          <w:tcPr>
            <w:tcW w:w="360" w:type="dxa"/>
            <w:vAlign w:val="bottom"/>
          </w:tcPr>
          <w:p>
            <w:pPr>
              <w:spacing w:after="0"/>
              <w:rPr>
                <w:sz w:val="15"/>
                <w:szCs w:val="15"/>
                <w:color w:val="auto"/>
              </w:rPr>
            </w:pPr>
          </w:p>
        </w:tc>
        <w:tc>
          <w:tcPr>
            <w:tcW w:w="192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color w:val="auto"/>
              </w:rPr>
              <w:t>Interest Rate</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Total Class of</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tcPr>
          <w:p>
            <w:pPr>
              <w:spacing w:after="0"/>
              <w:rPr>
                <w:sz w:val="15"/>
                <w:szCs w:val="15"/>
                <w:color w:val="auto"/>
              </w:rPr>
            </w:pPr>
          </w:p>
        </w:tc>
        <w:tc>
          <w:tcPr>
            <w:tcW w:w="190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Reduction</w:t>
            </w:r>
          </w:p>
        </w:tc>
        <w:tc>
          <w:tcPr>
            <w:tcW w:w="16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Receivable</w:t>
            </w:r>
          </w:p>
        </w:tc>
        <w:tc>
          <w:tcPr>
            <w:tcW w:w="360" w:type="dxa"/>
            <w:vAlign w:val="bottom"/>
          </w:tcPr>
          <w:p>
            <w:pPr>
              <w:spacing w:after="0"/>
              <w:rPr>
                <w:sz w:val="15"/>
                <w:szCs w:val="15"/>
                <w:color w:val="auto"/>
              </w:rPr>
            </w:pPr>
          </w:p>
        </w:tc>
        <w:tc>
          <w:tcPr>
            <w:tcW w:w="19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Reduction</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Receivable</w:t>
            </w:r>
          </w:p>
        </w:tc>
      </w:tr>
      <w:tr>
        <w:trPr>
          <w:trHeight w:val="19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920" w:type="dxa"/>
            <w:vAlign w:val="bottom"/>
            <w:shd w:val="clear" w:color="auto" w:fill="CFF0FC"/>
          </w:tcPr>
          <w:p>
            <w:pPr>
              <w:spacing w:after="0"/>
              <w:rPr>
                <w:sz w:val="15"/>
                <w:szCs w:val="15"/>
                <w:color w:val="auto"/>
              </w:rPr>
            </w:pPr>
          </w:p>
        </w:tc>
        <w:tc>
          <w:tcPr>
            <w:tcW w:w="190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920" w:type="dxa"/>
            <w:vAlign w:val="bottom"/>
          </w:tcPr>
          <w:p>
            <w:pPr>
              <w:spacing w:after="0"/>
              <w:rPr>
                <w:sz w:val="15"/>
                <w:szCs w:val="15"/>
                <w:color w:val="auto"/>
              </w:rPr>
            </w:pPr>
          </w:p>
        </w:tc>
        <w:tc>
          <w:tcPr>
            <w:tcW w:w="190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9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shd w:val="clear" w:color="auto" w:fill="CFF0FC"/>
          </w:tcPr>
          <w:p>
            <w:pPr>
              <w:spacing w:after="0"/>
              <w:rPr>
                <w:sz w:val="15"/>
                <w:szCs w:val="15"/>
                <w:color w:val="auto"/>
              </w:rPr>
            </w:pPr>
          </w:p>
        </w:tc>
        <w:tc>
          <w:tcPr>
            <w:tcW w:w="190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16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6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920" w:type="dxa"/>
            <w:vAlign w:val="bottom"/>
          </w:tcPr>
          <w:p>
            <w:pPr>
              <w:spacing w:after="0"/>
              <w:rPr>
                <w:sz w:val="15"/>
                <w:szCs w:val="15"/>
                <w:color w:val="auto"/>
              </w:rPr>
            </w:pPr>
          </w:p>
        </w:tc>
        <w:tc>
          <w:tcPr>
            <w:tcW w:w="190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9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3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16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r>
      <w:tr>
        <w:trPr>
          <w:trHeight w:val="599"/>
        </w:trPr>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40" w:type="dxa"/>
            <w:vAlign w:val="bottom"/>
            <w:gridSpan w:val="2"/>
          </w:tcPr>
          <w:p>
            <w:pPr>
              <w:jc w:val="right"/>
              <w:ind w:right="702"/>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360" w:type="dxa"/>
            <w:vAlign w:val="bottom"/>
          </w:tcPr>
          <w:p>
            <w:pPr>
              <w:spacing w:after="0"/>
              <w:rPr>
                <w:sz w:val="24"/>
                <w:szCs w:val="24"/>
                <w:color w:val="auto"/>
              </w:rPr>
            </w:pPr>
          </w:p>
        </w:tc>
        <w:tc>
          <w:tcPr>
            <w:tcW w:w="3400" w:type="dxa"/>
            <w:vAlign w:val="bottom"/>
            <w:gridSpan w:val="2"/>
          </w:tcPr>
          <w:p>
            <w:pPr>
              <w:jc w:val="right"/>
              <w:ind w:right="542"/>
              <w:spacing w:after="0"/>
              <w:rPr>
                <w:sz w:val="20"/>
                <w:szCs w:val="20"/>
                <w:color w:val="auto"/>
              </w:rPr>
            </w:pPr>
            <w:r>
              <w:rPr>
                <w:rFonts w:ascii="Times New Roman" w:cs="Times New Roman" w:eastAsia="Times New Roman" w:hAnsi="Times New Roman"/>
                <w:sz w:val="16"/>
                <w:szCs w:val="16"/>
                <w:color w:val="auto"/>
              </w:rPr>
              <w:t>Nine Months Ended September 30, 2024</w:t>
            </w:r>
          </w:p>
        </w:tc>
      </w:tr>
      <w:tr>
        <w:trPr>
          <w:trHeight w:val="180"/>
        </w:trPr>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0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color w:val="auto"/>
              </w:rPr>
              <w:t>Interest Rate</w:t>
            </w:r>
          </w:p>
        </w:tc>
        <w:tc>
          <w:tcPr>
            <w:tcW w:w="1640" w:type="dxa"/>
            <w:vAlign w:val="bottom"/>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Total Class of</w:t>
            </w:r>
          </w:p>
        </w:tc>
        <w:tc>
          <w:tcPr>
            <w:tcW w:w="360" w:type="dxa"/>
            <w:vAlign w:val="bottom"/>
          </w:tcPr>
          <w:p>
            <w:pPr>
              <w:spacing w:after="0"/>
              <w:rPr>
                <w:sz w:val="15"/>
                <w:szCs w:val="15"/>
                <w:color w:val="auto"/>
              </w:rPr>
            </w:pPr>
          </w:p>
        </w:tc>
        <w:tc>
          <w:tcPr>
            <w:tcW w:w="19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Interest Rate</w:t>
            </w:r>
          </w:p>
        </w:tc>
        <w:tc>
          <w:tcPr>
            <w:tcW w:w="14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Total Class of</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tcPr>
          <w:p>
            <w:pPr>
              <w:spacing w:after="0"/>
              <w:rPr>
                <w:sz w:val="15"/>
                <w:szCs w:val="15"/>
                <w:color w:val="auto"/>
              </w:rPr>
            </w:pPr>
          </w:p>
        </w:tc>
        <w:tc>
          <w:tcPr>
            <w:tcW w:w="190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Reduction</w:t>
            </w:r>
          </w:p>
        </w:tc>
        <w:tc>
          <w:tcPr>
            <w:tcW w:w="164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Receivable</w:t>
            </w:r>
          </w:p>
        </w:tc>
        <w:tc>
          <w:tcPr>
            <w:tcW w:w="36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Reduction</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Receivable</w:t>
            </w:r>
          </w:p>
        </w:tc>
      </w:tr>
      <w:tr>
        <w:trPr>
          <w:trHeight w:val="19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920" w:type="dxa"/>
            <w:vAlign w:val="bottom"/>
            <w:shd w:val="clear" w:color="auto" w:fill="CFF0FC"/>
          </w:tcPr>
          <w:p>
            <w:pPr>
              <w:spacing w:after="0"/>
              <w:rPr>
                <w:sz w:val="15"/>
                <w:szCs w:val="15"/>
                <w:color w:val="auto"/>
              </w:rPr>
            </w:pPr>
          </w:p>
        </w:tc>
        <w:tc>
          <w:tcPr>
            <w:tcW w:w="190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11,495</w:t>
            </w:r>
          </w:p>
        </w:tc>
        <w:tc>
          <w:tcPr>
            <w:tcW w:w="16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36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lines of credit</w:t>
            </w:r>
          </w:p>
        </w:tc>
        <w:tc>
          <w:tcPr>
            <w:tcW w:w="920" w:type="dxa"/>
            <w:vAlign w:val="bottom"/>
          </w:tcPr>
          <w:p>
            <w:pPr>
              <w:spacing w:after="0"/>
              <w:rPr>
                <w:sz w:val="15"/>
                <w:szCs w:val="15"/>
                <w:color w:val="auto"/>
              </w:rPr>
            </w:pPr>
          </w:p>
        </w:tc>
        <w:tc>
          <w:tcPr>
            <w:tcW w:w="190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shd w:val="clear" w:color="auto" w:fill="CFF0FC"/>
          </w:tcPr>
          <w:p>
            <w:pPr>
              <w:spacing w:after="0"/>
              <w:rPr>
                <w:sz w:val="15"/>
                <w:szCs w:val="15"/>
                <w:color w:val="auto"/>
              </w:rPr>
            </w:pPr>
          </w:p>
        </w:tc>
        <w:tc>
          <w:tcPr>
            <w:tcW w:w="190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16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6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and consumer</w:t>
            </w:r>
          </w:p>
        </w:tc>
        <w:tc>
          <w:tcPr>
            <w:tcW w:w="920" w:type="dxa"/>
            <w:vAlign w:val="bottom"/>
          </w:tcPr>
          <w:p>
            <w:pPr>
              <w:spacing w:after="0"/>
              <w:rPr>
                <w:sz w:val="15"/>
                <w:szCs w:val="15"/>
                <w:color w:val="auto"/>
              </w:rPr>
            </w:pPr>
          </w:p>
        </w:tc>
        <w:tc>
          <w:tcPr>
            <w:tcW w:w="190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34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rPr>
              <w:t>12,832</w:t>
            </w:r>
          </w:p>
        </w:tc>
        <w:tc>
          <w:tcPr>
            <w:tcW w:w="16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Allowance for Credit Losses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 Company recorded $3.5 million in provision for credit losses ("PCL") for the three month period ended September 30, 2025, as compared to $9.0 million for the three month period ended September 30, 2024. For the first nine months of 2025, the Company recorded $5.1 million in provision for credit losses compared to $10.0 million in the first nine months of the prior year.</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provision for credit losses for the third quarter of 2025 was due to an increase in credit loss reserves primarily associated with two local commercial relationships that moved to nonperforming status, in addition to $670,000 of net charge offs during the period. The Company continued to undertake proactive measures in the third quarter of 2025 to mitigate credit risk and enhance asset quality metrics for the long term, including the initiation of a comprehensive loan portfolio review in September 2025, encompassing performing and nonperforming loans of $500,000 or more, representing approximately 90% of all outstanding loans. This review is expected to be completed by the end of 2025.</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during the third quarter of 2025, the Company recorded a PCL increase of $153,000 to the PCL for unfunded commitments. The provision in the quarter ended September 30, 2025 was reflective of the qualitative factors used in determining the adequacy of the ACL and changes in the levels of delinquent and nonaccrual loans. The third quarter PCL reflects an addition to reserves considering asset quality metrics.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related to the ACL during the three months and nine months ended September 30, 2025 and 2024 (in thousands):</w:t>
      </w: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8" w:name="page29"/>
    <w:bookmarkEnd w:id="28"/>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Reserves as of</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Q3 2025</w:t>
            </w:r>
          </w:p>
        </w:tc>
        <w:tc>
          <w:tcPr>
            <w:tcW w:w="38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Q3 2025</w:t>
            </w:r>
          </w:p>
        </w:tc>
        <w:tc>
          <w:tcPr>
            <w:tcW w:w="6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Q3 2025</w:t>
            </w:r>
          </w:p>
        </w:tc>
        <w:tc>
          <w:tcPr>
            <w:tcW w:w="24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Reserves as of</w:t>
            </w:r>
          </w:p>
        </w:tc>
        <w:tc>
          <w:tcPr>
            <w:tcW w:w="0" w:type="dxa"/>
            <w:vAlign w:val="bottom"/>
          </w:tcPr>
          <w:p>
            <w:pPr>
              <w:spacing w:after="0"/>
              <w:rPr>
                <w:sz w:val="1"/>
                <w:szCs w:val="1"/>
                <w:color w:val="auto"/>
              </w:rPr>
            </w:pPr>
          </w:p>
        </w:tc>
      </w:tr>
      <w:tr>
        <w:trPr>
          <w:trHeight w:val="180"/>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ACL - Loans</w:t>
            </w:r>
          </w:p>
        </w:tc>
        <w:tc>
          <w:tcPr>
            <w:tcW w:w="600" w:type="dxa"/>
            <w:vAlign w:val="bottom"/>
          </w:tcPr>
          <w:p>
            <w:pPr>
              <w:spacing w:after="0"/>
              <w:rPr>
                <w:sz w:val="15"/>
                <w:szCs w:val="15"/>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5"/>
                <w:szCs w:val="15"/>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Recoveries</w:t>
            </w:r>
          </w:p>
        </w:tc>
        <w:tc>
          <w:tcPr>
            <w:tcW w:w="6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PCL</w:t>
            </w:r>
          </w:p>
        </w:tc>
        <w:tc>
          <w:tcPr>
            <w:tcW w:w="24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30, 2025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w:t>
            </w:r>
          </w:p>
        </w:tc>
        <w:tc>
          <w:tcPr>
            <w:tcW w:w="6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2,339</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Overdraft</w:t>
            </w:r>
          </w:p>
        </w:tc>
        <w:tc>
          <w:tcPr>
            <w:tcW w:w="6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Pooled - quantitative</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6,538</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Pooled - qualitative</w:t>
            </w:r>
          </w:p>
        </w:tc>
        <w:tc>
          <w:tcPr>
            <w:tcW w:w="6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3,517</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Purchased</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3,589</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ACL - Loans</w:t>
            </w: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15,983</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6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ACL - Held-To-Maturity</w:t>
            </w:r>
          </w:p>
        </w:tc>
        <w:tc>
          <w:tcPr>
            <w:tcW w:w="6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 - Unfunded Commitments</w:t>
            </w:r>
          </w:p>
        </w:tc>
        <w:tc>
          <w:tcPr>
            <w:tcW w:w="6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ACL</w:t>
            </w:r>
          </w:p>
        </w:tc>
        <w:tc>
          <w:tcPr>
            <w:tcW w:w="6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16,767</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38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660" w:type="dxa"/>
            <w:vAlign w:val="bottom"/>
            <w:tcBorders>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2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19,591</w:t>
            </w:r>
          </w:p>
        </w:tc>
        <w:tc>
          <w:tcPr>
            <w:tcW w:w="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Reserves as of</w:t>
            </w:r>
          </w:p>
        </w:tc>
        <w:tc>
          <w:tcPr>
            <w:tcW w:w="2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Q3 2024</w:t>
            </w:r>
          </w:p>
        </w:tc>
        <w:tc>
          <w:tcPr>
            <w:tcW w:w="3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Q3 2024</w:t>
            </w:r>
          </w:p>
        </w:tc>
        <w:tc>
          <w:tcPr>
            <w:tcW w:w="6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Q3 2024</w:t>
            </w:r>
          </w:p>
        </w:tc>
        <w:tc>
          <w:tcPr>
            <w:tcW w:w="24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Reserves as of</w:t>
            </w:r>
          </w:p>
        </w:tc>
        <w:tc>
          <w:tcPr>
            <w:tcW w:w="0" w:type="dxa"/>
            <w:vAlign w:val="bottom"/>
          </w:tcPr>
          <w:p>
            <w:pPr>
              <w:spacing w:after="0"/>
              <w:rPr>
                <w:sz w:val="1"/>
                <w:szCs w:val="1"/>
                <w:color w:val="auto"/>
              </w:rPr>
            </w:pPr>
          </w:p>
        </w:tc>
      </w:tr>
      <w:tr>
        <w:trPr>
          <w:trHeight w:val="180"/>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ACL - Loans</w:t>
            </w:r>
          </w:p>
        </w:tc>
        <w:tc>
          <w:tcPr>
            <w:tcW w:w="6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2024</w:t>
            </w:r>
          </w:p>
        </w:tc>
        <w:tc>
          <w:tcPr>
            <w:tcW w:w="26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Recoveries</w:t>
            </w:r>
          </w:p>
        </w:tc>
        <w:tc>
          <w:tcPr>
            <w:tcW w:w="6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PCL</w:t>
            </w:r>
          </w:p>
        </w:tc>
        <w:tc>
          <w:tcPr>
            <w:tcW w:w="24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30, 2024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w:t>
            </w:r>
          </w:p>
        </w:tc>
        <w:tc>
          <w:tcPr>
            <w:tcW w:w="6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4,110</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Overdraft</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Pooled - quantitative</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6,309</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556</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Pooled - qualitative</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2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Purchased</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4,617</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ACL - Loans</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16,892</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9,104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ACL - Held-To-Maturity</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 - Unfunded Commitments</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6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ACL</w:t>
            </w:r>
          </w:p>
        </w:tc>
        <w:tc>
          <w:tcPr>
            <w:tcW w:w="6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17,835</w:t>
            </w: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38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8,969</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18,082</w:t>
            </w:r>
          </w:p>
        </w:tc>
        <w:tc>
          <w:tcPr>
            <w:tcW w:w="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Reserves as of</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Reserves as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ACL - Loans</w:t>
            </w:r>
          </w:p>
        </w:tc>
        <w:tc>
          <w:tcPr>
            <w:tcW w:w="6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5"/>
                <w:szCs w:val="15"/>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Recoveries</w:t>
            </w:r>
          </w:p>
        </w:tc>
        <w:tc>
          <w:tcPr>
            <w:tcW w:w="6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PCL</w:t>
            </w: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30, 2025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w:t>
            </w: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3,039</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Overdraft</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Pooled - quantitative</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5,098</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Pooled - qualitative</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Purchased</w:t>
            </w: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Total ACL - Loans</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17,243</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ACL - Held-To-Maturity</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8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 - Unfunded Commitments</w:t>
            </w:r>
          </w:p>
        </w:tc>
        <w:tc>
          <w:tcPr>
            <w:tcW w:w="6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ACL</w:t>
            </w: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18,050</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38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5,148</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608"/>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28</w:t>
            </w:r>
            <w:r>
              <w:rPr>
                <w:rFonts w:ascii="Times New Roman" w:cs="Times New Roman" w:eastAsia="Times New Roman" w:hAnsi="Times New Roman"/>
                <w:sz w:val="16"/>
                <w:szCs w:val="16"/>
                <w:color w:val="auto"/>
              </w:rPr>
              <w:t xml:space="preserve"> -</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8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 w:name="page30"/>
    <w:bookmarkEnd w:id="2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Reserves as of</w:t>
            </w:r>
          </w:p>
        </w:tc>
        <w:tc>
          <w:tcPr>
            <w:tcW w:w="2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Reserves as of</w:t>
            </w:r>
          </w:p>
        </w:tc>
        <w:tc>
          <w:tcPr>
            <w:tcW w:w="0" w:type="dxa"/>
            <w:vAlign w:val="bottom"/>
          </w:tcPr>
          <w:p>
            <w:pPr>
              <w:spacing w:after="0"/>
              <w:rPr>
                <w:sz w:val="1"/>
                <w:szCs w:val="1"/>
                <w:color w:val="auto"/>
              </w:rPr>
            </w:pPr>
          </w:p>
        </w:tc>
      </w:tr>
      <w:tr>
        <w:trPr>
          <w:trHeight w:val="180"/>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ACL - Loans</w:t>
            </w: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Charge-Offs</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Recoveries</w:t>
            </w:r>
          </w:p>
        </w:tc>
        <w:tc>
          <w:tcPr>
            <w:tcW w:w="72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PCL</w:t>
            </w: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30, 2024</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2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72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4,875</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Overdraft</w:t>
            </w: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Pooled - quantitative</w:t>
            </w:r>
          </w:p>
        </w:tc>
        <w:tc>
          <w:tcPr>
            <w:tcW w:w="5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737</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Pooled - qualitative</w:t>
            </w: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Purchased</w:t>
            </w:r>
          </w:p>
        </w:tc>
        <w:tc>
          <w:tcPr>
            <w:tcW w:w="5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4,617</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Total ACL - Loans</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15,975</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7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10,118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vMerge w:val="restart"/>
          </w:tcPr>
          <w:p>
            <w:pPr>
              <w:spacing w:after="0"/>
              <w:rPr>
                <w:sz w:val="14"/>
                <w:szCs w:val="14"/>
                <w:color w:val="auto"/>
              </w:rPr>
            </w:pPr>
          </w:p>
        </w:tc>
        <w:tc>
          <w:tcPr>
            <w:tcW w:w="2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vMerge w:val="continue"/>
          </w:tcPr>
          <w:p>
            <w:pPr>
              <w:spacing w:after="0"/>
              <w:rPr>
                <w:sz w:val="14"/>
                <w:szCs w:val="1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ACL - Held-To-Maturity</w:t>
            </w: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vMerge w:val="restart"/>
          </w:tcPr>
          <w:p>
            <w:pPr>
              <w:spacing w:after="0"/>
              <w:rPr>
                <w:sz w:val="14"/>
                <w:szCs w:val="14"/>
                <w:color w:val="auto"/>
              </w:rPr>
            </w:pPr>
          </w:p>
        </w:tc>
        <w:tc>
          <w:tcPr>
            <w:tcW w:w="2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vMerge w:val="continue"/>
          </w:tcPr>
          <w:p>
            <w:pPr>
              <w:spacing w:after="0"/>
              <w:rPr>
                <w:sz w:val="14"/>
                <w:szCs w:val="1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 - Unfunded Commitments</w:t>
            </w: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ACL</w:t>
            </w: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16,916</w:t>
            </w:r>
          </w:p>
        </w:tc>
        <w:tc>
          <w:tcPr>
            <w:tcW w:w="2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720" w:type="dxa"/>
            <w:vAlign w:val="bottom"/>
            <w:tcBorders>
              <w:bottom w:val="single" w:sz="8" w:color="auto"/>
            </w:tcBorders>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9,985</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4"/>
        </w:trPr>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628"/>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29</w:t>
            </w:r>
            <w:r>
              <w:rPr>
                <w:rFonts w:ascii="Times New Roman" w:cs="Times New Roman" w:eastAsia="Times New Roman" w:hAnsi="Times New Roman"/>
                <w:sz w:val="16"/>
                <w:szCs w:val="16"/>
                <w:color w:val="auto"/>
              </w:rPr>
              <w:t xml:space="preserve"> -</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60" w:type="dxa"/>
            <w:vAlign w:val="bottom"/>
            <w:tcBorders>
              <w:bottom w:val="single" w:sz="8" w:color="EEEEEE"/>
            </w:tcBorders>
          </w:tcPr>
          <w:p>
            <w:pPr>
              <w:spacing w:after="0"/>
              <w:rPr>
                <w:sz w:val="24"/>
                <w:szCs w:val="24"/>
                <w:color w:val="auto"/>
              </w:rPr>
            </w:pPr>
          </w:p>
        </w:tc>
        <w:tc>
          <w:tcPr>
            <w:tcW w:w="28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gridSpan w:val="8"/>
          </w:tcPr>
          <w:p>
            <w:pPr>
              <w:jc w:val="right"/>
              <w:ind w:right="8"/>
              <w:spacing w:after="0"/>
              <w:rPr>
                <w:sz w:val="20"/>
                <w:szCs w:val="20"/>
                <w:color w:val="auto"/>
              </w:rPr>
            </w:pPr>
            <w:r>
              <w:rPr>
                <w:rFonts w:ascii="Times New Roman" w:cs="Times New Roman" w:eastAsia="Times New Roman" w:hAnsi="Times New Roman"/>
                <w:sz w:val="14"/>
                <w:szCs w:val="14"/>
                <w:color w:val="auto"/>
              </w:rPr>
              <w:t>As of and for the three months ended September 30, 2025</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 family</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first-lien</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Paycheck</w:t>
            </w:r>
          </w:p>
        </w:tc>
        <w:tc>
          <w:tcPr>
            <w:tcW w:w="200" w:type="dxa"/>
            <w:vAlign w:val="bottom"/>
          </w:tcPr>
          <w:p>
            <w:pPr>
              <w:spacing w:after="0"/>
              <w:rPr>
                <w:sz w:val="14"/>
                <w:szCs w:val="14"/>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Commercia</w:t>
            </w: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 lines of</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and</w:t>
            </w:r>
          </w:p>
        </w:tc>
        <w:tc>
          <w:tcPr>
            <w:tcW w:w="2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Protection</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exemp</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Home equity and</w:t>
            </w:r>
          </w:p>
        </w:tc>
        <w:tc>
          <w:tcPr>
            <w:tcW w:w="20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mortgage</w:t>
            </w:r>
          </w:p>
        </w:tc>
        <w:tc>
          <w:tcPr>
            <w:tcW w:w="20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mortgage</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 real estate</w:t>
            </w:r>
          </w:p>
        </w:tc>
        <w:tc>
          <w:tcPr>
            <w:tcW w:w="2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industrial</w:t>
            </w: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Program</w:t>
            </w:r>
          </w:p>
        </w:tc>
        <w:tc>
          <w:tcPr>
            <w:tcW w:w="200" w:type="dxa"/>
            <w:vAlign w:val="bottom"/>
          </w:tcPr>
          <w:p>
            <w:pPr>
              <w:spacing w:after="0"/>
              <w:rPr>
                <w:sz w:val="15"/>
                <w:szCs w:val="15"/>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t</w:t>
            </w: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junior liens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consumer</w:t>
            </w:r>
          </w:p>
        </w:tc>
        <w:tc>
          <w:tcPr>
            <w:tcW w:w="14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0"/>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1,342</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543</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6,396</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2,671</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663</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(565)</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(269</w:t>
            </w:r>
            <w:r>
              <w:rPr>
                <w:rFonts w:ascii="Times New Roman" w:cs="Times New Roman" w:eastAsia="Times New Roman" w:hAnsi="Times New Roman"/>
                <w:sz w:val="28"/>
                <w:szCs w:val="28"/>
                <w:color w:val="auto"/>
                <w:vertAlign w:val="superscript"/>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(321</w:t>
            </w:r>
            <w:r>
              <w:rPr>
                <w:rFonts w:ascii="Times New Roman" w:cs="Times New Roman" w:eastAsia="Times New Roman" w:hAnsi="Times New Roman"/>
                <w:sz w:val="28"/>
                <w:szCs w:val="28"/>
                <w:color w:val="auto"/>
                <w:vertAlign w:val="superscript"/>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4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r>
              <w:rPr>
                <w:rFonts w:ascii="Times New Roman" w:cs="Times New Roman" w:eastAsia="Times New Roman" w:hAnsi="Times New Roman"/>
                <w:sz w:val="28"/>
                <w:szCs w:val="28"/>
                <w:color w:val="auto"/>
                <w:vertAlign w:val="superscript"/>
              </w:rPr>
              <w:t>)</w:t>
            </w: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Provisions (credits)</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872</w:t>
            </w:r>
          </w:p>
        </w:tc>
        <w:tc>
          <w:tcPr>
            <w:tcW w:w="20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2,286</w:t>
            </w:r>
          </w:p>
        </w:tc>
        <w:tc>
          <w:tcPr>
            <w:tcW w:w="2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24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0"/>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2,102</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8,639</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3,524</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9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color w:val="auto"/>
              </w:rPr>
              <w:t>Ending balance: related to loans</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individually evaluated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3,568</w:t>
            </w: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1,570</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Ending balance: related to loans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collectively evaluated</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1,998</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5,071</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1,954</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Loans receivables: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6,22</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80"/>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Ending balance, gross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238,975</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1,406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371,683</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79,021</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86,687</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50,106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65,694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92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color w:val="auto"/>
              </w:rPr>
              <w:t>Ending balance: individually</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evaluated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1,400</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23,863</w:t>
            </w:r>
          </w:p>
        </w:tc>
        <w:tc>
          <w:tcPr>
            <w:tcW w:w="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1,944</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4,328</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Ending balance: collectively</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6,22</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evaluated</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237,575</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1,406</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347,820</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77,077</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82,359</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49,577</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65,694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30</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gridSpan w:val="11"/>
          </w:tcPr>
          <w:p>
            <w:pPr>
              <w:jc w:val="right"/>
              <w:spacing w:after="0"/>
              <w:rPr>
                <w:sz w:val="20"/>
                <w:szCs w:val="20"/>
                <w:color w:val="auto"/>
              </w:rPr>
            </w:pPr>
            <w:r>
              <w:rPr>
                <w:rFonts w:ascii="Times New Roman" w:cs="Times New Roman" w:eastAsia="Times New Roman" w:hAnsi="Times New Roman"/>
                <w:sz w:val="14"/>
                <w:szCs w:val="14"/>
                <w:color w:val="auto"/>
              </w:rPr>
              <w:t>As of and for the three months ended September 30, 2024</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1-4 family</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first-lien</w:t>
            </w:r>
          </w:p>
        </w:tc>
        <w:tc>
          <w:tcPr>
            <w:tcW w:w="1720" w:type="dxa"/>
            <w:vAlign w:val="bottom"/>
            <w:gridSpan w:val="5"/>
          </w:tcPr>
          <w:p>
            <w:pPr>
              <w:jc w:val="right"/>
              <w:ind w:right="7"/>
              <w:spacing w:after="0"/>
              <w:rPr>
                <w:sz w:val="20"/>
                <w:szCs w:val="20"/>
                <w:color w:val="auto"/>
              </w:rPr>
            </w:pPr>
            <w:r>
              <w:rPr>
                <w:rFonts w:ascii="Times New Roman" w:cs="Times New Roman" w:eastAsia="Times New Roman" w:hAnsi="Times New Roman"/>
                <w:sz w:val="14"/>
                <w:szCs w:val="14"/>
                <w:color w:val="auto"/>
              </w:rPr>
              <w:t>Residential   Commerci</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Commercia</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Paycheck</w:t>
            </w:r>
          </w:p>
        </w:tc>
        <w:tc>
          <w:tcPr>
            <w:tcW w:w="240" w:type="dxa"/>
            <w:vAlign w:val="bottom"/>
          </w:tcPr>
          <w:p>
            <w:pPr>
              <w:spacing w:after="0"/>
              <w:rPr>
                <w:sz w:val="14"/>
                <w:szCs w:val="14"/>
                <w:color w:val="auto"/>
              </w:rPr>
            </w:pP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Tax</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rPr>
              <w:t>residential</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al real</w:t>
            </w:r>
          </w:p>
        </w:tc>
        <w:tc>
          <w:tcPr>
            <w:tcW w:w="220" w:type="dxa"/>
            <w:vAlign w:val="bottom"/>
          </w:tcPr>
          <w:p>
            <w:pPr>
              <w:spacing w:after="0"/>
              <w:rPr>
                <w:sz w:val="14"/>
                <w:szCs w:val="14"/>
                <w:color w:val="auto"/>
              </w:rPr>
            </w:pPr>
          </w:p>
        </w:tc>
        <w:tc>
          <w:tcPr>
            <w:tcW w:w="72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l lines of</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Protection</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exemp</w:t>
            </w:r>
          </w:p>
        </w:tc>
        <w:tc>
          <w:tcPr>
            <w:tcW w:w="2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Home equity and</w:t>
            </w:r>
          </w:p>
        </w:tc>
        <w:tc>
          <w:tcPr>
            <w:tcW w:w="280" w:type="dxa"/>
            <w:vAlign w:val="bottom"/>
          </w:tcPr>
          <w:p>
            <w:pPr>
              <w:spacing w:after="0"/>
              <w:rPr>
                <w:sz w:val="14"/>
                <w:szCs w:val="14"/>
                <w:color w:val="auto"/>
              </w:rPr>
            </w:pPr>
          </w:p>
        </w:tc>
        <w:tc>
          <w:tcPr>
            <w:tcW w:w="58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mortgage</w:t>
            </w:r>
          </w:p>
        </w:tc>
        <w:tc>
          <w:tcPr>
            <w:tcW w:w="90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color w:val="auto"/>
              </w:rPr>
              <w:t>mortgage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estate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credit</w:t>
            </w:r>
          </w:p>
        </w:tc>
        <w:tc>
          <w:tcPr>
            <w:tcW w:w="80" w:type="dxa"/>
            <w:vAlign w:val="bottom"/>
          </w:tcPr>
          <w:p>
            <w:pPr>
              <w:spacing w:after="0"/>
              <w:rPr>
                <w:sz w:val="14"/>
                <w:szCs w:val="14"/>
                <w:color w:val="auto"/>
              </w:rPr>
            </w:pP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industrial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Program</w:t>
            </w:r>
          </w:p>
        </w:tc>
        <w:tc>
          <w:tcPr>
            <w:tcW w:w="240" w:type="dxa"/>
            <w:vAlign w:val="bottom"/>
          </w:tcPr>
          <w:p>
            <w:pPr>
              <w:spacing w:after="0"/>
              <w:rPr>
                <w:sz w:val="14"/>
                <w:szCs w:val="14"/>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t</w:t>
            </w:r>
          </w:p>
        </w:tc>
        <w:tc>
          <w:tcPr>
            <w:tcW w:w="2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junior liens</w:t>
            </w:r>
          </w:p>
        </w:tc>
        <w:tc>
          <w:tcPr>
            <w:tcW w:w="860" w:type="dxa"/>
            <w:vAlign w:val="bottom"/>
            <w:gridSpan w:val="3"/>
          </w:tcPr>
          <w:p>
            <w:pPr>
              <w:jc w:val="right"/>
              <w:ind w:right="46"/>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4"/>
                <w:szCs w:val="14"/>
                <w:color w:val="auto"/>
              </w:rPr>
            </w:pPr>
          </w:p>
        </w:tc>
        <w:tc>
          <w:tcPr>
            <w:tcW w:w="4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2"/>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1,536</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815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6,663</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3,821</w:t>
            </w:r>
          </w:p>
        </w:tc>
        <w:tc>
          <w:tcPr>
            <w:tcW w:w="6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2,209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spacing w:after="0"/>
              <w:rPr>
                <w:sz w:val="15"/>
                <w:szCs w:val="15"/>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(1,204)</w:t>
            </w:r>
          </w:p>
        </w:tc>
        <w:tc>
          <w:tcPr>
            <w:tcW w:w="220" w:type="dxa"/>
            <w:vAlign w:val="bottom"/>
          </w:tcPr>
          <w:p>
            <w:pPr>
              <w:spacing w:after="0"/>
              <w:rPr>
                <w:sz w:val="15"/>
                <w:szCs w:val="15"/>
                <w:color w:val="auto"/>
              </w:rPr>
            </w:pPr>
          </w:p>
        </w:tc>
        <w:tc>
          <w:tcPr>
            <w:tcW w:w="720" w:type="dxa"/>
            <w:vAlign w:val="bottom"/>
            <w:gridSpan w:val="2"/>
          </w:tcPr>
          <w:p>
            <w:pPr>
              <w:jc w:val="right"/>
              <w:ind w:right="66"/>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6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23</w:t>
            </w:r>
          </w:p>
        </w:tc>
        <w:tc>
          <w:tcPr>
            <w:tcW w:w="4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5</w:t>
            </w: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(credits)</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1,122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5"/>
                <w:szCs w:val="15"/>
                <w:color w:val="auto"/>
              </w:rPr>
            </w:pP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1,845</w:t>
            </w:r>
          </w:p>
        </w:tc>
        <w:tc>
          <w:tcPr>
            <w:tcW w:w="6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80" w:type="dxa"/>
            <w:vAlign w:val="bottom"/>
          </w:tcPr>
          <w:p>
            <w:pPr>
              <w:spacing w:after="0"/>
              <w:rPr>
                <w:sz w:val="15"/>
                <w:szCs w:val="15"/>
                <w:color w:val="auto"/>
              </w:rPr>
            </w:pPr>
          </w:p>
        </w:tc>
        <w:tc>
          <w:tcPr>
            <w:tcW w:w="58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4,813</w:t>
            </w:r>
          </w:p>
        </w:tc>
        <w:tc>
          <w:tcPr>
            <w:tcW w:w="160" w:type="dxa"/>
            <w:vAlign w:val="bottom"/>
          </w:tcPr>
          <w:p>
            <w:pPr>
              <w:spacing w:after="0"/>
              <w:rPr>
                <w:sz w:val="15"/>
                <w:szCs w:val="15"/>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1,497</w:t>
            </w:r>
          </w:p>
        </w:tc>
        <w:tc>
          <w:tcPr>
            <w:tcW w:w="4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810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6,581</w:t>
            </w:r>
          </w:p>
        </w:tc>
        <w:tc>
          <w:tcPr>
            <w:tcW w:w="2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2,735</w:t>
            </w:r>
          </w:p>
        </w:tc>
        <w:tc>
          <w:tcPr>
            <w:tcW w:w="620" w:type="dxa"/>
            <w:vAlign w:val="bottom"/>
            <w:tcBorders>
              <w:bottom w:val="single" w:sz="8" w:color="auto"/>
            </w:tcBorders>
            <w:shd w:val="clear" w:color="auto" w:fill="CFF0FC"/>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2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4,381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Ending balance: related to loans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ind w:right="47"/>
              <w:spacing w:after="0" w:line="132" w:lineRule="exact"/>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42</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862</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1,192</w:t>
            </w:r>
          </w:p>
        </w:tc>
        <w:tc>
          <w:tcPr>
            <w:tcW w:w="620" w:type="dxa"/>
            <w:vAlign w:val="bottom"/>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Ending balance: related to loans</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1,455</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810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5,719</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1,543</w:t>
            </w:r>
          </w:p>
        </w:tc>
        <w:tc>
          <w:tcPr>
            <w:tcW w:w="6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4,314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 receivables: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 gross</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4"/>
                <w:szCs w:val="14"/>
                <w:color w:val="auto"/>
              </w:rPr>
              <w:t>2,65</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40" w:type="dxa"/>
            <w:vAlign w:val="bottom"/>
            <w:vMerge w:val="continue"/>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255,235</w:t>
            </w:r>
          </w:p>
        </w:tc>
        <w:tc>
          <w:tcPr>
            <w:tcW w:w="44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4,077</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378,805</w:t>
            </w:r>
          </w:p>
        </w:tc>
        <w:tc>
          <w:tcPr>
            <w:tcW w:w="22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64,672</w:t>
            </w: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88,247</w:t>
            </w:r>
          </w:p>
        </w:tc>
        <w:tc>
          <w:tcPr>
            <w:tcW w:w="620" w:type="dxa"/>
            <w:vAlign w:val="bottom"/>
            <w:vMerge w:val="restart"/>
            <w:shd w:val="clear" w:color="auto" w:fill="CFF0FC"/>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52,709</w:t>
            </w:r>
          </w:p>
        </w:tc>
        <w:tc>
          <w:tcPr>
            <w:tcW w:w="28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76,703</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40" w:type="dxa"/>
            <w:vAlign w:val="bottom"/>
            <w:tcBorders>
              <w:bottom w:val="single" w:sz="8" w:color="auto"/>
            </w:tcBorders>
            <w:shd w:val="clear" w:color="auto" w:fill="CFF0FC"/>
          </w:tcPr>
          <w:p>
            <w:pPr>
              <w:spacing w:after="0"/>
              <w:rPr>
                <w:sz w:val="9"/>
                <w:szCs w:val="9"/>
                <w:color w:val="auto"/>
              </w:rPr>
            </w:pPr>
          </w:p>
        </w:tc>
        <w:tc>
          <w:tcPr>
            <w:tcW w:w="200" w:type="dxa"/>
            <w:vAlign w:val="bottom"/>
            <w:tcBorders>
              <w:bottom w:val="single" w:sz="8" w:color="auto"/>
            </w:tcBorders>
            <w:vMerge w:val="continue"/>
            <w:shd w:val="clear" w:color="auto" w:fill="CFF0FC"/>
          </w:tcPr>
          <w:p>
            <w:pPr>
              <w:spacing w:after="0"/>
              <w:rPr>
                <w:sz w:val="9"/>
                <w:szCs w:val="9"/>
                <w:color w:val="auto"/>
              </w:rPr>
            </w:pPr>
          </w:p>
        </w:tc>
        <w:tc>
          <w:tcPr>
            <w:tcW w:w="640" w:type="dxa"/>
            <w:vAlign w:val="bottom"/>
            <w:tcBorders>
              <w:bottom w:val="single" w:sz="8" w:color="auto"/>
            </w:tcBorders>
            <w:vMerge w:val="continue"/>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auto"/>
            </w:tcBorders>
            <w:vMerge w:val="continue"/>
            <w:shd w:val="clear" w:color="auto" w:fill="CFF0FC"/>
          </w:tcPr>
          <w:p>
            <w:pPr>
              <w:spacing w:after="0"/>
              <w:rPr>
                <w:sz w:val="9"/>
                <w:szCs w:val="9"/>
                <w:color w:val="auto"/>
              </w:rPr>
            </w:pPr>
          </w:p>
        </w:tc>
        <w:tc>
          <w:tcPr>
            <w:tcW w:w="600" w:type="dxa"/>
            <w:vAlign w:val="bottom"/>
            <w:tcBorders>
              <w:bottom w:val="single" w:sz="8" w:color="auto"/>
            </w:tcBorders>
            <w:gridSpan w:val="2"/>
            <w:vMerge w:val="continue"/>
            <w:shd w:val="clear" w:color="auto" w:fill="CFF0FC"/>
          </w:tcPr>
          <w:p>
            <w:pPr>
              <w:spacing w:after="0"/>
              <w:rPr>
                <w:sz w:val="9"/>
                <w:szCs w:val="9"/>
                <w:color w:val="auto"/>
              </w:rPr>
            </w:pPr>
          </w:p>
        </w:tc>
        <w:tc>
          <w:tcPr>
            <w:tcW w:w="220" w:type="dxa"/>
            <w:vAlign w:val="bottom"/>
            <w:tcBorders>
              <w:bottom w:val="single" w:sz="8" w:color="auto"/>
            </w:tcBorders>
            <w:vMerge w:val="continue"/>
            <w:shd w:val="clear" w:color="auto" w:fill="CFF0FC"/>
          </w:tcPr>
          <w:p>
            <w:pPr>
              <w:spacing w:after="0"/>
              <w:rPr>
                <w:sz w:val="9"/>
                <w:szCs w:val="9"/>
                <w:color w:val="auto"/>
              </w:rPr>
            </w:pPr>
          </w:p>
        </w:tc>
        <w:tc>
          <w:tcPr>
            <w:tcW w:w="720" w:type="dxa"/>
            <w:vAlign w:val="bottom"/>
            <w:tcBorders>
              <w:bottom w:val="single" w:sz="8" w:color="auto"/>
            </w:tcBorders>
            <w:gridSpan w:val="2"/>
            <w:vMerge w:val="continue"/>
            <w:shd w:val="clear" w:color="auto" w:fill="CFF0FC"/>
          </w:tcPr>
          <w:p>
            <w:pPr>
              <w:spacing w:after="0"/>
              <w:rPr>
                <w:sz w:val="9"/>
                <w:szCs w:val="9"/>
                <w:color w:val="auto"/>
              </w:rPr>
            </w:pPr>
          </w:p>
        </w:tc>
        <w:tc>
          <w:tcPr>
            <w:tcW w:w="80" w:type="dxa"/>
            <w:vAlign w:val="bottom"/>
            <w:tcBorders>
              <w:bottom w:val="single" w:sz="8" w:color="auto"/>
            </w:tcBorders>
            <w:vMerge w:val="continue"/>
            <w:shd w:val="clear" w:color="auto" w:fill="CFF0FC"/>
          </w:tcPr>
          <w:p>
            <w:pPr>
              <w:spacing w:after="0"/>
              <w:rPr>
                <w:sz w:val="9"/>
                <w:szCs w:val="9"/>
                <w:color w:val="auto"/>
              </w:rPr>
            </w:pPr>
          </w:p>
        </w:tc>
        <w:tc>
          <w:tcPr>
            <w:tcW w:w="700" w:type="dxa"/>
            <w:vAlign w:val="bottom"/>
            <w:tcBorders>
              <w:bottom w:val="single" w:sz="8" w:color="auto"/>
            </w:tcBorders>
            <w:gridSpan w:val="2"/>
            <w:vMerge w:val="continue"/>
            <w:shd w:val="clear" w:color="auto" w:fill="CFF0FC"/>
          </w:tcPr>
          <w:p>
            <w:pPr>
              <w:spacing w:after="0"/>
              <w:rPr>
                <w:sz w:val="9"/>
                <w:szCs w:val="9"/>
                <w:color w:val="auto"/>
              </w:rPr>
            </w:pPr>
          </w:p>
        </w:tc>
        <w:tc>
          <w:tcPr>
            <w:tcW w:w="620" w:type="dxa"/>
            <w:vAlign w:val="bottom"/>
            <w:tcBorders>
              <w:bottom w:val="single" w:sz="8" w:color="auto"/>
            </w:tcBorders>
            <w:vMerge w:val="continue"/>
            <w:shd w:val="clear" w:color="auto" w:fill="CFF0FC"/>
          </w:tcPr>
          <w:p>
            <w:pPr>
              <w:spacing w:after="0"/>
              <w:rPr>
                <w:sz w:val="9"/>
                <w:szCs w:val="9"/>
                <w:color w:val="auto"/>
              </w:rPr>
            </w:pPr>
          </w:p>
        </w:tc>
        <w:tc>
          <w:tcPr>
            <w:tcW w:w="320" w:type="dxa"/>
            <w:vAlign w:val="bottom"/>
            <w:tcBorders>
              <w:bottom w:val="single" w:sz="8" w:color="auto"/>
            </w:tcBorders>
            <w:vMerge w:val="continue"/>
            <w:shd w:val="clear" w:color="auto" w:fill="CFF0FC"/>
          </w:tcPr>
          <w:p>
            <w:pPr>
              <w:spacing w:after="0"/>
              <w:rPr>
                <w:sz w:val="9"/>
                <w:szCs w:val="9"/>
                <w:color w:val="auto"/>
              </w:rPr>
            </w:pPr>
          </w:p>
        </w:tc>
        <w:tc>
          <w:tcPr>
            <w:tcW w:w="240" w:type="dxa"/>
            <w:vAlign w:val="bottom"/>
            <w:tcBorders>
              <w:bottom w:val="single" w:sz="8" w:color="auto"/>
            </w:tcBorders>
            <w:vMerge w:val="continue"/>
            <w:shd w:val="clear" w:color="auto" w:fill="CFF0FC"/>
          </w:tcPr>
          <w:p>
            <w:pPr>
              <w:spacing w:after="0"/>
              <w:rPr>
                <w:sz w:val="9"/>
                <w:szCs w:val="9"/>
                <w:color w:val="auto"/>
              </w:rPr>
            </w:pPr>
          </w:p>
        </w:tc>
        <w:tc>
          <w:tcPr>
            <w:tcW w:w="380" w:type="dxa"/>
            <w:vAlign w:val="bottom"/>
            <w:tcBorders>
              <w:bottom w:val="single" w:sz="8" w:color="auto"/>
            </w:tcBorders>
            <w:vMerge w:val="continue"/>
            <w:shd w:val="clear" w:color="auto" w:fill="CFF0FC"/>
          </w:tcPr>
          <w:p>
            <w:pPr>
              <w:spacing w:after="0"/>
              <w:rPr>
                <w:sz w:val="9"/>
                <w:szCs w:val="9"/>
                <w:color w:val="auto"/>
              </w:rPr>
            </w:pPr>
          </w:p>
        </w:tc>
        <w:tc>
          <w:tcPr>
            <w:tcW w:w="200" w:type="dxa"/>
            <w:vAlign w:val="bottom"/>
            <w:tcBorders>
              <w:bottom w:val="single" w:sz="8" w:color="auto"/>
            </w:tcBorders>
            <w:vMerge w:val="continue"/>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vMerge w:val="continue"/>
            <w:shd w:val="clear" w:color="auto" w:fill="CFF0FC"/>
          </w:tcPr>
          <w:p>
            <w:pPr>
              <w:spacing w:after="0"/>
              <w:rPr>
                <w:sz w:val="9"/>
                <w:szCs w:val="9"/>
                <w:color w:val="auto"/>
              </w:rPr>
            </w:pPr>
          </w:p>
        </w:tc>
        <w:tc>
          <w:tcPr>
            <w:tcW w:w="280" w:type="dxa"/>
            <w:vAlign w:val="bottom"/>
            <w:tcBorders>
              <w:bottom w:val="single" w:sz="8" w:color="auto"/>
            </w:tcBorders>
            <w:vMerge w:val="continue"/>
            <w:shd w:val="clear" w:color="auto" w:fill="CFF0FC"/>
          </w:tcPr>
          <w:p>
            <w:pPr>
              <w:spacing w:after="0"/>
              <w:rPr>
                <w:sz w:val="9"/>
                <w:szCs w:val="9"/>
                <w:color w:val="auto"/>
              </w:rPr>
            </w:pPr>
          </w:p>
        </w:tc>
        <w:tc>
          <w:tcPr>
            <w:tcW w:w="580" w:type="dxa"/>
            <w:vAlign w:val="bottom"/>
            <w:tcBorders>
              <w:bottom w:val="single" w:sz="8" w:color="auto"/>
            </w:tcBorders>
            <w:gridSpan w:val="2"/>
            <w:vMerge w:val="continue"/>
            <w:shd w:val="clear" w:color="auto" w:fill="CFF0FC"/>
          </w:tcPr>
          <w:p>
            <w:pPr>
              <w:spacing w:after="0"/>
              <w:rPr>
                <w:sz w:val="9"/>
                <w:szCs w:val="9"/>
                <w:color w:val="auto"/>
              </w:rPr>
            </w:pPr>
          </w:p>
        </w:tc>
        <w:tc>
          <w:tcPr>
            <w:tcW w:w="160" w:type="dxa"/>
            <w:vAlign w:val="bottom"/>
            <w:tcBorders>
              <w:bottom w:val="single" w:sz="8" w:color="auto"/>
            </w:tcBorders>
            <w:vMerge w:val="continue"/>
            <w:shd w:val="clear" w:color="auto" w:fill="CFF0FC"/>
          </w:tcPr>
          <w:p>
            <w:pPr>
              <w:spacing w:after="0"/>
              <w:rPr>
                <w:sz w:val="9"/>
                <w:szCs w:val="9"/>
                <w:color w:val="auto"/>
              </w:rPr>
            </w:pPr>
          </w:p>
        </w:tc>
        <w:tc>
          <w:tcPr>
            <w:tcW w:w="460" w:type="dxa"/>
            <w:vAlign w:val="bottom"/>
            <w:tcBorders>
              <w:bottom w:val="single" w:sz="8" w:color="auto"/>
            </w:tcBorders>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Ending balance: individually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ind w:right="47"/>
              <w:spacing w:after="0" w:line="132" w:lineRule="exact"/>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evaluated</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1,733</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9,518</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6,226</w:t>
            </w:r>
          </w:p>
        </w:tc>
        <w:tc>
          <w:tcPr>
            <w:tcW w:w="620" w:type="dxa"/>
            <w:vAlign w:val="bottom"/>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Ending balance: collectively</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6"/>
              <w:spacing w:after="0" w:line="156" w:lineRule="exact"/>
              <w:rPr>
                <w:sz w:val="20"/>
                <w:szCs w:val="20"/>
                <w:color w:val="auto"/>
              </w:rPr>
            </w:pPr>
            <w:r>
              <w:rPr>
                <w:rFonts w:ascii="Times New Roman" w:cs="Times New Roman" w:eastAsia="Times New Roman" w:hAnsi="Times New Roman"/>
                <w:sz w:val="14"/>
                <w:szCs w:val="14"/>
                <w:color w:val="auto"/>
              </w:rPr>
              <w:t>2,65</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47"/>
              <w:spacing w:after="0" w:line="156" w:lineRule="exact"/>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evaluated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253,502</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4"/>
                <w:szCs w:val="14"/>
                <w:color w:val="auto"/>
              </w:rPr>
              <w:t>4,077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369,287</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4"/>
                <w:szCs w:val="14"/>
                <w:color w:val="auto"/>
              </w:rPr>
              <w:t>63,217</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82,021</w:t>
            </w:r>
          </w:p>
        </w:tc>
        <w:tc>
          <w:tcPr>
            <w:tcW w:w="62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52,118</w:t>
            </w:r>
          </w:p>
        </w:tc>
        <w:tc>
          <w:tcPr>
            <w:tcW w:w="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4"/>
                <w:szCs w:val="14"/>
                <w:color w:val="auto"/>
              </w:rPr>
              <w:t>76,636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gridSpan w:val="12"/>
          </w:tcPr>
          <w:p>
            <w:pPr>
              <w:ind w:left="160"/>
              <w:spacing w:after="0"/>
              <w:rPr>
                <w:sz w:val="20"/>
                <w:szCs w:val="20"/>
                <w:color w:val="auto"/>
              </w:rPr>
            </w:pPr>
            <w:r>
              <w:rPr>
                <w:rFonts w:ascii="Times New Roman" w:cs="Times New Roman" w:eastAsia="Times New Roman" w:hAnsi="Times New Roman"/>
                <w:sz w:val="16"/>
                <w:szCs w:val="16"/>
                <w:color w:val="auto"/>
              </w:rPr>
              <w:t>As of and for the nine months ended September 30, 2025</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1-4 family</w:t>
            </w:r>
          </w:p>
        </w:tc>
        <w:tc>
          <w:tcPr>
            <w:tcW w:w="8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8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constructio</w:t>
            </w:r>
          </w:p>
        </w:tc>
        <w:tc>
          <w:tcPr>
            <w:tcW w:w="88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Commerci</w:t>
            </w:r>
          </w:p>
        </w:tc>
        <w:tc>
          <w:tcPr>
            <w:tcW w:w="9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Commerci</w:t>
            </w:r>
          </w:p>
        </w:tc>
        <w:tc>
          <w:tcPr>
            <w:tcW w:w="960" w:type="dxa"/>
            <w:vAlign w:val="bottom"/>
            <w:gridSpan w:val="2"/>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commercia</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Home</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n</w:t>
            </w:r>
          </w:p>
        </w:tc>
        <w:tc>
          <w:tcPr>
            <w:tcW w:w="460" w:type="dxa"/>
            <w:vAlign w:val="bottom"/>
          </w:tcPr>
          <w:p>
            <w:pPr>
              <w:spacing w:after="0"/>
              <w:rPr>
                <w:sz w:val="15"/>
                <w:szCs w:val="15"/>
                <w:color w:val="auto"/>
              </w:rPr>
            </w:pP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al real</w:t>
            </w:r>
          </w:p>
        </w:tc>
        <w:tc>
          <w:tcPr>
            <w:tcW w:w="9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al lines of</w:t>
            </w:r>
          </w:p>
        </w:tc>
        <w:tc>
          <w:tcPr>
            <w:tcW w:w="340" w:type="dxa"/>
            <w:vAlign w:val="bottom"/>
          </w:tcPr>
          <w:p>
            <w:pPr>
              <w:spacing w:after="0"/>
              <w:rPr>
                <w:sz w:val="15"/>
                <w:szCs w:val="15"/>
                <w:color w:val="auto"/>
              </w:rPr>
            </w:pPr>
          </w:p>
        </w:tc>
        <w:tc>
          <w:tcPr>
            <w:tcW w:w="62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l and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w w:val="88"/>
              </w:rPr>
              <w:t>Tax</w:t>
            </w:r>
          </w:p>
        </w:tc>
        <w:tc>
          <w:tcPr>
            <w:tcW w:w="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w w:val="98"/>
              </w:rPr>
              <w:t>equity and</w:t>
            </w:r>
          </w:p>
        </w:tc>
        <w:tc>
          <w:tcPr>
            <w:tcW w:w="480" w:type="dxa"/>
            <w:vAlign w:val="bottom"/>
          </w:tcPr>
          <w:p>
            <w:pPr>
              <w:spacing w:after="0"/>
              <w:rPr>
                <w:sz w:val="15"/>
                <w:szCs w:val="15"/>
                <w:color w:val="auto"/>
              </w:rPr>
            </w:pPr>
          </w:p>
        </w:tc>
        <w:tc>
          <w:tcPr>
            <w:tcW w:w="540" w:type="dxa"/>
            <w:vAlign w:val="bottom"/>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6"/>
                <w:szCs w:val="16"/>
                <w:color w:val="auto"/>
              </w:rPr>
            </w:pP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mortgage</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mortgage</w:t>
            </w:r>
          </w:p>
        </w:tc>
        <w:tc>
          <w:tcPr>
            <w:tcW w:w="4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estate</w:t>
            </w:r>
          </w:p>
        </w:tc>
        <w:tc>
          <w:tcPr>
            <w:tcW w:w="52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96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industrial</w:t>
            </w:r>
          </w:p>
        </w:tc>
        <w:tc>
          <w:tcPr>
            <w:tcW w:w="320" w:type="dxa"/>
            <w:vAlign w:val="bottom"/>
          </w:tcPr>
          <w:p>
            <w:pPr>
              <w:spacing w:after="0"/>
              <w:rPr>
                <w:sz w:val="16"/>
                <w:szCs w:val="16"/>
                <w:color w:val="auto"/>
              </w:rPr>
            </w:pPr>
          </w:p>
        </w:tc>
        <w:tc>
          <w:tcPr>
            <w:tcW w:w="620" w:type="dxa"/>
            <w:vAlign w:val="bottom"/>
            <w:gridSpan w:val="2"/>
          </w:tcPr>
          <w:p>
            <w:pPr>
              <w:jc w:val="right"/>
              <w:ind w:right="66"/>
              <w:spacing w:after="0"/>
              <w:rPr>
                <w:sz w:val="20"/>
                <w:szCs w:val="20"/>
                <w:color w:val="auto"/>
              </w:rPr>
            </w:pPr>
            <w:r>
              <w:rPr>
                <w:rFonts w:ascii="Times New Roman" w:cs="Times New Roman" w:eastAsia="Times New Roman" w:hAnsi="Times New Roman"/>
                <w:sz w:val="16"/>
                <w:szCs w:val="16"/>
                <w:color w:val="auto"/>
                <w:w w:val="97"/>
              </w:rPr>
              <w:t>exempt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junior liens</w:t>
            </w:r>
          </w:p>
        </w:tc>
        <w:tc>
          <w:tcPr>
            <w:tcW w:w="102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tcPr>
          <w:p>
            <w:pPr>
              <w:spacing w:after="0"/>
              <w:rPr>
                <w:sz w:val="15"/>
                <w:szCs w:val="15"/>
                <w:color w:val="auto"/>
              </w:rPr>
            </w:pPr>
          </w:p>
        </w:tc>
        <w:tc>
          <w:tcPr>
            <w:tcW w:w="640" w:type="dxa"/>
            <w:vAlign w:val="bottom"/>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w w:val="94"/>
              </w:rPr>
              <w:t>1,467</w:t>
            </w:r>
          </w:p>
        </w:tc>
        <w:tc>
          <w:tcPr>
            <w:tcW w:w="460" w:type="dxa"/>
            <w:vAlign w:val="bottom"/>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460" w:type="dxa"/>
            <w:vAlign w:val="bottom"/>
          </w:tcPr>
          <w:p>
            <w:pPr>
              <w:jc w:val="right"/>
              <w:ind w:right="1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6,746</w:t>
            </w:r>
          </w:p>
        </w:tc>
        <w:tc>
          <w:tcPr>
            <w:tcW w:w="5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3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2,879</w:t>
            </w:r>
          </w:p>
        </w:tc>
        <w:tc>
          <w:tcPr>
            <w:tcW w:w="320" w:type="dxa"/>
            <w:vAlign w:val="bottom"/>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38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715</w:t>
            </w:r>
          </w:p>
        </w:tc>
        <w:tc>
          <w:tcPr>
            <w:tcW w:w="480" w:type="dxa"/>
            <w:vAlign w:val="bottom"/>
          </w:tcPr>
          <w:p>
            <w:pPr>
              <w:jc w:val="right"/>
              <w:ind w:right="167"/>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4,091</w:t>
            </w:r>
          </w:p>
        </w:tc>
        <w:tc>
          <w:tcPr>
            <w:tcW w:w="320" w:type="dxa"/>
            <w:vAlign w:val="bottom"/>
          </w:tcPr>
          <w:p>
            <w:pPr>
              <w:jc w:val="right"/>
              <w:ind w:right="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386"/>
              <w:spacing w:after="0" w:line="180" w:lineRule="exact"/>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7"/>
              </w:rPr>
              <w:t>(370)</w:t>
            </w: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(1,383)</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87"/>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5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(1,402)</w:t>
            </w:r>
          </w:p>
        </w:tc>
        <w:tc>
          <w:tcPr>
            <w:tcW w:w="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15"/>
                <w:szCs w:val="15"/>
                <w:color w:val="auto"/>
              </w:rPr>
            </w:pPr>
          </w:p>
        </w:tc>
        <w:tc>
          <w:tcPr>
            <w:tcW w:w="62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480" w:type="dxa"/>
            <w:vAlign w:val="bottom"/>
          </w:tcPr>
          <w:p>
            <w:pPr>
              <w:spacing w:after="0"/>
              <w:rPr>
                <w:sz w:val="15"/>
                <w:szCs w:val="15"/>
                <w:color w:val="auto"/>
              </w:rPr>
            </w:pPr>
          </w:p>
        </w:tc>
        <w:tc>
          <w:tcPr>
            <w:tcW w:w="540" w:type="dxa"/>
            <w:vAlign w:val="bottom"/>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463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Provisions (credits)</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755</w:t>
            </w:r>
          </w:p>
        </w:tc>
        <w:tc>
          <w:tcPr>
            <w:tcW w:w="46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347"/>
              <w:spacing w:after="0" w:line="180" w:lineRule="exact"/>
              <w:rPr>
                <w:sz w:val="20"/>
                <w:szCs w:val="20"/>
                <w:color w:val="auto"/>
              </w:rPr>
            </w:pPr>
            <w:r>
              <w:rPr>
                <w:rFonts w:ascii="Times New Roman" w:cs="Times New Roman" w:eastAsia="Times New Roman" w:hAnsi="Times New Roman"/>
                <w:sz w:val="16"/>
                <w:szCs w:val="16"/>
                <w:color w:val="auto"/>
              </w:rPr>
              <w:t>(318)</w:t>
            </w:r>
          </w:p>
        </w:tc>
        <w:tc>
          <w:tcPr>
            <w:tcW w:w="4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2,792</w:t>
            </w: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1,936</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387"/>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540" w:type="dxa"/>
            <w:vAlign w:val="bottom"/>
            <w:gridSpan w:val="2"/>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w w:val="94"/>
              </w:rPr>
              <w:t>5,018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w w:val="94"/>
              </w:rPr>
              <w:t>2,102</w:t>
            </w:r>
          </w:p>
        </w:tc>
        <w:tc>
          <w:tcPr>
            <w:tcW w:w="460" w:type="dxa"/>
            <w:vAlign w:val="bottom"/>
            <w:tcBorders>
              <w:bottom w:val="single" w:sz="8" w:color="auto"/>
            </w:tcBorders>
          </w:tcPr>
          <w:p>
            <w:pPr>
              <w:jc w:val="right"/>
              <w:ind w:right="1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460" w:type="dxa"/>
            <w:vAlign w:val="bottom"/>
            <w:tcBorders>
              <w:bottom w:val="single" w:sz="8" w:color="auto"/>
            </w:tcBorders>
          </w:tcPr>
          <w:p>
            <w:pPr>
              <w:jc w:val="right"/>
              <w:ind w:right="1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8,639</w:t>
            </w:r>
          </w:p>
        </w:tc>
        <w:tc>
          <w:tcPr>
            <w:tcW w:w="520" w:type="dxa"/>
            <w:vAlign w:val="bottom"/>
            <w:tcBorders>
              <w:bottom w:val="single" w:sz="8" w:color="auto"/>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372</w:t>
            </w:r>
          </w:p>
        </w:tc>
        <w:tc>
          <w:tcPr>
            <w:tcW w:w="340" w:type="dxa"/>
            <w:vAlign w:val="bottom"/>
            <w:tcBorders>
              <w:bottom w:val="single" w:sz="8" w:color="auto"/>
            </w:tcBorders>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3,524</w:t>
            </w:r>
          </w:p>
        </w:tc>
        <w:tc>
          <w:tcPr>
            <w:tcW w:w="320" w:type="dxa"/>
            <w:vAlign w:val="bottom"/>
            <w:tcBorders>
              <w:bottom w:val="single" w:sz="8" w:color="auto"/>
            </w:tcBorders>
          </w:tcPr>
          <w:p>
            <w:pPr>
              <w:jc w:val="right"/>
              <w:ind w:right="8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442</w:t>
            </w:r>
          </w:p>
        </w:tc>
        <w:tc>
          <w:tcPr>
            <w:tcW w:w="480" w:type="dxa"/>
            <w:vAlign w:val="bottom"/>
            <w:tcBorders>
              <w:bottom w:val="single" w:sz="8" w:color="auto"/>
            </w:tcBorders>
          </w:tcPr>
          <w:p>
            <w:pPr>
              <w:jc w:val="right"/>
              <w:ind w:right="167"/>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3,296</w:t>
            </w:r>
          </w:p>
        </w:tc>
        <w:tc>
          <w:tcPr>
            <w:tcW w:w="320" w:type="dxa"/>
            <w:vAlign w:val="bottom"/>
            <w:tcBorders>
              <w:bottom w:val="single" w:sz="8" w:color="auto"/>
            </w:tcBorders>
          </w:tcPr>
          <w:p>
            <w:pPr>
              <w:jc w:val="right"/>
              <w:ind w:right="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2"/>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18,654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2"/>
              </w:rPr>
              <w:t xml:space="preserve">- </w:t>
            </w:r>
            <w:r>
              <w:rPr>
                <w:rFonts w:ascii="Times New Roman" w:cs="Times New Roman" w:eastAsia="Times New Roman" w:hAnsi="Times New Roman"/>
                <w:sz w:val="16"/>
                <w:szCs w:val="16"/>
                <w:b w:val="1"/>
                <w:bCs w:val="1"/>
                <w:color w:val="auto"/>
                <w:w w:val="92"/>
              </w:rPr>
              <w:t>31</w:t>
            </w:r>
            <w:r>
              <w:rPr>
                <w:rFonts w:ascii="Times New Roman" w:cs="Times New Roman" w:eastAsia="Times New Roman" w:hAnsi="Times New Roman"/>
                <w:sz w:val="16"/>
                <w:szCs w:val="16"/>
                <w:color w:val="auto"/>
                <w:w w:val="92"/>
              </w:rPr>
              <w:t xml:space="preserve">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60" w:type="dxa"/>
            <w:vAlign w:val="bottom"/>
            <w:gridSpan w:val="9"/>
          </w:tcPr>
          <w:p>
            <w:pPr>
              <w:jc w:val="right"/>
              <w:ind w:right="382"/>
              <w:spacing w:after="0"/>
              <w:rPr>
                <w:sz w:val="20"/>
                <w:szCs w:val="20"/>
                <w:color w:val="auto"/>
              </w:rPr>
            </w:pPr>
            <w:r>
              <w:rPr>
                <w:rFonts w:ascii="Times New Roman" w:cs="Times New Roman" w:eastAsia="Times New Roman" w:hAnsi="Times New Roman"/>
                <w:sz w:val="16"/>
                <w:szCs w:val="16"/>
                <w:color w:val="auto"/>
              </w:rPr>
              <w:t>As of and for the nine months ended September 30, 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2100" w:type="dxa"/>
            <w:vAlign w:val="bottom"/>
          </w:tcPr>
          <w:p>
            <w:pPr>
              <w:spacing w:after="0"/>
              <w:rPr>
                <w:sz w:val="15"/>
                <w:szCs w:val="15"/>
                <w:color w:val="auto"/>
              </w:rPr>
            </w:pPr>
          </w:p>
        </w:tc>
        <w:tc>
          <w:tcPr>
            <w:tcW w:w="11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 family</w:t>
            </w:r>
          </w:p>
        </w:tc>
        <w:tc>
          <w:tcPr>
            <w:tcW w:w="9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9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rPr>
              <w:t>constructio</w:t>
            </w:r>
          </w:p>
        </w:tc>
        <w:tc>
          <w:tcPr>
            <w:tcW w:w="8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Commerci</w:t>
            </w:r>
          </w:p>
        </w:tc>
        <w:tc>
          <w:tcPr>
            <w:tcW w:w="90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Commerci</w:t>
            </w:r>
          </w:p>
        </w:tc>
        <w:tc>
          <w:tcPr>
            <w:tcW w:w="9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commercia</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Home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118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w:t>
            </w:r>
          </w:p>
        </w:tc>
        <w:tc>
          <w:tcPr>
            <w:tcW w:w="26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al real</w:t>
            </w:r>
          </w:p>
        </w:tc>
        <w:tc>
          <w:tcPr>
            <w:tcW w:w="16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5"/>
              </w:rPr>
              <w:t>al lines of</w:t>
            </w:r>
          </w:p>
        </w:tc>
        <w:tc>
          <w:tcPr>
            <w:tcW w:w="1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l and</w:t>
            </w:r>
          </w:p>
        </w:tc>
        <w:tc>
          <w:tcPr>
            <w:tcW w:w="24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Tax</w:t>
            </w:r>
          </w:p>
        </w:tc>
        <w:tc>
          <w:tcPr>
            <w:tcW w:w="94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equity and</w:t>
            </w:r>
          </w:p>
        </w:tc>
        <w:tc>
          <w:tcPr>
            <w:tcW w:w="16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Pr>
          <w:p>
            <w:pPr>
              <w:spacing w:after="0"/>
              <w:rPr>
                <w:sz w:val="16"/>
                <w:szCs w:val="16"/>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5"/>
              </w:rPr>
              <w:t>mortgage</w:t>
            </w:r>
          </w:p>
        </w:tc>
        <w:tc>
          <w:tcPr>
            <w:tcW w:w="16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mortgage</w:t>
            </w:r>
          </w:p>
        </w:tc>
        <w:tc>
          <w:tcPr>
            <w:tcW w:w="26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estate</w:t>
            </w:r>
          </w:p>
        </w:tc>
        <w:tc>
          <w:tcPr>
            <w:tcW w:w="16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credit</w:t>
            </w:r>
          </w:p>
        </w:tc>
        <w:tc>
          <w:tcPr>
            <w:tcW w:w="180" w:type="dxa"/>
            <w:vAlign w:val="bottom"/>
          </w:tcPr>
          <w:p>
            <w:pPr>
              <w:spacing w:after="0"/>
              <w:rPr>
                <w:sz w:val="16"/>
                <w:szCs w:val="16"/>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industrial</w:t>
            </w:r>
          </w:p>
        </w:tc>
        <w:tc>
          <w:tcPr>
            <w:tcW w:w="240" w:type="dxa"/>
            <w:vAlign w:val="bottom"/>
          </w:tcPr>
          <w:p>
            <w:pPr>
              <w:spacing w:after="0"/>
              <w:rPr>
                <w:sz w:val="16"/>
                <w:szCs w:val="16"/>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exempt</w:t>
            </w: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junior liens</w:t>
            </w:r>
          </w:p>
        </w:tc>
        <w:tc>
          <w:tcPr>
            <w:tcW w:w="160" w:type="dxa"/>
            <w:vAlign w:val="bottom"/>
          </w:tcPr>
          <w:p>
            <w:pPr>
              <w:spacing w:after="0"/>
              <w:rPr>
                <w:sz w:val="16"/>
                <w:szCs w:val="16"/>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consumer</w:t>
            </w:r>
          </w:p>
        </w:tc>
        <w:tc>
          <w:tcPr>
            <w:tcW w:w="280" w:type="dxa"/>
            <w:vAlign w:val="bottom"/>
          </w:tcPr>
          <w:p>
            <w:pPr>
              <w:spacing w:after="0"/>
              <w:rPr>
                <w:sz w:val="16"/>
                <w:szCs w:val="16"/>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r>
      <w:tr>
        <w:trPr>
          <w:trHeight w:val="180"/>
        </w:trPr>
        <w:tc>
          <w:tcPr>
            <w:tcW w:w="2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r>
      <w:tr>
        <w:trPr>
          <w:trHeight w:val="180"/>
        </w:trPr>
        <w:tc>
          <w:tcPr>
            <w:tcW w:w="2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1,608</w:t>
            </w:r>
          </w:p>
        </w:tc>
        <w:tc>
          <w:tcPr>
            <w:tcW w:w="1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858</w:t>
            </w:r>
          </w:p>
        </w:tc>
        <w:tc>
          <w:tcPr>
            <w:tcW w:w="2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5,751</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1,674</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3,281</w:t>
            </w:r>
          </w:p>
        </w:tc>
        <w:tc>
          <w:tcPr>
            <w:tcW w:w="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657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2,145</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15,975</w:t>
            </w:r>
          </w:p>
        </w:tc>
      </w:tr>
      <w:tr>
        <w:trPr>
          <w:trHeight w:val="180"/>
        </w:trPr>
        <w:tc>
          <w:tcPr>
            <w:tcW w:w="21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(1,205)</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(1,918)</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(2,936)</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(2,883)</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(8,993)</w:t>
            </w:r>
          </w:p>
        </w:tc>
      </w:tr>
      <w:tr>
        <w:trPr>
          <w:trHeight w:val="180"/>
        </w:trPr>
        <w:tc>
          <w:tcPr>
            <w:tcW w:w="21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460" w:type="dxa"/>
            <w:vAlign w:val="bottom"/>
          </w:tcPr>
          <w:p>
            <w:pPr>
              <w:spacing w:after="0"/>
              <w:rPr>
                <w:sz w:val="15"/>
                <w:szCs w:val="15"/>
                <w:color w:val="auto"/>
              </w:rPr>
            </w:pPr>
          </w:p>
        </w:tc>
        <w:tc>
          <w:tcPr>
            <w:tcW w:w="7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6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spacing w:after="0"/>
              <w:rPr>
                <w:sz w:val="15"/>
                <w:szCs w:val="15"/>
                <w:color w:val="auto"/>
              </w:rPr>
            </w:pPr>
          </w:p>
        </w:tc>
        <w:tc>
          <w:tcPr>
            <w:tcW w:w="6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174</w:t>
            </w:r>
          </w:p>
        </w:tc>
      </w:tr>
      <w:tr>
        <w:trPr>
          <w:trHeight w:val="180"/>
        </w:trPr>
        <w:tc>
          <w:tcPr>
            <w:tcW w:w="21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Provisions (credits)</w:t>
            </w: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2,016</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767</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2,378</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5,008</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10,118</w:t>
            </w:r>
          </w:p>
        </w:tc>
      </w:tr>
      <w:tr>
        <w:trPr>
          <w:trHeight w:val="180"/>
        </w:trPr>
        <w:tc>
          <w:tcPr>
            <w:tcW w:w="21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Ending balance</w:t>
            </w: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1,497</w:t>
            </w:r>
          </w:p>
        </w:tc>
        <w:tc>
          <w:tcPr>
            <w:tcW w:w="160" w:type="dxa"/>
            <w:vAlign w:val="bottom"/>
            <w:tcBorders>
              <w:bottom w:val="single" w:sz="8" w:color="auto"/>
            </w:tcBorders>
          </w:tcPr>
          <w:p>
            <w:pPr>
              <w:ind w:left="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810</w:t>
            </w:r>
          </w:p>
        </w:tc>
        <w:tc>
          <w:tcPr>
            <w:tcW w:w="2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6,581</w:t>
            </w:r>
          </w:p>
        </w:tc>
        <w:tc>
          <w:tcPr>
            <w:tcW w:w="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523</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2,735</w:t>
            </w:r>
          </w:p>
        </w:tc>
        <w:tc>
          <w:tcPr>
            <w:tcW w:w="2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746</w:t>
            </w:r>
          </w:p>
        </w:tc>
        <w:tc>
          <w:tcPr>
            <w:tcW w:w="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28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17,274</w:t>
            </w: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national and local economic trends;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rate of growth in the portfolio;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•Trends of delinquencies and nonaccrual balances;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loan policy;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lending management experience and related staffing.</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allowance for credit losses summarized on the basis of the Company’s calculation methodology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gridSpan w:val="4"/>
          </w:tcPr>
          <w:p>
            <w:pPr>
              <w:jc w:val="right"/>
              <w:ind w:right="144"/>
              <w:spacing w:after="0"/>
              <w:rPr>
                <w:sz w:val="20"/>
                <w:szCs w:val="20"/>
                <w:color w:val="auto"/>
              </w:rPr>
            </w:pPr>
            <w:r>
              <w:rPr>
                <w:rFonts w:ascii="Times New Roman" w:cs="Times New Roman" w:eastAsia="Times New Roman" w:hAnsi="Times New Roman"/>
                <w:sz w:val="16"/>
                <w:szCs w:val="16"/>
                <w:color w:val="auto"/>
              </w:rPr>
              <w:t>As of September 30, 2025</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1-4 family</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first-lien</w:t>
            </w: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Home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residential</w:t>
            </w: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construction</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20" w:type="dxa"/>
            <w:vAlign w:val="bottom"/>
          </w:tcPr>
          <w:p>
            <w:pPr>
              <w:spacing w:after="0"/>
              <w:rPr>
                <w:sz w:val="14"/>
                <w:szCs w:val="14"/>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lines of</w:t>
            </w:r>
          </w:p>
        </w:tc>
        <w:tc>
          <w:tcPr>
            <w:tcW w:w="240" w:type="dxa"/>
            <w:vAlign w:val="bottom"/>
          </w:tcPr>
          <w:p>
            <w:pPr>
              <w:spacing w:after="0"/>
              <w:rPr>
                <w:sz w:val="14"/>
                <w:szCs w:val="14"/>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and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w w:val="98"/>
              </w:rPr>
              <w:t>equity and</w:t>
            </w:r>
          </w:p>
        </w:tc>
        <w:tc>
          <w:tcPr>
            <w:tcW w:w="180" w:type="dxa"/>
            <w:vAlign w:val="bottom"/>
          </w:tcPr>
          <w:p>
            <w:pPr>
              <w:spacing w:after="0"/>
              <w:rPr>
                <w:sz w:val="14"/>
                <w:szCs w:val="14"/>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1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mortgage</w:t>
            </w:r>
          </w:p>
        </w:tc>
        <w:tc>
          <w:tcPr>
            <w:tcW w:w="22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mortgage</w:t>
            </w:r>
          </w:p>
        </w:tc>
        <w:tc>
          <w:tcPr>
            <w:tcW w:w="22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auto"/>
              </w:rPr>
              <w:t>real estate</w:t>
            </w:r>
          </w:p>
        </w:tc>
        <w:tc>
          <w:tcPr>
            <w:tcW w:w="42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credit</w:t>
            </w:r>
          </w:p>
        </w:tc>
        <w:tc>
          <w:tcPr>
            <w:tcW w:w="24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industrial</w:t>
            </w: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Tax exempt</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junior liens</w:t>
            </w:r>
          </w:p>
        </w:tc>
        <w:tc>
          <w:tcPr>
            <w:tcW w:w="18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Specifically reserved</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65"/>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3,568</w:t>
            </w:r>
          </w:p>
        </w:tc>
        <w:tc>
          <w:tcPr>
            <w:tcW w:w="4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1,570</w:t>
            </w:r>
          </w:p>
        </w:tc>
        <w:tc>
          <w:tcPr>
            <w:tcW w:w="540" w:type="dxa"/>
            <w:vAlign w:val="bottom"/>
            <w:shd w:val="clear" w:color="auto" w:fill="CFF0FC"/>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3,101</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8,625</w:t>
            </w:r>
          </w:p>
        </w:tc>
        <w:tc>
          <w:tcPr>
            <w:tcW w:w="0" w:type="dxa"/>
            <w:vAlign w:val="bottom"/>
          </w:tcPr>
          <w:p>
            <w:pPr>
              <w:spacing w:after="0"/>
              <w:rPr>
                <w:sz w:val="1"/>
                <w:szCs w:val="1"/>
                <w:color w:val="auto"/>
              </w:rPr>
            </w:pPr>
          </w:p>
        </w:tc>
      </w:tr>
      <w:tr>
        <w:trPr>
          <w:trHeight w:val="180"/>
        </w:trPr>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640" w:type="dxa"/>
            <w:vAlign w:val="bottom"/>
          </w:tcPr>
          <w:p>
            <w:pPr>
              <w:spacing w:after="0"/>
              <w:rPr>
                <w:sz w:val="15"/>
                <w:szCs w:val="15"/>
                <w:color w:val="auto"/>
              </w:rPr>
            </w:pPr>
          </w:p>
        </w:tc>
        <w:tc>
          <w:tcPr>
            <w:tcW w:w="7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2,350</w:t>
            </w:r>
          </w:p>
        </w:tc>
        <w:tc>
          <w:tcPr>
            <w:tcW w:w="220" w:type="dxa"/>
            <w:vAlign w:val="bottom"/>
          </w:tcPr>
          <w:p>
            <w:pPr>
              <w:spacing w:after="0"/>
              <w:rPr>
                <w:sz w:val="15"/>
                <w:szCs w:val="15"/>
                <w:color w:val="auto"/>
              </w:rPr>
            </w:pPr>
          </w:p>
        </w:tc>
        <w:tc>
          <w:tcPr>
            <w:tcW w:w="6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220" w:type="dxa"/>
            <w:vAlign w:val="bottom"/>
          </w:tcPr>
          <w:p>
            <w:pPr>
              <w:spacing w:after="0"/>
              <w:rPr>
                <w:sz w:val="15"/>
                <w:szCs w:val="15"/>
                <w:color w:val="auto"/>
              </w:rPr>
            </w:pPr>
          </w:p>
        </w:tc>
        <w:tc>
          <w:tcPr>
            <w:tcW w:w="6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4,162</w:t>
            </w:r>
          </w:p>
        </w:tc>
        <w:tc>
          <w:tcPr>
            <w:tcW w:w="420" w:type="dxa"/>
            <w:vAlign w:val="bottom"/>
          </w:tcPr>
          <w:p>
            <w:pPr>
              <w:spacing w:after="0"/>
              <w:rPr>
                <w:sz w:val="15"/>
                <w:szCs w:val="15"/>
                <w:color w:val="auto"/>
              </w:rPr>
            </w:pPr>
          </w:p>
        </w:tc>
        <w:tc>
          <w:tcPr>
            <w:tcW w:w="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240" w:type="dxa"/>
            <w:vAlign w:val="bottom"/>
          </w:tcPr>
          <w:p>
            <w:pPr>
              <w:spacing w:after="0"/>
              <w:rPr>
                <w:sz w:val="15"/>
                <w:szCs w:val="15"/>
                <w:color w:val="auto"/>
              </w:rPr>
            </w:pPr>
          </w:p>
        </w:tc>
        <w:tc>
          <w:tcPr>
            <w:tcW w:w="7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1,331</w:t>
            </w:r>
          </w:p>
        </w:tc>
        <w:tc>
          <w:tcPr>
            <w:tcW w:w="540" w:type="dxa"/>
            <w:vAlign w:val="bottom"/>
          </w:tcPr>
          <w:p>
            <w:pPr>
              <w:spacing w:after="0"/>
              <w:rPr>
                <w:sz w:val="15"/>
                <w:szCs w:val="15"/>
                <w:color w:val="auto"/>
              </w:rPr>
            </w:pPr>
          </w:p>
        </w:tc>
        <w:tc>
          <w:tcPr>
            <w:tcW w:w="4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5"/>
                <w:szCs w:val="15"/>
                <w:color w:val="auto"/>
              </w:rPr>
            </w:pPr>
          </w:p>
        </w:tc>
        <w:tc>
          <w:tcPr>
            <w:tcW w:w="7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180" w:type="dxa"/>
            <w:vAlign w:val="bottom"/>
          </w:tcPr>
          <w:p>
            <w:pPr>
              <w:spacing w:after="0"/>
              <w:rPr>
                <w:sz w:val="15"/>
                <w:szCs w:val="15"/>
                <w:color w:val="auto"/>
              </w:rPr>
            </w:pPr>
          </w:p>
        </w:tc>
        <w:tc>
          <w:tcPr>
            <w:tcW w:w="7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15"/>
                <w:szCs w:val="15"/>
                <w:color w:val="auto"/>
              </w:rPr>
            </w:pP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8,785</w:t>
            </w:r>
          </w:p>
        </w:tc>
        <w:tc>
          <w:tcPr>
            <w:tcW w:w="0" w:type="dxa"/>
            <w:vAlign w:val="bottom"/>
          </w:tcPr>
          <w:p>
            <w:pPr>
              <w:spacing w:after="0"/>
              <w:rPr>
                <w:sz w:val="1"/>
                <w:szCs w:val="1"/>
                <w:color w:val="auto"/>
              </w:rPr>
            </w:pPr>
          </w:p>
        </w:tc>
      </w:tr>
      <w:tr>
        <w:trPr>
          <w:trHeight w:val="203"/>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Qualitative factors</w:t>
            </w:r>
          </w:p>
        </w:tc>
        <w:tc>
          <w:tcPr>
            <w:tcW w:w="64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(352)</w:t>
            </w:r>
          </w:p>
        </w:tc>
        <w:tc>
          <w:tcPr>
            <w:tcW w:w="22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909</w:t>
            </w:r>
          </w:p>
        </w:tc>
        <w:tc>
          <w:tcPr>
            <w:tcW w:w="420" w:type="dxa"/>
            <w:vAlign w:val="bottom"/>
            <w:shd w:val="clear" w:color="auto" w:fill="CFF0FC"/>
          </w:tcPr>
          <w:p>
            <w:pPr>
              <w:spacing w:after="0"/>
              <w:rPr>
                <w:sz w:val="17"/>
                <w:szCs w:val="17"/>
                <w:color w:val="auto"/>
              </w:rPr>
            </w:pPr>
          </w:p>
        </w:tc>
        <w:tc>
          <w:tcPr>
            <w:tcW w:w="54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623</w:t>
            </w:r>
          </w:p>
        </w:tc>
        <w:tc>
          <w:tcPr>
            <w:tcW w:w="540" w:type="dxa"/>
            <w:vAlign w:val="bottom"/>
            <w:shd w:val="clear" w:color="auto" w:fill="CFF0FC"/>
          </w:tcPr>
          <w:p>
            <w:pPr>
              <w:spacing w:after="0"/>
              <w:rPr>
                <w:sz w:val="17"/>
                <w:szCs w:val="17"/>
                <w:color w:val="auto"/>
              </w:rPr>
            </w:pPr>
          </w:p>
        </w:tc>
        <w:tc>
          <w:tcPr>
            <w:tcW w:w="40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85"/>
        </w:trPr>
        <w:tc>
          <w:tcPr>
            <w:tcW w:w="186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40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00" w:type="dxa"/>
            <w:vAlign w:val="bottom"/>
            <w:vMerge w:val="continue"/>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60" w:type="dxa"/>
            <w:vAlign w:val="bottom"/>
            <w:tcBorders>
              <w:bottom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2,102</w:t>
            </w: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220" w:type="dxa"/>
            <w:vAlign w:val="bottom"/>
            <w:tcBorders>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8,639</w:t>
            </w:r>
          </w:p>
        </w:tc>
        <w:tc>
          <w:tcPr>
            <w:tcW w:w="420" w:type="dxa"/>
            <w:vAlign w:val="bottom"/>
            <w:tcBorders>
              <w:bottom w:val="single" w:sz="8" w:color="auto"/>
            </w:tcBorders>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372</w:t>
            </w:r>
          </w:p>
        </w:tc>
        <w:tc>
          <w:tcPr>
            <w:tcW w:w="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3,524</w:t>
            </w:r>
          </w:p>
        </w:tc>
        <w:tc>
          <w:tcPr>
            <w:tcW w:w="540" w:type="dxa"/>
            <w:vAlign w:val="bottom"/>
            <w:tcBorders>
              <w:bottom w:val="single" w:sz="8" w:color="auto"/>
            </w:tcBorders>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442</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3,296</w:t>
            </w:r>
          </w:p>
        </w:tc>
        <w:tc>
          <w:tcPr>
            <w:tcW w:w="2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18,654</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4"/>
          </w:tcPr>
          <w:p>
            <w:pPr>
              <w:jc w:val="right"/>
              <w:ind w:right="164"/>
              <w:spacing w:after="0"/>
              <w:rPr>
                <w:sz w:val="20"/>
                <w:szCs w:val="20"/>
                <w:color w:val="auto"/>
              </w:rPr>
            </w:pPr>
            <w:r>
              <w:rPr>
                <w:rFonts w:ascii="Times New Roman" w:cs="Times New Roman" w:eastAsia="Times New Roman" w:hAnsi="Times New Roman"/>
                <w:sz w:val="16"/>
                <w:szCs w:val="16"/>
                <w:color w:val="auto"/>
              </w:rPr>
              <w:t>As of December 31, 2024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1-4 family</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first-lien</w:t>
            </w: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Home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0" w:type="dxa"/>
            <w:vAlign w:val="bottom"/>
          </w:tcPr>
          <w:p>
            <w:pPr>
              <w:spacing w:after="0"/>
              <w:rPr>
                <w:sz w:val="14"/>
                <w:szCs w:val="14"/>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residential</w:t>
            </w: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construction</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20" w:type="dxa"/>
            <w:vAlign w:val="bottom"/>
          </w:tcPr>
          <w:p>
            <w:pPr>
              <w:spacing w:after="0"/>
              <w:rPr>
                <w:sz w:val="14"/>
                <w:szCs w:val="14"/>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lines of</w:t>
            </w:r>
          </w:p>
        </w:tc>
        <w:tc>
          <w:tcPr>
            <w:tcW w:w="240" w:type="dxa"/>
            <w:vAlign w:val="bottom"/>
          </w:tcPr>
          <w:p>
            <w:pPr>
              <w:spacing w:after="0"/>
              <w:rPr>
                <w:sz w:val="14"/>
                <w:szCs w:val="14"/>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and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w w:val="98"/>
              </w:rPr>
              <w:t>equity and</w:t>
            </w:r>
          </w:p>
        </w:tc>
        <w:tc>
          <w:tcPr>
            <w:tcW w:w="180" w:type="dxa"/>
            <w:vAlign w:val="bottom"/>
          </w:tcPr>
          <w:p>
            <w:pPr>
              <w:spacing w:after="0"/>
              <w:rPr>
                <w:sz w:val="14"/>
                <w:szCs w:val="14"/>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0"/>
        </w:trPr>
        <w:tc>
          <w:tcPr>
            <w:tcW w:w="1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mortgage</w:t>
            </w:r>
          </w:p>
        </w:tc>
        <w:tc>
          <w:tcPr>
            <w:tcW w:w="22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mortgage</w:t>
            </w:r>
          </w:p>
        </w:tc>
        <w:tc>
          <w:tcPr>
            <w:tcW w:w="22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auto"/>
              </w:rPr>
              <w:t>real estate</w:t>
            </w:r>
          </w:p>
        </w:tc>
        <w:tc>
          <w:tcPr>
            <w:tcW w:w="42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color w:val="auto"/>
              </w:rPr>
              <w:t>credit</w:t>
            </w:r>
          </w:p>
        </w:tc>
        <w:tc>
          <w:tcPr>
            <w:tcW w:w="24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industrial</w:t>
            </w: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Tax exempt</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junior liens</w:t>
            </w:r>
          </w:p>
        </w:tc>
        <w:tc>
          <w:tcPr>
            <w:tcW w:w="18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Specifically reserved</w:t>
            </w: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853</w:t>
            </w:r>
          </w:p>
        </w:tc>
        <w:tc>
          <w:tcPr>
            <w:tcW w:w="4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1,165</w:t>
            </w:r>
          </w:p>
        </w:tc>
        <w:tc>
          <w:tcPr>
            <w:tcW w:w="540" w:type="dxa"/>
            <w:vAlign w:val="bottom"/>
            <w:shd w:val="clear" w:color="auto" w:fill="CFF0FC"/>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3,774</w:t>
            </w: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6,404</w:t>
            </w:r>
          </w:p>
        </w:tc>
        <w:tc>
          <w:tcPr>
            <w:tcW w:w="0" w:type="dxa"/>
            <w:vAlign w:val="bottom"/>
          </w:tcPr>
          <w:p>
            <w:pPr>
              <w:spacing w:after="0"/>
              <w:rPr>
                <w:sz w:val="1"/>
                <w:szCs w:val="1"/>
                <w:color w:val="auto"/>
              </w:rPr>
            </w:pPr>
          </w:p>
        </w:tc>
      </w:tr>
      <w:tr>
        <w:trPr>
          <w:trHeight w:val="180"/>
        </w:trPr>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Historical loss rate</w:t>
            </w:r>
          </w:p>
        </w:tc>
        <w:tc>
          <w:tcPr>
            <w:tcW w:w="640" w:type="dxa"/>
            <w:vAlign w:val="bottom"/>
          </w:tcPr>
          <w:p>
            <w:pPr>
              <w:spacing w:after="0"/>
              <w:rPr>
                <w:sz w:val="15"/>
                <w:szCs w:val="15"/>
                <w:color w:val="auto"/>
              </w:rPr>
            </w:pPr>
          </w:p>
        </w:tc>
        <w:tc>
          <w:tcPr>
            <w:tcW w:w="740" w:type="dxa"/>
            <w:vAlign w:val="bottom"/>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1,474</w:t>
            </w:r>
          </w:p>
        </w:tc>
        <w:tc>
          <w:tcPr>
            <w:tcW w:w="220" w:type="dxa"/>
            <w:vAlign w:val="bottom"/>
          </w:tcPr>
          <w:p>
            <w:pPr>
              <w:spacing w:after="0"/>
              <w:rPr>
                <w:sz w:val="15"/>
                <w:szCs w:val="15"/>
                <w:color w:val="auto"/>
              </w:rPr>
            </w:pPr>
          </w:p>
        </w:tc>
        <w:tc>
          <w:tcPr>
            <w:tcW w:w="6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220" w:type="dxa"/>
            <w:vAlign w:val="bottom"/>
          </w:tcPr>
          <w:p>
            <w:pPr>
              <w:spacing w:after="0"/>
              <w:rPr>
                <w:sz w:val="15"/>
                <w:szCs w:val="15"/>
                <w:color w:val="auto"/>
              </w:rPr>
            </w:pPr>
          </w:p>
        </w:tc>
        <w:tc>
          <w:tcPr>
            <w:tcW w:w="6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2,779</w:t>
            </w:r>
          </w:p>
        </w:tc>
        <w:tc>
          <w:tcPr>
            <w:tcW w:w="420" w:type="dxa"/>
            <w:vAlign w:val="bottom"/>
          </w:tcPr>
          <w:p>
            <w:pPr>
              <w:spacing w:after="0"/>
              <w:rPr>
                <w:sz w:val="15"/>
                <w:szCs w:val="15"/>
                <w:color w:val="auto"/>
              </w:rPr>
            </w:pPr>
          </w:p>
        </w:tc>
        <w:tc>
          <w:tcPr>
            <w:tcW w:w="5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240" w:type="dxa"/>
            <w:vAlign w:val="bottom"/>
          </w:tcPr>
          <w:p>
            <w:pPr>
              <w:spacing w:after="0"/>
              <w:rPr>
                <w:sz w:val="15"/>
                <w:szCs w:val="15"/>
                <w:color w:val="auto"/>
              </w:rPr>
            </w:pPr>
          </w:p>
        </w:tc>
        <w:tc>
          <w:tcPr>
            <w:tcW w:w="70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1,032</w:t>
            </w:r>
          </w:p>
        </w:tc>
        <w:tc>
          <w:tcPr>
            <w:tcW w:w="540" w:type="dxa"/>
            <w:vAlign w:val="bottom"/>
          </w:tcPr>
          <w:p>
            <w:pPr>
              <w:spacing w:after="0"/>
              <w:rPr>
                <w:sz w:val="15"/>
                <w:szCs w:val="15"/>
                <w:color w:val="auto"/>
              </w:rPr>
            </w:pPr>
          </w:p>
        </w:tc>
        <w:tc>
          <w:tcPr>
            <w:tcW w:w="4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5"/>
                <w:szCs w:val="15"/>
                <w:color w:val="auto"/>
              </w:rPr>
            </w:pPr>
          </w:p>
        </w:tc>
        <w:tc>
          <w:tcPr>
            <w:tcW w:w="7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180" w:type="dxa"/>
            <w:vAlign w:val="bottom"/>
          </w:tcPr>
          <w:p>
            <w:pPr>
              <w:spacing w:after="0"/>
              <w:rPr>
                <w:sz w:val="15"/>
                <w:szCs w:val="15"/>
                <w:color w:val="auto"/>
              </w:rPr>
            </w:pPr>
          </w:p>
        </w:tc>
        <w:tc>
          <w:tcPr>
            <w:tcW w:w="7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260" w:type="dxa"/>
            <w:vAlign w:val="bottom"/>
          </w:tcPr>
          <w:p>
            <w:pPr>
              <w:spacing w:after="0"/>
              <w:rPr>
                <w:sz w:val="15"/>
                <w:szCs w:val="15"/>
                <w:color w:val="auto"/>
              </w:rPr>
            </w:pPr>
          </w:p>
        </w:tc>
        <w:tc>
          <w:tcPr>
            <w:tcW w:w="6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6,570</w:t>
            </w:r>
          </w:p>
        </w:tc>
        <w:tc>
          <w:tcPr>
            <w:tcW w:w="0" w:type="dxa"/>
            <w:vAlign w:val="bottom"/>
          </w:tcPr>
          <w:p>
            <w:pPr>
              <w:spacing w:after="0"/>
              <w:rPr>
                <w:sz w:val="1"/>
                <w:szCs w:val="1"/>
                <w:color w:val="auto"/>
              </w:rPr>
            </w:pPr>
          </w:p>
        </w:tc>
      </w:tr>
      <w:tr>
        <w:trPr>
          <w:trHeight w:val="180"/>
        </w:trPr>
        <w:tc>
          <w:tcPr>
            <w:tcW w:w="1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Qualitative factors</w:t>
            </w:r>
          </w:p>
        </w:tc>
        <w:tc>
          <w:tcPr>
            <w:tcW w:w="6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3,114</w:t>
            </w:r>
          </w:p>
        </w:tc>
        <w:tc>
          <w:tcPr>
            <w:tcW w:w="4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5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180"/>
        </w:trPr>
        <w:tc>
          <w:tcPr>
            <w:tcW w:w="1860" w:type="dxa"/>
            <w:vAlign w:val="bottom"/>
            <w:tcBorders>
              <w:bottom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5"/>
              <w:spacing w:after="0" w:line="180" w:lineRule="exact"/>
              <w:rPr>
                <w:sz w:val="20"/>
                <w:szCs w:val="20"/>
                <w:color w:val="auto"/>
              </w:rPr>
            </w:pPr>
            <w:r>
              <w:rPr>
                <w:rFonts w:ascii="Times New Roman" w:cs="Times New Roman" w:eastAsia="Times New Roman" w:hAnsi="Times New Roman"/>
                <w:sz w:val="16"/>
                <w:szCs w:val="16"/>
                <w:color w:val="auto"/>
              </w:rPr>
              <w:t>1,467</w:t>
            </w: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592</w:t>
            </w:r>
          </w:p>
        </w:tc>
        <w:tc>
          <w:tcPr>
            <w:tcW w:w="220" w:type="dxa"/>
            <w:vAlign w:val="bottom"/>
            <w:tcBorders>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6,746</w:t>
            </w:r>
          </w:p>
        </w:tc>
        <w:tc>
          <w:tcPr>
            <w:tcW w:w="420" w:type="dxa"/>
            <w:vAlign w:val="bottom"/>
            <w:tcBorders>
              <w:bottom w:val="single" w:sz="8" w:color="auto"/>
            </w:tcBorders>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2,879</w:t>
            </w:r>
          </w:p>
        </w:tc>
        <w:tc>
          <w:tcPr>
            <w:tcW w:w="540" w:type="dxa"/>
            <w:vAlign w:val="bottom"/>
            <w:tcBorders>
              <w:bottom w:val="single" w:sz="8" w:color="auto"/>
            </w:tcBorders>
          </w:tcPr>
          <w:p>
            <w:pPr>
              <w:jc w:val="right"/>
              <w:ind w:right="2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715</w:t>
            </w:r>
          </w:p>
        </w:tc>
        <w:tc>
          <w:tcPr>
            <w:tcW w:w="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4,091</w:t>
            </w:r>
          </w:p>
        </w:tc>
        <w:tc>
          <w:tcPr>
            <w:tcW w:w="2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17,243</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2"/>
              </w:rPr>
              <w:t xml:space="preserve">- </w:t>
            </w:r>
            <w:r>
              <w:rPr>
                <w:rFonts w:ascii="Times New Roman" w:cs="Times New Roman" w:eastAsia="Times New Roman" w:hAnsi="Times New Roman"/>
                <w:sz w:val="16"/>
                <w:szCs w:val="16"/>
                <w:b w:val="1"/>
                <w:bCs w:val="1"/>
                <w:color w:val="auto"/>
                <w:w w:val="92"/>
              </w:rPr>
              <w:t>32</w:t>
            </w:r>
            <w:r>
              <w:rPr>
                <w:rFonts w:ascii="Times New Roman" w:cs="Times New Roman" w:eastAsia="Times New Roman" w:hAnsi="Times New Roman"/>
                <w:sz w:val="16"/>
                <w:szCs w:val="16"/>
                <w:color w:val="auto"/>
                <w:w w:val="92"/>
              </w:rPr>
              <w:t xml:space="preserve"> -</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8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Collateral Dependent Disclosures</w:t>
      </w:r>
    </w:p>
    <w:p>
      <w:pPr>
        <w:spacing w:after="0" w:line="108"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56"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18"/>
          <w:szCs w:val="18"/>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•Residential real estate loans are typically secured by first mortgages, and in some cases could be secured by a second mortgage.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•Home equity lines of credit are generally secured by second mortgages on residential real estate property.</w:t>
      </w:r>
    </w:p>
    <w:p>
      <w:pPr>
        <w:spacing w:after="0" w:line="105" w:lineRule="exact"/>
        <w:rPr>
          <w:sz w:val="20"/>
          <w:szCs w:val="20"/>
          <w:color w:val="auto"/>
        </w:rPr>
      </w:pPr>
    </w:p>
    <w:p>
      <w:pPr>
        <w:ind w:left="480" w:right="320"/>
        <w:spacing w:after="0" w:line="282" w:lineRule="auto"/>
        <w:rPr>
          <w:sz w:val="20"/>
          <w:szCs w:val="20"/>
          <w:color w:val="auto"/>
        </w:rPr>
      </w:pPr>
      <w:r>
        <w:rPr>
          <w:rFonts w:ascii="Times New Roman" w:cs="Times New Roman" w:eastAsia="Times New Roman" w:hAnsi="Times New Roman"/>
          <w:sz w:val="18"/>
          <w:szCs w:val="18"/>
          <w:color w:val="auto"/>
        </w:rPr>
        <w:t>•Consumer loans are generally secured by automobiles, motorcycles, recreational vehicles and other personal property. Some consumer loans are unsecured and have no underlying collateral.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amortized cost of collateral dependent loans at September 30, 2025 and 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tcPr>
          <w:p>
            <w:pPr>
              <w:spacing w:after="0"/>
              <w:rPr>
                <w:sz w:val="16"/>
                <w:szCs w:val="16"/>
                <w:color w:val="auto"/>
              </w:rPr>
            </w:pPr>
          </w:p>
        </w:tc>
        <w:tc>
          <w:tcPr>
            <w:tcW w:w="1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6,272</w:t>
            </w:r>
          </w:p>
        </w:tc>
        <w:tc>
          <w:tcPr>
            <w:tcW w:w="560" w:type="dxa"/>
            <w:vAlign w:val="bottom"/>
            <w:shd w:val="clear" w:color="auto" w:fill="CFF0FC"/>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7,478</w:t>
            </w: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3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23,863</w:t>
            </w:r>
          </w:p>
        </w:tc>
        <w:tc>
          <w:tcPr>
            <w:tcW w:w="560" w:type="dxa"/>
            <w:vAlign w:val="bottom"/>
          </w:tcPr>
          <w:p>
            <w:pPr>
              <w:spacing w:after="0"/>
              <w:rPr>
                <w:sz w:val="15"/>
                <w:szCs w:val="15"/>
                <w:color w:val="auto"/>
              </w:rPr>
            </w:pPr>
          </w:p>
        </w:tc>
        <w:tc>
          <w:tcPr>
            <w:tcW w:w="1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8,591</w:t>
            </w: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Residential (1-4 family) first mortgages</w:t>
            </w:r>
          </w:p>
        </w:tc>
        <w:tc>
          <w:tcPr>
            <w:tcW w:w="23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578</w:t>
            </w:r>
          </w:p>
        </w:tc>
        <w:tc>
          <w:tcPr>
            <w:tcW w:w="56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374</w:t>
            </w: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Home equity loans and lines of credit</w:t>
            </w:r>
          </w:p>
        </w:tc>
        <w:tc>
          <w:tcPr>
            <w:tcW w:w="230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504</w:t>
            </w:r>
          </w:p>
        </w:tc>
        <w:tc>
          <w:tcPr>
            <w:tcW w:w="56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528</w:t>
            </w:r>
          </w:p>
        </w:tc>
      </w:tr>
      <w:tr>
        <w:trPr>
          <w:trHeight w:val="180"/>
        </w:trPr>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loans</w:t>
            </w:r>
          </w:p>
        </w:tc>
        <w:tc>
          <w:tcPr>
            <w:tcW w:w="23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67</w:t>
            </w:r>
          </w:p>
        </w:tc>
      </w:tr>
      <w:tr>
        <w:trPr>
          <w:trHeight w:val="180"/>
        </w:trPr>
        <w:tc>
          <w:tcPr>
            <w:tcW w:w="448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loans</w:t>
            </w:r>
          </w:p>
        </w:tc>
        <w:tc>
          <w:tcPr>
            <w:tcW w:w="230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31,217</w:t>
            </w:r>
          </w:p>
        </w:tc>
        <w:tc>
          <w:tcPr>
            <w:tcW w:w="560" w:type="dxa"/>
            <w:vAlign w:val="bottom"/>
            <w:tcBorders>
              <w:bottom w:val="single" w:sz="8" w:color="auto"/>
            </w:tcBorders>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17,038</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Foreclosed Real Estate</w:t>
      </w: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required to disclose the carrying amount of foreclosed real estate properties held as a result of obtaining physical possession of the property at each reporting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20" w:type="dxa"/>
            <w:vAlign w:val="bottom"/>
          </w:tcPr>
          <w:p>
            <w:pPr>
              <w:jc w:val="center"/>
              <w:ind w:left="1802"/>
              <w:spacing w:after="0"/>
              <w:rPr>
                <w:sz w:val="20"/>
                <w:szCs w:val="20"/>
                <w:color w:val="auto"/>
              </w:rPr>
            </w:pPr>
            <w:r>
              <w:rPr>
                <w:rFonts w:ascii="Times New Roman" w:cs="Times New Roman" w:eastAsia="Times New Roman" w:hAnsi="Times New Roman"/>
                <w:sz w:val="16"/>
                <w:szCs w:val="16"/>
                <w:color w:val="auto"/>
                <w:w w:val="97"/>
              </w:rPr>
              <w:t>Number of</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September 30,</w:t>
            </w:r>
          </w:p>
        </w:tc>
        <w:tc>
          <w:tcPr>
            <w:tcW w:w="10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7"/>
              </w:rPr>
              <w:t>Number of</w:t>
            </w:r>
          </w:p>
        </w:tc>
        <w:tc>
          <w:tcPr>
            <w:tcW w:w="480" w:type="dxa"/>
            <w:vAlign w:val="bottom"/>
          </w:tcPr>
          <w:p>
            <w:pPr>
              <w:spacing w:after="0"/>
              <w:rPr>
                <w:sz w:val="16"/>
                <w:szCs w:val="16"/>
                <w:color w:val="auto"/>
              </w:rPr>
            </w:pPr>
          </w:p>
        </w:tc>
        <w:tc>
          <w:tcPr>
            <w:tcW w:w="114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5"/>
              </w:rPr>
              <w:t>December 31,</w:t>
            </w:r>
          </w:p>
        </w:tc>
        <w:tc>
          <w:tcPr>
            <w:tcW w:w="0" w:type="dxa"/>
            <w:vAlign w:val="bottom"/>
          </w:tcPr>
          <w:p>
            <w:pPr>
              <w:spacing w:after="0"/>
              <w:rPr>
                <w:sz w:val="1"/>
                <w:szCs w:val="1"/>
                <w:color w:val="auto"/>
              </w:rPr>
            </w:pPr>
          </w:p>
        </w:tc>
      </w:tr>
      <w:tr>
        <w:trPr>
          <w:trHeight w:val="193"/>
        </w:trPr>
        <w:tc>
          <w:tcPr>
            <w:tcW w:w="3420" w:type="dxa"/>
            <w:vAlign w:val="bottom"/>
            <w:vMerge w:val="continue"/>
          </w:tcPr>
          <w:p>
            <w:pPr>
              <w:spacing w:after="0"/>
              <w:rPr>
                <w:sz w:val="16"/>
                <w:szCs w:val="16"/>
                <w:color w:val="auto"/>
              </w:rPr>
            </w:pPr>
          </w:p>
        </w:tc>
        <w:tc>
          <w:tcPr>
            <w:tcW w:w="2720" w:type="dxa"/>
            <w:vAlign w:val="bottom"/>
          </w:tcPr>
          <w:p>
            <w:pPr>
              <w:jc w:val="center"/>
              <w:ind w:left="1822"/>
              <w:spacing w:after="0"/>
              <w:rPr>
                <w:sz w:val="20"/>
                <w:szCs w:val="20"/>
                <w:color w:val="auto"/>
              </w:rPr>
            </w:pPr>
            <w:r>
              <w:rPr>
                <w:rFonts w:ascii="Times New Roman" w:cs="Times New Roman" w:eastAsia="Times New Roman" w:hAnsi="Times New Roman"/>
                <w:sz w:val="16"/>
                <w:szCs w:val="16"/>
                <w:color w:val="auto"/>
                <w:w w:val="96"/>
              </w:rPr>
              <w:t>properties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2025</w:t>
            </w:r>
          </w:p>
        </w:tc>
        <w:tc>
          <w:tcPr>
            <w:tcW w:w="10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properties</w:t>
            </w:r>
          </w:p>
        </w:tc>
        <w:tc>
          <w:tcPr>
            <w:tcW w:w="480" w:type="dxa"/>
            <w:vAlign w:val="bottom"/>
          </w:tcPr>
          <w:p>
            <w:pPr>
              <w:spacing w:after="0"/>
              <w:rPr>
                <w:sz w:val="16"/>
                <w:szCs w:val="16"/>
                <w:color w:val="auto"/>
              </w:rPr>
            </w:pPr>
          </w:p>
        </w:tc>
        <w:tc>
          <w:tcPr>
            <w:tcW w:w="114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20"/>
        </w:trPr>
        <w:tc>
          <w:tcPr>
            <w:tcW w:w="3420" w:type="dxa"/>
            <w:vAlign w:val="bottom"/>
            <w:tcBorders>
              <w:bottom w:val="single" w:sz="8" w:color="auto"/>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27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0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   $</w:t>
            </w:r>
          </w:p>
        </w:tc>
        <w:tc>
          <w:tcPr>
            <w:tcW w:w="114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the Company reported $552,000 and $1.2 million, respectively, in real estate loans in the process of foreclosure.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Guarantees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are essentially the same as those that are involved in extending loan facilities to customers. The Company generally holds collateral and/or personal guarantees supporting these commitments. The Company had $3.1 million and $2.4 million of standby letters of credit as of September 30, 2025 and December 31, 2024, respectively. Management believes that the proceeds obtained through a liquidation of collateral and the enforcement of guarantees would be sufficient to cover the potential amount of future payments required under the corresponding guarantees. The fair value of standby letters of credit was not significant to the Company’s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33</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4" w:name="page35"/>
    <w:bookmarkEnd w:id="3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2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Level 1 – Quoted prices (unadjusted) for identical assets or liabilities in active markets that the entity has the ability to access as of the measurement date.</w:t>
      </w:r>
    </w:p>
    <w:p>
      <w:pPr>
        <w:spacing w:after="0" w:line="1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Model-derived valuations in which one or more significant inputs or significant value drivers are unobservable.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asset’s or liability’s level within the fair value hierarchy is based on the lowest level of input that is significant to the fair value measurement.</w:t>
      </w:r>
    </w:p>
    <w:p>
      <w:pPr>
        <w:spacing w:after="0" w:line="177"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holds two corporate investment securities with an amortized historical cost of $4.1 million and an aggregate fair market value of $4.2 million as of September 30, 2025.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4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also holds two limited partnership investments managed by an unrelated third party with an aggregate fair market value of $5.4 million and $4.1 million as of September 30, 2025 and December 31, 2024, respectively. The investments are funds comprised of marketable equity securities, primarily issued by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1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34</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 w:name="page36"/>
    <w:bookmarkEnd w:id="35"/>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cash flows and applying appropriate discount rates is built by obtaining publicly available third party market quotes for various swap maturity terms.</w:t>
      </w:r>
    </w:p>
    <w:p>
      <w:pPr>
        <w:spacing w:after="0" w:line="1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Individually evaluated loans: Specifically-identified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Specifically-identified loans are subject to nonrecurring fair value adjustment upon initial recognition or subsequent impairment. A portion of the allowance for credit losses is allocated to specifically-identified loans if the value of such loans is deemed to be less than the unpaid balance.</w:t>
      </w:r>
    </w:p>
    <w:p>
      <w:pPr>
        <w:spacing w:after="0" w:line="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recurring basis as of the indicated dates, segregated by the level of valuation inputs within the hierarchy utilized to measure fair value: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Level 1</w:t>
            </w:r>
          </w:p>
        </w:tc>
        <w:tc>
          <w:tcPr>
            <w:tcW w:w="50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600" w:type="dxa"/>
            <w:vAlign w:val="bottom"/>
          </w:tcPr>
          <w:p>
            <w:pPr>
              <w:spacing w:after="0"/>
              <w:rPr>
                <w:sz w:val="16"/>
                <w:szCs w:val="16"/>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82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66,226</w:t>
            </w:r>
          </w:p>
        </w:tc>
        <w:tc>
          <w:tcPr>
            <w:tcW w:w="60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66,226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82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32,947</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32,947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5,345</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 issuances measured at NAV</w:t>
            </w:r>
          </w:p>
        </w:tc>
        <w:tc>
          <w:tcPr>
            <w:tcW w:w="82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22,727</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82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51,803</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51,803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19,351</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82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91,650</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91,650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290,049</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294,251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8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82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206</w:t>
            </w:r>
          </w:p>
        </w:tc>
        <w:tc>
          <w:tcPr>
            <w:tcW w:w="5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290,049</w:t>
            </w:r>
          </w:p>
        </w:tc>
        <w:tc>
          <w:tcPr>
            <w:tcW w:w="60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294,457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8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vMerge w:val="continue"/>
          </w:tcPr>
          <w:p>
            <w:pPr>
              <w:spacing w:after="0"/>
              <w:rPr>
                <w:sz w:val="15"/>
                <w:szCs w:val="15"/>
                <w:color w:val="auto"/>
              </w:rPr>
            </w:pPr>
          </w:p>
        </w:tc>
        <w:tc>
          <w:tcPr>
            <w:tcW w:w="482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820" w:type="dxa"/>
            <w:vAlign w:val="bottom"/>
            <w:tcBorders>
              <w:bottom w:val="single" w:sz="8" w:color="auto"/>
            </w:tcBorders>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5,352</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8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8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1,272</w:t>
            </w:r>
          </w:p>
        </w:tc>
        <w:tc>
          <w:tcPr>
            <w:tcW w:w="60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35</w:t>
            </w:r>
            <w:r>
              <w:rPr>
                <w:rFonts w:ascii="Times New Roman" w:cs="Times New Roman" w:eastAsia="Times New Roman" w:hAnsi="Times New Roman"/>
                <w:sz w:val="16"/>
                <w:szCs w:val="16"/>
                <w:color w:val="auto"/>
              </w:rPr>
              <w:t xml:space="preserve"> -</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8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 w:name="page37"/>
    <w:bookmarkEnd w:id="36"/>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Level 1</w:t>
            </w:r>
          </w:p>
        </w:tc>
        <w:tc>
          <w:tcPr>
            <w:tcW w:w="50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600" w:type="dxa"/>
            <w:vAlign w:val="bottom"/>
          </w:tcPr>
          <w:p>
            <w:pPr>
              <w:spacing w:after="0"/>
              <w:rPr>
                <w:sz w:val="16"/>
                <w:szCs w:val="16"/>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investment securities:</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 Treasury, agencies and GSEs</w:t>
            </w:r>
          </w:p>
        </w:tc>
        <w:tc>
          <w:tcPr>
            <w:tcW w:w="68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60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70,425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State and political subdivisions</w:t>
            </w:r>
          </w:p>
        </w:tc>
        <w:tc>
          <w:tcPr>
            <w:tcW w:w="680" w:type="dxa"/>
            <w:vAlign w:val="bottom"/>
          </w:tcPr>
          <w:p>
            <w:pPr>
              <w:spacing w:after="0"/>
              <w:rPr>
                <w:sz w:val="15"/>
                <w:szCs w:val="15"/>
                <w:color w:val="auto"/>
              </w:rPr>
            </w:pPr>
          </w:p>
        </w:tc>
        <w:tc>
          <w:tcPr>
            <w:tcW w:w="8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33,322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6,636</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Corporate issuances measured at NAV</w:t>
            </w:r>
          </w:p>
        </w:tc>
        <w:tc>
          <w:tcPr>
            <w:tcW w:w="680" w:type="dxa"/>
            <w:vAlign w:val="bottom"/>
          </w:tcPr>
          <w:p>
            <w:pPr>
              <w:spacing w:after="0"/>
              <w:rPr>
                <w:sz w:val="15"/>
                <w:szCs w:val="15"/>
                <w:color w:val="auto"/>
              </w:rPr>
            </w:pPr>
          </w:p>
        </w:tc>
        <w:tc>
          <w:tcPr>
            <w:tcW w:w="8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Asset backed securities</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Residential mortgage-backed - US agency</w:t>
            </w:r>
          </w:p>
        </w:tc>
        <w:tc>
          <w:tcPr>
            <w:tcW w:w="680" w:type="dxa"/>
            <w:vAlign w:val="bottom"/>
          </w:tcPr>
          <w:p>
            <w:pPr>
              <w:spacing w:after="0"/>
              <w:rPr>
                <w:sz w:val="15"/>
                <w:szCs w:val="15"/>
                <w:color w:val="auto"/>
              </w:rPr>
            </w:pPr>
          </w:p>
        </w:tc>
        <w:tc>
          <w:tcPr>
            <w:tcW w:w="8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39,171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13,530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680" w:type="dxa"/>
            <w:vAlign w:val="bottom"/>
          </w:tcPr>
          <w:p>
            <w:pPr>
              <w:spacing w:after="0"/>
              <w:rPr>
                <w:sz w:val="15"/>
                <w:szCs w:val="15"/>
                <w:color w:val="auto"/>
              </w:rPr>
            </w:pPr>
          </w:p>
        </w:tc>
        <w:tc>
          <w:tcPr>
            <w:tcW w:w="88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600" w:type="dxa"/>
            <w:vAlign w:val="bottom"/>
          </w:tcPr>
          <w:p>
            <w:pPr>
              <w:spacing w:after="0"/>
              <w:rPr>
                <w:sz w:val="15"/>
                <w:szCs w:val="15"/>
                <w:color w:val="auto"/>
              </w:rPr>
            </w:pPr>
          </w:p>
        </w:tc>
        <w:tc>
          <w:tcPr>
            <w:tcW w:w="6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83,309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269,125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 - financial services industry</w:t>
            </w: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5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68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50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600" w:type="dxa"/>
            <w:vAlign w:val="bottom"/>
            <w:tcBorders>
              <w:bottom w:val="single" w:sz="8" w:color="auto"/>
            </w:tcBorders>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269,331</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9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vMerge w:val="continue"/>
          </w:tcPr>
          <w:p>
            <w:pPr>
              <w:spacing w:after="0"/>
              <w:rPr>
                <w:sz w:val="15"/>
                <w:szCs w:val="15"/>
                <w:color w:val="auto"/>
              </w:rPr>
            </w:pPr>
          </w:p>
        </w:tc>
        <w:tc>
          <w:tcPr>
            <w:tcW w:w="49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68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9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6,086</w:t>
            </w:r>
          </w:p>
        </w:tc>
        <w:tc>
          <w:tcPr>
            <w:tcW w:w="6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Pathfinder Bank had the following assets measured at fair value on a nonrecurring basis as of September 30, 2025 and December 31,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September 30, 2025</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5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8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2</w:t>
            </w:r>
          </w:p>
        </w:tc>
        <w:tc>
          <w:tcPr>
            <w:tcW w:w="700" w:type="dxa"/>
            <w:vAlign w:val="bottom"/>
          </w:tcPr>
          <w:p>
            <w:pPr>
              <w:spacing w:after="0"/>
              <w:rPr>
                <w:sz w:val="16"/>
                <w:szCs w:val="16"/>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Individually evaluated loans</w:t>
            </w:r>
          </w:p>
        </w:tc>
        <w:tc>
          <w:tcPr>
            <w:tcW w:w="210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10,581</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10,581</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210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137</w:t>
            </w:r>
          </w:p>
        </w:tc>
        <w:tc>
          <w:tcPr>
            <w:tcW w:w="40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407"/>
        </w:trPr>
        <w:tc>
          <w:tcPr>
            <w:tcW w:w="3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2024</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5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8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2</w:t>
            </w:r>
          </w:p>
        </w:tc>
        <w:tc>
          <w:tcPr>
            <w:tcW w:w="700" w:type="dxa"/>
            <w:vAlign w:val="bottom"/>
          </w:tcPr>
          <w:p>
            <w:pPr>
              <w:spacing w:after="0"/>
              <w:rPr>
                <w:sz w:val="16"/>
                <w:szCs w:val="16"/>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Individually evaluated loans</w:t>
            </w:r>
          </w:p>
        </w:tc>
        <w:tc>
          <w:tcPr>
            <w:tcW w:w="210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13,020</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13,020</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210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presents additional quantitative information about assets measured at fair value on a nonrecurring basis and for which Level 3 inputs were used to determine fair value at the indicated dates.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7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21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Valuation</w:t>
            </w:r>
          </w:p>
        </w:tc>
        <w:tc>
          <w:tcPr>
            <w:tcW w:w="47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Unobservable</w:t>
            </w:r>
          </w:p>
        </w:tc>
        <w:tc>
          <w:tcPr>
            <w:tcW w:w="17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8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At September 30, 2025</w:t>
            </w:r>
          </w:p>
        </w:tc>
        <w:tc>
          <w:tcPr>
            <w:tcW w:w="21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Techniques</w:t>
            </w:r>
          </w:p>
        </w:tc>
        <w:tc>
          <w:tcPr>
            <w:tcW w:w="47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Input</w:t>
            </w:r>
          </w:p>
        </w:tc>
        <w:tc>
          <w:tcPr>
            <w:tcW w:w="17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60"/>
        </w:trPr>
        <w:tc>
          <w:tcPr>
            <w:tcW w:w="19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 loans</w:t>
            </w:r>
          </w:p>
        </w:tc>
        <w:tc>
          <w:tcPr>
            <w:tcW w:w="216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00" w:type="dxa"/>
            <w:vAlign w:val="bottom"/>
            <w:shd w:val="clear" w:color="auto" w:fill="CFF0FC"/>
          </w:tcPr>
          <w:p>
            <w:pPr>
              <w:jc w:val="center"/>
              <w:ind w:right="148"/>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13% - 53% (30%)</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w:t>
            </w:r>
          </w:p>
        </w:tc>
        <w:tc>
          <w:tcPr>
            <w:tcW w:w="21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Costs to Sell</w:t>
            </w:r>
          </w:p>
        </w:tc>
        <w:tc>
          <w:tcPr>
            <w:tcW w:w="17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21% - 24% (22%)</w:t>
            </w:r>
          </w:p>
        </w:tc>
        <w:tc>
          <w:tcPr>
            <w:tcW w:w="0" w:type="dxa"/>
            <w:vAlign w:val="bottom"/>
          </w:tcPr>
          <w:p>
            <w:pPr>
              <w:spacing w:after="0"/>
              <w:rPr>
                <w:sz w:val="1"/>
                <w:szCs w:val="1"/>
                <w:color w:val="auto"/>
              </w:rPr>
            </w:pPr>
          </w:p>
        </w:tc>
      </w:tr>
      <w:tr>
        <w:trPr>
          <w:trHeight w:val="592"/>
        </w:trPr>
        <w:tc>
          <w:tcPr>
            <w:tcW w:w="1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21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Valuation</w:t>
            </w:r>
          </w:p>
        </w:tc>
        <w:tc>
          <w:tcPr>
            <w:tcW w:w="47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Unobservable</w:t>
            </w:r>
          </w:p>
        </w:tc>
        <w:tc>
          <w:tcPr>
            <w:tcW w:w="17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8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At December 31, 2024</w:t>
            </w:r>
          </w:p>
        </w:tc>
        <w:tc>
          <w:tcPr>
            <w:tcW w:w="21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Techniques</w:t>
            </w:r>
          </w:p>
        </w:tc>
        <w:tc>
          <w:tcPr>
            <w:tcW w:w="4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Input</w:t>
            </w:r>
          </w:p>
        </w:tc>
        <w:tc>
          <w:tcPr>
            <w:tcW w:w="17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60"/>
        </w:trPr>
        <w:tc>
          <w:tcPr>
            <w:tcW w:w="19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Individually evaluated loans</w:t>
            </w:r>
          </w:p>
        </w:tc>
        <w:tc>
          <w:tcPr>
            <w:tcW w:w="2160" w:type="dxa"/>
            <w:vAlign w:val="bottom"/>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0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12% - 70% (30%)</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w:t>
            </w:r>
          </w:p>
        </w:tc>
        <w:tc>
          <w:tcPr>
            <w:tcW w:w="21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Costs to Sell</w:t>
            </w:r>
          </w:p>
        </w:tc>
        <w:tc>
          <w:tcPr>
            <w:tcW w:w="17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21% - 24% (22%)</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36</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 w:name="page38"/>
    <w:bookmarkEnd w:id="37"/>
    <w:p>
      <w:pPr>
        <w:spacing w:after="0" w:line="1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into or out of any fair value measurement level during the three or nine months ended September 30, 2025 or 2024.</w:t>
      </w:r>
    </w:p>
    <w:p>
      <w:pPr>
        <w:spacing w:after="0" w:line="11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4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 The carrying amounts of these assets approximate their fair value and are classified as Level 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Home Loan Bank stock – The carrying amount of these assets approximates their fair value and are classified as Level 2.</w:t>
      </w:r>
    </w:p>
    <w:p>
      <w:pPr>
        <w:spacing w:after="0" w:line="17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receivable and payable – The carrying amount of these assets approximates their fair value and are classified as Level 1.</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8" w:name="page39"/>
    <w:bookmarkEnd w:id="38"/>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the Company’s financial instruments as of the indicated dates are presented in the following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September 30, 2025</w:t>
            </w:r>
          </w:p>
        </w:tc>
        <w:tc>
          <w:tcPr>
            <w:tcW w:w="420" w:type="dxa"/>
            <w:vAlign w:val="bottom"/>
          </w:tcPr>
          <w:p>
            <w:pPr>
              <w:spacing w:after="0"/>
              <w:rPr>
                <w:sz w:val="16"/>
                <w:szCs w:val="16"/>
                <w:color w:val="auto"/>
              </w:rPr>
            </w:pP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8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Fair Value</w:t>
            </w:r>
          </w:p>
        </w:tc>
        <w:tc>
          <w:tcPr>
            <w:tcW w:w="520" w:type="dxa"/>
            <w:vAlign w:val="bottom"/>
          </w:tcPr>
          <w:p>
            <w:pPr>
              <w:spacing w:after="0"/>
              <w:rPr>
                <w:sz w:val="15"/>
                <w:szCs w:val="15"/>
                <w:color w:val="auto"/>
              </w:rPr>
            </w:pPr>
          </w:p>
        </w:tc>
        <w:tc>
          <w:tcPr>
            <w:tcW w:w="8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Carrying</w:t>
            </w:r>
          </w:p>
        </w:tc>
        <w:tc>
          <w:tcPr>
            <w:tcW w:w="26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420" w:type="dxa"/>
            <w:vAlign w:val="bottom"/>
          </w:tcPr>
          <w:p>
            <w:pPr>
              <w:spacing w:after="0"/>
              <w:rPr>
                <w:sz w:val="15"/>
                <w:szCs w:val="15"/>
                <w:color w:val="auto"/>
              </w:rPr>
            </w:pPr>
          </w:p>
        </w:tc>
        <w:tc>
          <w:tcPr>
            <w:tcW w:w="8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Carrying</w:t>
            </w:r>
          </w:p>
        </w:tc>
        <w:tc>
          <w:tcPr>
            <w:tcW w:w="26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193"/>
        </w:trPr>
        <w:tc>
          <w:tcPr>
            <w:tcW w:w="4140" w:type="dxa"/>
            <w:vAlign w:val="bottom"/>
            <w:gridSpan w:val="2"/>
            <w:vMerge w:val="continue"/>
          </w:tcPr>
          <w:p>
            <w:pPr>
              <w:spacing w:after="0"/>
              <w:rPr>
                <w:sz w:val="16"/>
                <w:szCs w:val="16"/>
                <w:color w:val="auto"/>
              </w:rPr>
            </w:pP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9"/>
              </w:rPr>
              <w:t>Hierarchy</w:t>
            </w:r>
          </w:p>
        </w:tc>
        <w:tc>
          <w:tcPr>
            <w:tcW w:w="520" w:type="dxa"/>
            <w:vAlign w:val="bottom"/>
          </w:tcPr>
          <w:p>
            <w:pPr>
              <w:spacing w:after="0"/>
              <w:rPr>
                <w:sz w:val="16"/>
                <w:szCs w:val="16"/>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Amounts</w:t>
            </w:r>
          </w:p>
        </w:tc>
        <w:tc>
          <w:tcPr>
            <w:tcW w:w="26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Fair Values</w:t>
            </w:r>
          </w:p>
        </w:tc>
        <w:tc>
          <w:tcPr>
            <w:tcW w:w="420" w:type="dxa"/>
            <w:vAlign w:val="bottom"/>
          </w:tcPr>
          <w:p>
            <w:pPr>
              <w:spacing w:after="0"/>
              <w:rPr>
                <w:sz w:val="16"/>
                <w:szCs w:val="16"/>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Amounts</w:t>
            </w:r>
          </w:p>
        </w:tc>
        <w:tc>
          <w:tcPr>
            <w:tcW w:w="26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Fair Values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assets:</w:t>
            </w:r>
          </w:p>
        </w:tc>
        <w:tc>
          <w:tcPr>
            <w:tcW w:w="13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36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5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40,572</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40,572</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2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31,572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 available-for-sale</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290,049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290,049</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 - available-for-sale</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2"/>
              </w:rPr>
              <w:t>NAV</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26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4,202</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 marketable equity</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2"/>
              </w:rPr>
              <w:t>NAV</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5,352</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5,352</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 held-to-maturity</w:t>
            </w:r>
          </w:p>
        </w:tc>
        <w:tc>
          <w:tcPr>
            <w:tcW w:w="136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142,538</w:t>
            </w:r>
          </w:p>
        </w:tc>
        <w:tc>
          <w:tcPr>
            <w:tcW w:w="260" w:type="dxa"/>
            <w:vAlign w:val="bottom"/>
          </w:tcPr>
          <w:p>
            <w:pPr>
              <w:spacing w:after="0"/>
              <w:rPr>
                <w:sz w:val="15"/>
                <w:szCs w:val="15"/>
                <w:color w:val="auto"/>
              </w:rPr>
            </w:pP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137,001</w:t>
            </w:r>
          </w:p>
        </w:tc>
        <w:tc>
          <w:tcPr>
            <w:tcW w:w="4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158,683</w:t>
            </w:r>
          </w:p>
        </w:tc>
        <w:tc>
          <w:tcPr>
            <w:tcW w:w="260" w:type="dxa"/>
            <w:vAlign w:val="bottom"/>
          </w:tcPr>
          <w:p>
            <w:pPr>
              <w:spacing w:after="0"/>
              <w:rPr>
                <w:sz w:val="15"/>
                <w:szCs w:val="15"/>
                <w:color w:val="auto"/>
              </w:rPr>
            </w:pP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151,023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Federal Home Loan Bank stock</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3,488</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3,488</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0" w:type="dxa"/>
            <w:vAlign w:val="bottom"/>
          </w:tcPr>
          <w:p>
            <w:pPr>
              <w:spacing w:after="0"/>
              <w:rPr>
                <w:sz w:val="1"/>
                <w:szCs w:val="1"/>
                <w:color w:val="auto"/>
              </w:rPr>
            </w:pPr>
          </w:p>
        </w:tc>
      </w:tr>
      <w:tr>
        <w:trPr>
          <w:trHeight w:val="203"/>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loans</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9"/>
              </w:rPr>
              <w:t>3</w:t>
            </w:r>
          </w:p>
        </w:tc>
        <w:tc>
          <w:tcPr>
            <w:tcW w:w="5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879,866</w:t>
            </w:r>
          </w:p>
        </w:tc>
        <w:tc>
          <w:tcPr>
            <w:tcW w:w="260" w:type="dxa"/>
            <w:vAlign w:val="bottom"/>
          </w:tcPr>
          <w:p>
            <w:pPr>
              <w:spacing w:after="0"/>
              <w:rPr>
                <w:sz w:val="17"/>
                <w:szCs w:val="17"/>
                <w:color w:val="auto"/>
              </w:rPr>
            </w:pP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837,121</w:t>
            </w: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901,743</w:t>
            </w:r>
          </w:p>
        </w:tc>
        <w:tc>
          <w:tcPr>
            <w:tcW w:w="260" w:type="dxa"/>
            <w:vAlign w:val="bottom"/>
          </w:tcPr>
          <w:p>
            <w:pPr>
              <w:spacing w:after="0"/>
              <w:rPr>
                <w:sz w:val="17"/>
                <w:szCs w:val="1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852,743</w:t>
            </w:r>
          </w:p>
        </w:tc>
        <w:tc>
          <w:tcPr>
            <w:tcW w:w="0" w:type="dxa"/>
            <w:vAlign w:val="bottom"/>
          </w:tcPr>
          <w:p>
            <w:pPr>
              <w:spacing w:after="0"/>
              <w:rPr>
                <w:sz w:val="1"/>
                <w:szCs w:val="1"/>
                <w:color w:val="auto"/>
              </w:rPr>
            </w:pPr>
          </w:p>
        </w:tc>
      </w:tr>
      <w:tr>
        <w:trPr>
          <w:trHeight w:val="49"/>
        </w:trPr>
        <w:tc>
          <w:tcPr>
            <w:tcW w:w="41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interest receivable</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6,498</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6,498</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6,881</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Interest rate derivative fair value hedges receivable - AFS</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6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1,159</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26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derivative fair value hedges receivable - loans</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2,887</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liabilities:</w:t>
            </w:r>
          </w:p>
        </w:tc>
        <w:tc>
          <w:tcPr>
            <w:tcW w:w="13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Demand Deposits, Savings, NOW and MMDA</w:t>
            </w:r>
          </w:p>
        </w:tc>
        <w:tc>
          <w:tcPr>
            <w:tcW w:w="136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5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748,801</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748,801</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701,477</w:t>
            </w:r>
          </w:p>
        </w:tc>
        <w:tc>
          <w:tcPr>
            <w:tcW w:w="2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701,477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476,280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475,266</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503,047</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500,638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136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59,702</w:t>
            </w:r>
          </w:p>
        </w:tc>
        <w:tc>
          <w:tcPr>
            <w:tcW w:w="260" w:type="dxa"/>
            <w:vAlign w:val="bottom"/>
          </w:tcPr>
          <w:p>
            <w:pPr>
              <w:spacing w:after="0"/>
              <w:rPr>
                <w:sz w:val="15"/>
                <w:szCs w:val="15"/>
                <w:color w:val="auto"/>
              </w:rPr>
            </w:pPr>
          </w:p>
        </w:tc>
        <w:tc>
          <w:tcPr>
            <w:tcW w:w="10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59,725</w:t>
            </w:r>
          </w:p>
        </w:tc>
        <w:tc>
          <w:tcPr>
            <w:tcW w:w="4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88,068</w:t>
            </w:r>
          </w:p>
        </w:tc>
        <w:tc>
          <w:tcPr>
            <w:tcW w:w="260" w:type="dxa"/>
            <w:vAlign w:val="bottom"/>
          </w:tcPr>
          <w:p>
            <w:pPr>
              <w:spacing w:after="0"/>
              <w:rPr>
                <w:sz w:val="15"/>
                <w:szCs w:val="15"/>
                <w:color w:val="auto"/>
              </w:rPr>
            </w:pPr>
          </w:p>
        </w:tc>
        <w:tc>
          <w:tcPr>
            <w:tcW w:w="9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87,707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360" w:type="dxa"/>
            <w:vAlign w:val="bottom"/>
            <w:shd w:val="clear" w:color="auto" w:fill="CFF0FC"/>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30,258</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29,792</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30,107</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136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9"/>
              </w:rPr>
              <w:t>1</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1,134</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6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Interest Rate Derivatives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relate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September 30, 2025 or December 31, 2024.</w:t>
      </w:r>
    </w:p>
    <w:p>
      <w:pPr>
        <w:spacing w:after="0" w:line="68"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accumulated other 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6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September 30, 2025 or December 31, 2024.</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September 30, 2025 and December 31,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Cumulative Amount of Fair</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Cumulative Amount of Fair</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Value Hedging Adjustment</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Value Hedging Adjustment</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Subtracted/(Added) from</w:t>
            </w: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Hedge-Adjusted Carrying</w:t>
            </w:r>
          </w:p>
        </w:tc>
        <w:tc>
          <w:tcPr>
            <w:tcW w:w="19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Subtracted from Carrying</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Carrying Amount of the</w:t>
            </w:r>
          </w:p>
        </w:tc>
        <w:tc>
          <w:tcPr>
            <w:tcW w:w="220" w:type="dxa"/>
            <w:vAlign w:val="bottom"/>
          </w:tcPr>
          <w:p>
            <w:pPr>
              <w:spacing w:after="0"/>
              <w:rPr>
                <w:sz w:val="15"/>
                <w:szCs w:val="15"/>
                <w:color w:val="auto"/>
              </w:rPr>
            </w:pPr>
          </w:p>
        </w:tc>
        <w:tc>
          <w:tcPr>
            <w:tcW w:w="180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Carrying Amount of the</w:t>
            </w:r>
          </w:p>
        </w:tc>
        <w:tc>
          <w:tcPr>
            <w:tcW w:w="260" w:type="dxa"/>
            <w:vAlign w:val="bottom"/>
          </w:tcPr>
          <w:p>
            <w:pPr>
              <w:spacing w:after="0"/>
              <w:rPr>
                <w:sz w:val="15"/>
                <w:szCs w:val="15"/>
                <w:color w:val="auto"/>
              </w:rPr>
            </w:pPr>
          </w:p>
        </w:tc>
        <w:tc>
          <w:tcPr>
            <w:tcW w:w="176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22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0" w:type="dxa"/>
            <w:vAlign w:val="bottom"/>
          </w:tcPr>
          <w:p>
            <w:pPr>
              <w:spacing w:after="0"/>
              <w:rPr>
                <w:sz w:val="1"/>
                <w:szCs w:val="1"/>
                <w:color w:val="auto"/>
              </w:rPr>
            </w:pPr>
          </w:p>
        </w:tc>
      </w:tr>
      <w:tr>
        <w:trPr>
          <w:trHeight w:val="180"/>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0" w:type="dxa"/>
            <w:vAlign w:val="bottom"/>
          </w:tcPr>
          <w:p>
            <w:pPr>
              <w:spacing w:after="0"/>
              <w:rPr>
                <w:sz w:val="15"/>
                <w:szCs w:val="15"/>
                <w:color w:val="auto"/>
              </w:rPr>
            </w:pPr>
          </w:p>
        </w:tc>
        <w:tc>
          <w:tcPr>
            <w:tcW w:w="1800" w:type="dxa"/>
            <w:vAlign w:val="bottom"/>
          </w:tcPr>
          <w:p>
            <w:pPr>
              <w:jc w:val="center"/>
              <w:ind w:right="202"/>
              <w:spacing w:after="0" w:line="180" w:lineRule="exact"/>
              <w:rPr>
                <w:sz w:val="20"/>
                <w:szCs w:val="20"/>
                <w:color w:val="auto"/>
              </w:rPr>
            </w:pPr>
            <w:r>
              <w:rPr>
                <w:rFonts w:ascii="Times New Roman" w:cs="Times New Roman" w:eastAsia="Times New Roman" w:hAnsi="Times New Roman"/>
                <w:sz w:val="16"/>
                <w:szCs w:val="16"/>
                <w:color w:val="auto"/>
                <w:w w:val="97"/>
              </w:rPr>
              <w:t>Hedged Assets at</w:t>
            </w:r>
          </w:p>
        </w:tc>
        <w:tc>
          <w:tcPr>
            <w:tcW w:w="220" w:type="dxa"/>
            <w:vAlign w:val="bottom"/>
          </w:tcPr>
          <w:p>
            <w:pPr>
              <w:spacing w:after="0"/>
              <w:rPr>
                <w:sz w:val="15"/>
                <w:szCs w:val="15"/>
                <w:color w:val="auto"/>
              </w:rPr>
            </w:pPr>
          </w:p>
        </w:tc>
        <w:tc>
          <w:tcPr>
            <w:tcW w:w="180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Hedged Assets at</w:t>
            </w:r>
          </w:p>
        </w:tc>
        <w:tc>
          <w:tcPr>
            <w:tcW w:w="260" w:type="dxa"/>
            <w:vAlign w:val="bottom"/>
          </w:tcPr>
          <w:p>
            <w:pPr>
              <w:spacing w:after="0"/>
              <w:rPr>
                <w:sz w:val="15"/>
                <w:szCs w:val="15"/>
                <w:color w:val="auto"/>
              </w:rPr>
            </w:pPr>
          </w:p>
        </w:tc>
        <w:tc>
          <w:tcPr>
            <w:tcW w:w="1760" w:type="dxa"/>
            <w:vAlign w:val="bottom"/>
          </w:tcPr>
          <w:p>
            <w:pPr>
              <w:jc w:val="center"/>
              <w:ind w:right="202"/>
              <w:spacing w:after="0" w:line="180" w:lineRule="exact"/>
              <w:rPr>
                <w:sz w:val="20"/>
                <w:szCs w:val="20"/>
                <w:color w:val="auto"/>
              </w:rPr>
            </w:pPr>
            <w:r>
              <w:rPr>
                <w:rFonts w:ascii="Times New Roman" w:cs="Times New Roman" w:eastAsia="Times New Roman" w:hAnsi="Times New Roman"/>
                <w:sz w:val="16"/>
                <w:szCs w:val="16"/>
                <w:color w:val="auto"/>
                <w:w w:val="97"/>
              </w:rPr>
              <w:t>Assets at</w:t>
            </w:r>
          </w:p>
        </w:tc>
        <w:tc>
          <w:tcPr>
            <w:tcW w:w="22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Assets at December 31,</w:t>
            </w:r>
          </w:p>
        </w:tc>
        <w:tc>
          <w:tcPr>
            <w:tcW w:w="0" w:type="dxa"/>
            <w:vAlign w:val="bottom"/>
          </w:tcPr>
          <w:p>
            <w:pPr>
              <w:spacing w:after="0"/>
              <w:rPr>
                <w:sz w:val="1"/>
                <w:szCs w:val="1"/>
                <w:color w:val="auto"/>
              </w:rPr>
            </w:pPr>
          </w:p>
        </w:tc>
      </w:tr>
      <w:tr>
        <w:trPr>
          <w:trHeight w:val="178"/>
        </w:trPr>
        <w:tc>
          <w:tcPr>
            <w:tcW w:w="23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tcPr>
          <w:p>
            <w:pPr>
              <w:jc w:val="center"/>
              <w:ind w:right="142"/>
              <w:spacing w:after="0" w:line="178" w:lineRule="exact"/>
              <w:rPr>
                <w:sz w:val="20"/>
                <w:szCs w:val="20"/>
                <w:color w:val="auto"/>
              </w:rPr>
            </w:pPr>
            <w:r>
              <w:rPr>
                <w:rFonts w:ascii="Times New Roman" w:cs="Times New Roman" w:eastAsia="Times New Roman" w:hAnsi="Times New Roman"/>
                <w:sz w:val="16"/>
                <w:szCs w:val="16"/>
                <w:color w:val="auto"/>
                <w:w w:val="98"/>
              </w:rPr>
              <w:t>September 30, 2025</w:t>
            </w:r>
          </w:p>
        </w:tc>
        <w:tc>
          <w:tcPr>
            <w:tcW w:w="220" w:type="dxa"/>
            <w:vAlign w:val="bottom"/>
          </w:tcPr>
          <w:p>
            <w:pPr>
              <w:spacing w:after="0"/>
              <w:rPr>
                <w:sz w:val="15"/>
                <w:szCs w:val="15"/>
                <w:color w:val="auto"/>
              </w:rPr>
            </w:pPr>
          </w:p>
        </w:tc>
        <w:tc>
          <w:tcPr>
            <w:tcW w:w="1800" w:type="dxa"/>
            <w:vAlign w:val="bottom"/>
          </w:tcPr>
          <w:p>
            <w:pPr>
              <w:jc w:val="center"/>
              <w:ind w:right="142"/>
              <w:spacing w:after="0" w:line="178" w:lineRule="exact"/>
              <w:rPr>
                <w:sz w:val="20"/>
                <w:szCs w:val="20"/>
                <w:color w:val="auto"/>
              </w:rPr>
            </w:pPr>
            <w:r>
              <w:rPr>
                <w:rFonts w:ascii="Times New Roman" w:cs="Times New Roman" w:eastAsia="Times New Roman" w:hAnsi="Times New Roman"/>
                <w:sz w:val="16"/>
                <w:szCs w:val="16"/>
                <w:color w:val="auto"/>
                <w:w w:val="98"/>
              </w:rPr>
              <w:t>September 30, 2025</w:t>
            </w:r>
          </w:p>
        </w:tc>
        <w:tc>
          <w:tcPr>
            <w:tcW w:w="260" w:type="dxa"/>
            <w:vAlign w:val="bottom"/>
          </w:tcPr>
          <w:p>
            <w:pPr>
              <w:spacing w:after="0"/>
              <w:rPr>
                <w:sz w:val="15"/>
                <w:szCs w:val="15"/>
                <w:color w:val="auto"/>
              </w:rPr>
            </w:pPr>
          </w:p>
        </w:tc>
        <w:tc>
          <w:tcPr>
            <w:tcW w:w="1760" w:type="dxa"/>
            <w:vAlign w:val="bottom"/>
          </w:tcPr>
          <w:p>
            <w:pPr>
              <w:jc w:val="center"/>
              <w:ind w:right="182"/>
              <w:spacing w:after="0" w:line="178" w:lineRule="exact"/>
              <w:rPr>
                <w:sz w:val="20"/>
                <w:szCs w:val="20"/>
                <w:color w:val="auto"/>
              </w:rPr>
            </w:pPr>
            <w:r>
              <w:rPr>
                <w:rFonts w:ascii="Times New Roman" w:cs="Times New Roman" w:eastAsia="Times New Roman" w:hAnsi="Times New Roman"/>
                <w:sz w:val="16"/>
                <w:szCs w:val="16"/>
                <w:color w:val="auto"/>
                <w:w w:val="96"/>
              </w:rPr>
              <w:t>December 31, 2024</w:t>
            </w:r>
          </w:p>
        </w:tc>
        <w:tc>
          <w:tcPr>
            <w:tcW w:w="220" w:type="dxa"/>
            <w:vAlign w:val="bottom"/>
          </w:tcPr>
          <w:p>
            <w:pPr>
              <w:spacing w:after="0"/>
              <w:rPr>
                <w:sz w:val="15"/>
                <w:szCs w:val="15"/>
                <w:color w:val="auto"/>
              </w:rPr>
            </w:pPr>
          </w:p>
        </w:tc>
        <w:tc>
          <w:tcPr>
            <w:tcW w:w="1720" w:type="dxa"/>
            <w:vAlign w:val="bottom"/>
          </w:tcPr>
          <w:p>
            <w:pPr>
              <w:jc w:val="center"/>
              <w:ind w:right="122"/>
              <w:spacing w:after="0" w:line="178" w:lineRule="exact"/>
              <w:rPr>
                <w:sz w:val="20"/>
                <w:szCs w:val="20"/>
                <w:color w:val="auto"/>
              </w:rPr>
            </w:pPr>
            <w:r>
              <w:rPr>
                <w:rFonts w:ascii="Times New Roman" w:cs="Times New Roman" w:eastAsia="Times New Roman" w:hAnsi="Times New Roman"/>
                <w:sz w:val="16"/>
                <w:szCs w:val="16"/>
                <w:color w:val="auto"/>
                <w:w w:val="99"/>
              </w:rPr>
              <w:t>2024</w:t>
            </w:r>
          </w:p>
        </w:tc>
        <w:tc>
          <w:tcPr>
            <w:tcW w:w="0" w:type="dxa"/>
            <w:vAlign w:val="bottom"/>
          </w:tcPr>
          <w:p>
            <w:pPr>
              <w:spacing w:after="0"/>
              <w:rPr>
                <w:sz w:val="1"/>
                <w:szCs w:val="1"/>
                <w:color w:val="auto"/>
              </w:rPr>
            </w:pPr>
          </w:p>
        </w:tc>
      </w:tr>
      <w:tr>
        <w:trPr>
          <w:trHeight w:val="159"/>
        </w:trPr>
        <w:tc>
          <w:tcPr>
            <w:tcW w:w="458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i w:val="1"/>
                <w:iCs w:val="1"/>
                <w:color w:val="auto"/>
              </w:rPr>
              <w:t>Line item on the balance sheet in which the hedged item is included:</w:t>
            </w: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70,695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1,159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76,303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180"/>
        </w:trPr>
        <w:tc>
          <w:tcPr>
            <w:tcW w:w="2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Loans receivable </w:t>
            </w:r>
            <w:r>
              <w:rPr>
                <w:rFonts w:ascii="Times New Roman" w:cs="Times New Roman" w:eastAsia="Times New Roman" w:hAnsi="Times New Roman"/>
                <w:sz w:val="20"/>
                <w:szCs w:val="20"/>
                <w:color w:val="auto"/>
                <w:vertAlign w:val="superscript"/>
              </w:rPr>
              <w:t>(2)</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125,185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133,765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60" w:right="40"/>
        <w:spacing w:after="0" w:line="231"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The $70.7 million net carrying amount of hedged assets represents the hedge -adjusted amortized cost basis of specifically-identified municipal, private label and GSE-backed securities designated as the underlying assets for the hedging relationships. The notional amount of the designated hedges were $70.9 million and $73.9 million at September 30, 2025 and December 31, 2024, respectively. The fair value of the derivatives (an unrealized gain, receivable from derivative counterparties) recorded in other assets resulted in a net asset position of $1.2 million and $3.2 million at September 30, 2025 and December 31, 2024, respectively. The Company's participation in fair value hedging transactions increased investment security interest income by $879,000 and $1.8 million in the nine month periods ended September 30, 2025 and September 30, 2024, respectively.</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39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 w:name="page41"/>
    <w:bookmarkEnd w:id="40"/>
    <w:p>
      <w:pPr>
        <w:spacing w:after="0" w:line="18" w:lineRule="exact"/>
        <w:rPr>
          <w:sz w:val="20"/>
          <w:szCs w:val="20"/>
          <w:color w:val="auto"/>
        </w:rPr>
      </w:pPr>
    </w:p>
    <w:p>
      <w:pPr>
        <w:ind w:left="360" w:right="40"/>
        <w:spacing w:after="0" w:line="234" w:lineRule="auto"/>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4"/>
          <w:szCs w:val="14"/>
          <w:color w:val="auto"/>
        </w:rPr>
        <w:t>The $ 125.2 million net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$ 120.7 million and $128.9 million at September 30, 2025 and December 31, 2024, respectively. At September 30, 2025, the fair value of the derivatives recorded in other assets (an unrealized gain, receivable from derivative counterparties) resulted in a net asset position of $113,000, recorded by the Company as a component of other assets. The Company’s participation in fair value hedging transactions increased interest income by $820,000 and $2.0 million, for the nine month period ended September 30, 2025 and September 30, 2024, respectively. Details of the two loan hedging strategies, in place at September 30, 2025 are presented below:</w:t>
      </w:r>
    </w:p>
    <w:p>
      <w:pPr>
        <w:spacing w:after="0" w:line="148" w:lineRule="exact"/>
        <w:rPr>
          <w:sz w:val="20"/>
          <w:szCs w:val="20"/>
          <w:color w:val="auto"/>
        </w:rPr>
      </w:pPr>
    </w:p>
    <w:p>
      <w:pPr>
        <w:ind w:left="1060" w:right="40"/>
        <w:spacing w:after="0" w:line="223" w:lineRule="auto"/>
        <w:rPr>
          <w:sz w:val="20"/>
          <w:szCs w:val="20"/>
          <w:color w:val="auto"/>
        </w:rPr>
      </w:pPr>
      <w:r>
        <w:rPr>
          <w:rFonts w:ascii="Times New Roman" w:cs="Times New Roman" w:eastAsia="Times New Roman" w:hAnsi="Times New Roman"/>
          <w:sz w:val="31"/>
          <w:szCs w:val="31"/>
          <w:color w:val="auto"/>
          <w:vertAlign w:val="superscript"/>
        </w:rPr>
        <w:t>a.</w:t>
      </w:r>
      <w:r>
        <w:rPr>
          <w:rFonts w:ascii="Times New Roman" w:cs="Times New Roman" w:eastAsia="Times New Roman" w:hAnsi="Times New Roman"/>
          <w:sz w:val="14"/>
          <w:szCs w:val="14"/>
          <w:color w:val="auto"/>
        </w:rPr>
        <w:t>On April 7, 2023 the Bank entered into an amortizing swap transaction with an initial notional amount of $100.0 million whereby the Bank will receive the 3-month SOFR rate monthly, based on the notional amount of the swap contract at the beginning of each month until the swap transaction expires in 2035. The notional amount of the swap declines monthly according to a predetermined amortization schedule and was $70.7 million at September 30, 2025. The Bank will pay a fixed rate of 3.208% to the contract's counterparty throughout the life of the contract based on each month's beginning notional balance. The fair value of this swap contract was $793,000 at September 30, 2025.</w:t>
      </w:r>
    </w:p>
    <w:p>
      <w:pPr>
        <w:spacing w:after="0" w:line="151" w:lineRule="exact"/>
        <w:rPr>
          <w:sz w:val="20"/>
          <w:szCs w:val="20"/>
          <w:color w:val="auto"/>
        </w:rPr>
      </w:pPr>
    </w:p>
    <w:p>
      <w:pPr>
        <w:ind w:left="1060" w:right="60"/>
        <w:spacing w:after="0" w:line="223" w:lineRule="auto"/>
        <w:rPr>
          <w:sz w:val="20"/>
          <w:szCs w:val="20"/>
          <w:color w:val="auto"/>
        </w:rPr>
      </w:pPr>
      <w:r>
        <w:rPr>
          <w:rFonts w:ascii="Times New Roman" w:cs="Times New Roman" w:eastAsia="Times New Roman" w:hAnsi="Times New Roman"/>
          <w:sz w:val="31"/>
          <w:szCs w:val="31"/>
          <w:color w:val="auto"/>
          <w:vertAlign w:val="superscript"/>
        </w:rPr>
        <w:t>b.</w:t>
      </w:r>
      <w:r>
        <w:rPr>
          <w:rFonts w:ascii="Times New Roman" w:cs="Times New Roman" w:eastAsia="Times New Roman" w:hAnsi="Times New Roman"/>
          <w:sz w:val="14"/>
          <w:szCs w:val="14"/>
          <w:color w:val="auto"/>
        </w:rPr>
        <w:t>On December 7, 2023, the Bank entered into five fixed-pay interest rate swap contracts with a total notional amount of $ 50.0 million, whereby the Bank will receive the 3-month rate SOFR monthly until the respective maturity dates of the contracts. The contracts expire in annual increments on December 1 of 2025 ($5.0 million, fixed rate of 4.463%), 2026 ($5.0 million, fixed rate of 4.136%), 2027 ($10.0 million, fixed rate of 3.973%), 2028 ($ 15.0 million, fixed rate of 3.887%), and 2029 ( $15.0 million, fixed rate of 3.845%). The fair value of these swap contracts in aggregate was negative $681,000 (a payable to the swap counterparty) at September 30, 2025.</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hedging contracts accounted for as fair value hedges, increased the yield on investment securities and loans by 0.14% and 0.12%, respectively, in the nine months ended September 30, 2025. The Company's hedging contracts accounted for as fair value hedges, increased the yield on investment securities and loans by 0.28% and 0.29%, respectively, in the nine months ended September 30, 2024.</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net effects of the Company's fair value and cash flow hedges for the nine months ended September 30, 2025 and September 30, 2024, respectively: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Fair Value Hedges</w:t>
            </w: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20" w:type="dxa"/>
            <w:vAlign w:val="bottom"/>
          </w:tcPr>
          <w:p>
            <w:pPr>
              <w:spacing w:after="0" w:line="182"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6"/>
                <w:szCs w:val="16"/>
                <w:color w:val="auto"/>
                <w:w w:val="97"/>
              </w:rPr>
              <w:t>Nine Months Ended September 30, 2025</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w w:val="98"/>
              </w:rPr>
              <w:t>Period Ending Notional</w:t>
            </w:r>
          </w:p>
        </w:tc>
        <w:tc>
          <w:tcPr>
            <w:tcW w:w="1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Cash Received</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Recorded</w:t>
            </w:r>
          </w:p>
        </w:tc>
        <w:tc>
          <w:tcPr>
            <w:tcW w:w="220" w:type="dxa"/>
            <w:vAlign w:val="bottom"/>
          </w:tcPr>
          <w:p>
            <w:pPr>
              <w:spacing w:after="0"/>
              <w:rPr>
                <w:sz w:val="15"/>
                <w:szCs w:val="15"/>
                <w:color w:val="auto"/>
              </w:rPr>
            </w:pPr>
          </w:p>
        </w:tc>
        <w:tc>
          <w:tcPr>
            <w:tcW w:w="1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Fair Value Receivable at</w:t>
            </w:r>
          </w:p>
        </w:tc>
        <w:tc>
          <w:tcPr>
            <w:tcW w:w="0" w:type="dxa"/>
            <w:vAlign w:val="bottom"/>
          </w:tcPr>
          <w:p>
            <w:pPr>
              <w:spacing w:after="0"/>
              <w:rPr>
                <w:sz w:val="1"/>
                <w:szCs w:val="1"/>
                <w:color w:val="auto"/>
              </w:rPr>
            </w:pPr>
          </w:p>
        </w:tc>
      </w:tr>
      <w:tr>
        <w:trPr>
          <w:trHeight w:val="19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20" w:type="dxa"/>
            <w:vAlign w:val="bottom"/>
          </w:tcPr>
          <w:p>
            <w:pPr>
              <w:spacing w:after="0"/>
              <w:rPr>
                <w:sz w:val="16"/>
                <w:szCs w:val="16"/>
                <w:color w:val="auto"/>
              </w:rPr>
            </w:pPr>
          </w:p>
        </w:tc>
        <w:tc>
          <w:tcPr>
            <w:tcW w:w="1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Period End</w:t>
            </w: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11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76,778</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70,927</w:t>
            </w:r>
          </w:p>
        </w:tc>
        <w:tc>
          <w:tcPr>
            <w:tcW w:w="13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879</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03"/>
        </w:trPr>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w:t>
            </w:r>
          </w:p>
        </w:tc>
        <w:tc>
          <w:tcPr>
            <w:tcW w:w="110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124,247</w:t>
            </w: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120,664</w:t>
            </w:r>
          </w:p>
        </w:tc>
        <w:tc>
          <w:tcPr>
            <w:tcW w:w="13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220" w:type="dxa"/>
            <w:vAlign w:val="bottom"/>
          </w:tcPr>
          <w:p>
            <w:pPr>
              <w:spacing w:after="0"/>
              <w:rPr>
                <w:sz w:val="17"/>
                <w:szCs w:val="17"/>
                <w:color w:val="auto"/>
              </w:rPr>
            </w:pPr>
          </w:p>
        </w:tc>
        <w:tc>
          <w:tcPr>
            <w:tcW w:w="17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20" w:type="dxa"/>
            <w:vAlign w:val="bottom"/>
            <w:tcBorders>
              <w:bottom w:val="single" w:sz="8" w:color="auto"/>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201,025</w:t>
            </w:r>
          </w:p>
        </w:tc>
        <w:tc>
          <w:tcPr>
            <w:tcW w:w="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191,591</w:t>
            </w:r>
          </w:p>
        </w:tc>
        <w:tc>
          <w:tcPr>
            <w:tcW w:w="1320" w:type="dxa"/>
            <w:vAlign w:val="bottom"/>
            <w:tcBorders>
              <w:bottom w:val="single" w:sz="8" w:color="auto"/>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1,699</w:t>
            </w:r>
          </w:p>
        </w:tc>
        <w:tc>
          <w:tcPr>
            <w:tcW w:w="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323"/>
        </w:trPr>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7"/>
              </w:rPr>
              <w:t>Nine Months Ended September 30, 2024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w w:val="98"/>
              </w:rPr>
              <w:t>Period Ending Notional</w:t>
            </w:r>
          </w:p>
        </w:tc>
        <w:tc>
          <w:tcPr>
            <w:tcW w:w="1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Cash Received</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Recorded</w:t>
            </w:r>
          </w:p>
        </w:tc>
        <w:tc>
          <w:tcPr>
            <w:tcW w:w="220" w:type="dxa"/>
            <w:vAlign w:val="bottom"/>
          </w:tcPr>
          <w:p>
            <w:pPr>
              <w:spacing w:after="0"/>
              <w:rPr>
                <w:sz w:val="15"/>
                <w:szCs w:val="15"/>
                <w:color w:val="auto"/>
              </w:rPr>
            </w:pPr>
          </w:p>
        </w:tc>
        <w:tc>
          <w:tcPr>
            <w:tcW w:w="1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Fair Value Receivable</w:t>
            </w:r>
          </w:p>
        </w:tc>
        <w:tc>
          <w:tcPr>
            <w:tcW w:w="0" w:type="dxa"/>
            <w:vAlign w:val="bottom"/>
          </w:tcPr>
          <w:p>
            <w:pPr>
              <w:spacing w:after="0"/>
              <w:rPr>
                <w:sz w:val="1"/>
                <w:szCs w:val="1"/>
                <w:color w:val="auto"/>
              </w:rPr>
            </w:pPr>
          </w:p>
        </w:tc>
      </w:tr>
      <w:tr>
        <w:trPr>
          <w:trHeight w:val="19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20" w:type="dxa"/>
            <w:vAlign w:val="bottom"/>
          </w:tcPr>
          <w:p>
            <w:pPr>
              <w:spacing w:after="0"/>
              <w:rPr>
                <w:sz w:val="16"/>
                <w:szCs w:val="16"/>
                <w:color w:val="auto"/>
              </w:rPr>
            </w:pPr>
          </w:p>
        </w:tc>
        <w:tc>
          <w:tcPr>
            <w:tcW w:w="1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(Payable) at Period End</w:t>
            </w: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11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80,779</w:t>
            </w:r>
          </w:p>
        </w:tc>
        <w:tc>
          <w:tcPr>
            <w:tcW w:w="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73,061</w:t>
            </w:r>
          </w:p>
        </w:tc>
        <w:tc>
          <w:tcPr>
            <w:tcW w:w="13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1,771</w:t>
            </w:r>
          </w:p>
        </w:tc>
        <w:tc>
          <w:tcPr>
            <w:tcW w:w="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180"/>
        </w:trPr>
        <w:tc>
          <w:tcPr>
            <w:tcW w:w="2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Loans</w:t>
            </w:r>
          </w:p>
        </w:tc>
        <w:tc>
          <w:tcPr>
            <w:tcW w:w="1100" w:type="dxa"/>
            <w:vAlign w:val="bottom"/>
          </w:tcPr>
          <w:p>
            <w:pPr>
              <w:spacing w:after="0"/>
              <w:rPr>
                <w:sz w:val="15"/>
                <w:szCs w:val="15"/>
                <w:color w:val="auto"/>
              </w:rPr>
            </w:pPr>
          </w:p>
        </w:tc>
        <w:tc>
          <w:tcPr>
            <w:tcW w:w="1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135,816</w:t>
            </w:r>
          </w:p>
        </w:tc>
        <w:tc>
          <w:tcPr>
            <w:tcW w:w="2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131,769</w:t>
            </w:r>
          </w:p>
        </w:tc>
        <w:tc>
          <w:tcPr>
            <w:tcW w:w="132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1,951</w:t>
            </w:r>
          </w:p>
        </w:tc>
        <w:tc>
          <w:tcPr>
            <w:tcW w:w="220" w:type="dxa"/>
            <w:vAlign w:val="bottom"/>
          </w:tcPr>
          <w:p>
            <w:pPr>
              <w:spacing w:after="0"/>
              <w:rPr>
                <w:sz w:val="15"/>
                <w:szCs w:val="15"/>
                <w:color w:val="auto"/>
              </w:rPr>
            </w:pPr>
          </w:p>
        </w:tc>
        <w:tc>
          <w:tcPr>
            <w:tcW w:w="1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20"/>
        </w:trPr>
        <w:tc>
          <w:tcPr>
            <w:tcW w:w="2020" w:type="dxa"/>
            <w:vAlign w:val="bottom"/>
            <w:tcBorders>
              <w:bottom w:val="single" w:sz="8" w:color="auto"/>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216,595</w:t>
            </w:r>
          </w:p>
        </w:tc>
        <w:tc>
          <w:tcPr>
            <w:tcW w:w="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204,830</w:t>
            </w:r>
          </w:p>
        </w:tc>
        <w:tc>
          <w:tcPr>
            <w:tcW w:w="1320" w:type="dxa"/>
            <w:vAlign w:val="bottom"/>
            <w:tcBorders>
              <w:bottom w:val="single" w:sz="8" w:color="auto"/>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3,722</w:t>
            </w:r>
          </w:p>
        </w:tc>
        <w:tc>
          <w:tcPr>
            <w:tcW w:w="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346"/>
        </w:trPr>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40</w:t>
            </w:r>
            <w:r>
              <w:rPr>
                <w:rFonts w:ascii="Times New Roman" w:cs="Times New Roman" w:eastAsia="Times New Roman" w:hAnsi="Times New Roman"/>
                <w:sz w:val="16"/>
                <w:szCs w:val="16"/>
                <w:color w:val="auto"/>
              </w:rPr>
              <w:t xml:space="preserve"> -</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0"/>
        </w:trPr>
        <w:tc>
          <w:tcPr>
            <w:tcW w:w="2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w w:val="97"/>
              </w:rPr>
              <w:t>Nine Months Ended September 30, 2025</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Period Ending Notional</w:t>
            </w:r>
          </w:p>
        </w:tc>
        <w:tc>
          <w:tcPr>
            <w:tcW w:w="1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Cash Received</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Recorded</w:t>
            </w:r>
          </w:p>
        </w:tc>
        <w:tc>
          <w:tcPr>
            <w:tcW w:w="220" w:type="dxa"/>
            <w:vAlign w:val="bottom"/>
          </w:tcPr>
          <w:p>
            <w:pPr>
              <w:spacing w:after="0"/>
              <w:rPr>
                <w:sz w:val="15"/>
                <w:szCs w:val="15"/>
                <w:color w:val="auto"/>
              </w:rPr>
            </w:pPr>
          </w:p>
        </w:tc>
        <w:tc>
          <w:tcPr>
            <w:tcW w:w="1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Fair Value Receivable at</w:t>
            </w:r>
          </w:p>
        </w:tc>
      </w:tr>
      <w:tr>
        <w:trPr>
          <w:trHeight w:val="19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20" w:type="dxa"/>
            <w:vAlign w:val="bottom"/>
          </w:tcPr>
          <w:p>
            <w:pPr>
              <w:spacing w:after="0"/>
              <w:rPr>
                <w:sz w:val="16"/>
                <w:szCs w:val="16"/>
                <w:color w:val="auto"/>
              </w:rPr>
            </w:pPr>
          </w:p>
        </w:tc>
        <w:tc>
          <w:tcPr>
            <w:tcW w:w="1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Period End</w:t>
            </w:r>
          </w:p>
        </w:tc>
      </w:tr>
      <w:tr>
        <w:trPr>
          <w:trHeight w:val="220"/>
        </w:trPr>
        <w:tc>
          <w:tcPr>
            <w:tcW w:w="202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Borrowed Funds</w:t>
            </w:r>
          </w:p>
        </w:tc>
        <w:tc>
          <w:tcPr>
            <w:tcW w:w="11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323"/>
        </w:trPr>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7"/>
              </w:rPr>
              <w:t>Nine Months Ended September 30, 2024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Period Ending Notional</w:t>
            </w:r>
          </w:p>
        </w:tc>
        <w:tc>
          <w:tcPr>
            <w:tcW w:w="13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Net Cash Received</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Recorded</w:t>
            </w:r>
          </w:p>
        </w:tc>
        <w:tc>
          <w:tcPr>
            <w:tcW w:w="220" w:type="dxa"/>
            <w:vAlign w:val="bottom"/>
          </w:tcPr>
          <w:p>
            <w:pPr>
              <w:spacing w:after="0"/>
              <w:rPr>
                <w:sz w:val="15"/>
                <w:szCs w:val="15"/>
                <w:color w:val="auto"/>
              </w:rPr>
            </w:pPr>
          </w:p>
        </w:tc>
        <w:tc>
          <w:tcPr>
            <w:tcW w:w="17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Fair Value Receivable at</w:t>
            </w:r>
          </w:p>
        </w:tc>
      </w:tr>
      <w:tr>
        <w:trPr>
          <w:trHeight w:val="19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Hedge Category</w:t>
            </w:r>
          </w:p>
        </w:tc>
        <w:tc>
          <w:tcPr>
            <w:tcW w:w="1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Average Notional Balance</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Balance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Net Income</w:t>
            </w:r>
          </w:p>
        </w:tc>
        <w:tc>
          <w:tcPr>
            <w:tcW w:w="220" w:type="dxa"/>
            <w:vAlign w:val="bottom"/>
          </w:tcPr>
          <w:p>
            <w:pPr>
              <w:spacing w:after="0"/>
              <w:rPr>
                <w:sz w:val="16"/>
                <w:szCs w:val="16"/>
                <w:color w:val="auto"/>
              </w:rPr>
            </w:pPr>
          </w:p>
        </w:tc>
        <w:tc>
          <w:tcPr>
            <w:tcW w:w="1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Period End</w:t>
            </w:r>
          </w:p>
        </w:tc>
      </w:tr>
      <w:tr>
        <w:trPr>
          <w:trHeight w:val="220"/>
        </w:trPr>
        <w:tc>
          <w:tcPr>
            <w:tcW w:w="202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Borrowed Funds</w:t>
            </w:r>
          </w:p>
        </w:tc>
        <w:tc>
          <w:tcPr>
            <w:tcW w:w="11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15,852</w:t>
            </w:r>
          </w:p>
        </w:tc>
        <w:tc>
          <w:tcPr>
            <w:tcW w:w="2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bl>
    <w:p>
      <w:pPr>
        <w:spacing w:after="0" w:line="2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200" w:lineRule="exact"/>
        <w:rPr>
          <w:sz w:val="20"/>
          <w:szCs w:val="20"/>
          <w:color w:val="auto"/>
        </w:rPr>
      </w:pPr>
    </w:p>
    <w:p>
      <w:pPr>
        <w:spacing w:after="0" w:line="20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amounts of hedge ineffectiveness, recognized at September 30, 2025 and December 31, 2024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8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September 30, 2025.</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41</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2" w:name="page43"/>
    <w:bookmarkEnd w:id="42"/>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(Loss) Income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income (“AOCI”), net of tax, for the periods indicated are summarized in the tables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w w:val="98"/>
              </w:rPr>
              <w:t>Net</w:t>
            </w: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Loss on</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Unrealized Loss on</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Unrealized Gain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Retirement</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on Derivatives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Hedging Activities</w:t>
            </w:r>
          </w:p>
        </w:tc>
        <w:tc>
          <w:tcPr>
            <w:tcW w:w="26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(7,192)</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(8,858)</w:t>
            </w:r>
          </w:p>
        </w:tc>
        <w:tc>
          <w:tcPr>
            <w:tcW w:w="0" w:type="dxa"/>
            <w:vAlign w:val="bottom"/>
          </w:tcPr>
          <w:p>
            <w:pPr>
              <w:spacing w:after="0"/>
              <w:rPr>
                <w:sz w:val="1"/>
                <w:szCs w:val="1"/>
                <w:color w:val="auto"/>
              </w:rPr>
            </w:pPr>
          </w:p>
        </w:tc>
      </w:tr>
      <w:tr>
        <w:trPr>
          <w:trHeight w:val="16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1,637</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(5,555)</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214</w:t>
            </w: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0" w:type="dxa"/>
            <w:vAlign w:val="bottom"/>
          </w:tcPr>
          <w:p>
            <w:pPr>
              <w:spacing w:after="0"/>
              <w:rPr>
                <w:sz w:val="1"/>
                <w:szCs w:val="1"/>
                <w:color w:val="auto"/>
              </w:rPr>
            </w:pPr>
          </w:p>
        </w:tc>
      </w:tr>
      <w:tr>
        <w:trPr>
          <w:trHeight w:val="356"/>
        </w:trPr>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w w:val="98"/>
              </w:rPr>
              <w:t>Net</w:t>
            </w: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For the three months ended September 30, 2024</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Loss on</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Unrealized Loss on</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Unrealized Gain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Retirement</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on Derivatives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Hedging Activities</w:t>
            </w:r>
          </w:p>
        </w:tc>
        <w:tc>
          <w:tcPr>
            <w:tcW w:w="26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(7,285)</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517</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(8,786)</w:t>
            </w:r>
          </w:p>
        </w:tc>
        <w:tc>
          <w:tcPr>
            <w:tcW w:w="0" w:type="dxa"/>
            <w:vAlign w:val="bottom"/>
          </w:tcPr>
          <w:p>
            <w:pPr>
              <w:spacing w:after="0"/>
              <w:rPr>
                <w:sz w:val="1"/>
                <w:szCs w:val="1"/>
                <w:color w:val="auto"/>
              </w:rPr>
            </w:pPr>
          </w:p>
        </w:tc>
      </w:tr>
      <w:tr>
        <w:trPr>
          <w:trHeight w:val="16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2,103</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(5,182)</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457</w:t>
            </w: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0" w:type="dxa"/>
            <w:vAlign w:val="bottom"/>
          </w:tcPr>
          <w:p>
            <w:pPr>
              <w:spacing w:after="0"/>
              <w:rPr>
                <w:sz w:val="1"/>
                <w:szCs w:val="1"/>
                <w:color w:val="auto"/>
              </w:rPr>
            </w:pPr>
          </w:p>
        </w:tc>
      </w:tr>
      <w:tr>
        <w:trPr>
          <w:trHeight w:val="392"/>
        </w:trPr>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w w:val="98"/>
              </w:rPr>
              <w:t>Net</w:t>
            </w: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120" w:type="dxa"/>
            <w:vAlign w:val="bottom"/>
            <w:gridSpan w:val="2"/>
          </w:tcPr>
          <w:p>
            <w:pPr>
              <w:jc w:val="center"/>
              <w:ind w:left="92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Loss on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Unrealized Loss on</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Unrealized Gain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120" w:type="dxa"/>
            <w:vAlign w:val="bottom"/>
            <w:gridSpan w:val="2"/>
          </w:tcPr>
          <w:p>
            <w:pPr>
              <w:jc w:val="center"/>
              <w:ind w:left="928"/>
              <w:spacing w:after="0"/>
              <w:rPr>
                <w:sz w:val="20"/>
                <w:szCs w:val="20"/>
                <w:color w:val="auto"/>
              </w:rPr>
            </w:pPr>
            <w:r>
              <w:rPr>
                <w:rFonts w:ascii="Times New Roman" w:cs="Times New Roman" w:eastAsia="Times New Roman" w:hAnsi="Times New Roman"/>
                <w:sz w:val="14"/>
                <w:szCs w:val="14"/>
                <w:color w:val="auto"/>
              </w:rPr>
              <w:t>Retirement</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 Derivatives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Hedging Activities</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(7,548)</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0" w:type="dxa"/>
            <w:vAlign w:val="bottom"/>
          </w:tcPr>
          <w:p>
            <w:pPr>
              <w:spacing w:after="0"/>
              <w:rPr>
                <w:sz w:val="1"/>
                <w:szCs w:val="1"/>
                <w:color w:val="auto"/>
              </w:rPr>
            </w:pPr>
          </w:p>
        </w:tc>
      </w:tr>
      <w:tr>
        <w:trPr>
          <w:trHeight w:val="16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1,989</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1,883</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(1,916)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(5,555)</w:t>
            </w:r>
          </w:p>
        </w:tc>
        <w:tc>
          <w:tcPr>
            <w:tcW w:w="1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214</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0" w:type="dxa"/>
            <w:vAlign w:val="bottom"/>
          </w:tcPr>
          <w:p>
            <w:pPr>
              <w:spacing w:after="0"/>
              <w:rPr>
                <w:sz w:val="1"/>
                <w:szCs w:val="1"/>
                <w:color w:val="auto"/>
              </w:rPr>
            </w:pPr>
          </w:p>
        </w:tc>
      </w:tr>
      <w:tr>
        <w:trPr>
          <w:trHeight w:val="392"/>
        </w:trPr>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w w:val="98"/>
              </w:rPr>
              <w:t>Net</w:t>
            </w: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nine months ended September 30, 2024</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120" w:type="dxa"/>
            <w:vAlign w:val="bottom"/>
            <w:gridSpan w:val="2"/>
          </w:tcPr>
          <w:p>
            <w:pPr>
              <w:jc w:val="center"/>
              <w:ind w:left="92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Loss on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Unrealized Loss on</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Unrealized Gain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120" w:type="dxa"/>
            <w:vAlign w:val="bottom"/>
            <w:gridSpan w:val="2"/>
          </w:tcPr>
          <w:p>
            <w:pPr>
              <w:jc w:val="center"/>
              <w:ind w:left="928"/>
              <w:spacing w:after="0"/>
              <w:rPr>
                <w:sz w:val="20"/>
                <w:szCs w:val="20"/>
                <w:color w:val="auto"/>
              </w:rPr>
            </w:pPr>
            <w:r>
              <w:rPr>
                <w:rFonts w:ascii="Times New Roman" w:cs="Times New Roman" w:eastAsia="Times New Roman" w:hAnsi="Times New Roman"/>
                <w:sz w:val="14"/>
                <w:szCs w:val="14"/>
                <w:color w:val="auto"/>
              </w:rPr>
              <w:t>Retirement</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Available-for-Sale</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 Derivatives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Securities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Hedging Activities</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(7,564)</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0" w:type="dxa"/>
            <w:vAlign w:val="bottom"/>
          </w:tcPr>
          <w:p>
            <w:pPr>
              <w:spacing w:after="0"/>
              <w:rPr>
                <w:sz w:val="1"/>
                <w:szCs w:val="1"/>
                <w:color w:val="auto"/>
              </w:rPr>
            </w:pPr>
          </w:p>
        </w:tc>
      </w:tr>
      <w:tr>
        <w:trPr>
          <w:trHeight w:val="16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2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2,280</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425</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2,787</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8"/>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(5,182)</w:t>
            </w:r>
          </w:p>
        </w:tc>
        <w:tc>
          <w:tcPr>
            <w:tcW w:w="1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42</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3" w:name="page44"/>
    <w:bookmarkEnd w:id="4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AOCI for the indicated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3"/>
          </w:tcPr>
          <w:p>
            <w:pPr>
              <w:jc w:val="center"/>
              <w:ind w:right="214"/>
              <w:spacing w:after="0"/>
              <w:rPr>
                <w:sz w:val="20"/>
                <w:szCs w:val="20"/>
                <w:color w:val="auto"/>
              </w:rPr>
            </w:pPr>
            <w:r>
              <w:rPr>
                <w:rFonts w:ascii="Times New Roman" w:cs="Times New Roman" w:eastAsia="Times New Roman" w:hAnsi="Times New Roman"/>
                <w:sz w:val="13"/>
                <w:szCs w:val="13"/>
                <w:color w:val="auto"/>
              </w:rPr>
              <w:t>Amount Reclassified</w:t>
            </w:r>
          </w:p>
        </w:tc>
        <w:tc>
          <w:tcPr>
            <w:tcW w:w="240" w:type="dxa"/>
            <w:vAlign w:val="bottom"/>
          </w:tcPr>
          <w:p>
            <w:pPr>
              <w:spacing w:after="0"/>
              <w:rPr>
                <w:sz w:val="12"/>
                <w:szCs w:val="12"/>
                <w:color w:val="auto"/>
              </w:rPr>
            </w:pPr>
          </w:p>
        </w:tc>
        <w:tc>
          <w:tcPr>
            <w:tcW w:w="2060" w:type="dxa"/>
            <w:vAlign w:val="bottom"/>
            <w:gridSpan w:val="3"/>
          </w:tcPr>
          <w:p>
            <w:pPr>
              <w:jc w:val="center"/>
              <w:ind w:right="154"/>
              <w:spacing w:after="0"/>
              <w:rPr>
                <w:sz w:val="20"/>
                <w:szCs w:val="20"/>
                <w:color w:val="auto"/>
              </w:rPr>
            </w:pPr>
            <w:r>
              <w:rPr>
                <w:rFonts w:ascii="Times New Roman" w:cs="Times New Roman" w:eastAsia="Times New Roman" w:hAnsi="Times New Roman"/>
                <w:sz w:val="13"/>
                <w:szCs w:val="13"/>
                <w:color w:val="auto"/>
              </w:rPr>
              <w:t>Amount Reclassified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3"/>
          </w:tcPr>
          <w:p>
            <w:pPr>
              <w:jc w:val="center"/>
              <w:ind w:right="214"/>
              <w:spacing w:after="0" w:line="168" w:lineRule="exact"/>
              <w:rPr>
                <w:sz w:val="20"/>
                <w:szCs w:val="20"/>
                <w:color w:val="auto"/>
              </w:rPr>
            </w:pPr>
            <w:r>
              <w:rPr>
                <w:rFonts w:ascii="Times New Roman" w:cs="Times New Roman" w:eastAsia="Times New Roman" w:hAnsi="Times New Roman"/>
                <w:sz w:val="13"/>
                <w:szCs w:val="13"/>
                <w:color w:val="auto"/>
                <w:w w:val="99"/>
              </w:rPr>
              <w:t xml:space="preserve">from AOCI </w:t>
            </w:r>
            <w:r>
              <w:rPr>
                <w:rFonts w:ascii="Times New Roman" w:cs="Times New Roman" w:eastAsia="Times New Roman" w:hAnsi="Times New Roman"/>
                <w:sz w:val="16"/>
                <w:szCs w:val="16"/>
                <w:color w:val="auto"/>
                <w:w w:val="99"/>
                <w:vertAlign w:val="superscript"/>
              </w:rPr>
              <w:t>(1)</w:t>
            </w:r>
          </w:p>
        </w:tc>
        <w:tc>
          <w:tcPr>
            <w:tcW w:w="240" w:type="dxa"/>
            <w:vAlign w:val="bottom"/>
          </w:tcPr>
          <w:p>
            <w:pPr>
              <w:spacing w:after="0"/>
              <w:rPr>
                <w:sz w:val="14"/>
                <w:szCs w:val="14"/>
                <w:color w:val="auto"/>
              </w:rPr>
            </w:pPr>
          </w:p>
        </w:tc>
        <w:tc>
          <w:tcPr>
            <w:tcW w:w="2060" w:type="dxa"/>
            <w:vAlign w:val="bottom"/>
            <w:gridSpan w:val="3"/>
          </w:tcPr>
          <w:p>
            <w:pPr>
              <w:jc w:val="center"/>
              <w:ind w:right="154"/>
              <w:spacing w:after="0" w:line="168" w:lineRule="exact"/>
              <w:rPr>
                <w:sz w:val="20"/>
                <w:szCs w:val="20"/>
                <w:color w:val="auto"/>
              </w:rPr>
            </w:pPr>
            <w:r>
              <w:rPr>
                <w:rFonts w:ascii="Times New Roman" w:cs="Times New Roman" w:eastAsia="Times New Roman" w:hAnsi="Times New Roman"/>
                <w:sz w:val="13"/>
                <w:szCs w:val="13"/>
                <w:color w:val="auto"/>
                <w:w w:val="99"/>
              </w:rPr>
              <w:t xml:space="preserve">from AOCI </w:t>
            </w:r>
            <w:r>
              <w:rPr>
                <w:rFonts w:ascii="Times New Roman" w:cs="Times New Roman" w:eastAsia="Times New Roman" w:hAnsi="Times New Roman"/>
                <w:sz w:val="16"/>
                <w:szCs w:val="16"/>
                <w:color w:val="auto"/>
                <w:w w:val="99"/>
                <w:vertAlign w:val="superscript"/>
              </w:rPr>
              <w:t>(1)</w:t>
            </w:r>
          </w:p>
        </w:tc>
        <w:tc>
          <w:tcPr>
            <w:tcW w:w="0" w:type="dxa"/>
            <w:vAlign w:val="bottom"/>
          </w:tcPr>
          <w:p>
            <w:pPr>
              <w:spacing w:after="0"/>
              <w:rPr>
                <w:sz w:val="1"/>
                <w:szCs w:val="1"/>
                <w:color w:val="auto"/>
              </w:rPr>
            </w:pPr>
          </w:p>
        </w:tc>
      </w:tr>
      <w:tr>
        <w:trPr>
          <w:trHeight w:val="156"/>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gridSpan w:val="2"/>
          </w:tcPr>
          <w:p>
            <w:pPr>
              <w:jc w:val="center"/>
              <w:ind w:left="554"/>
              <w:spacing w:after="0"/>
              <w:rPr>
                <w:sz w:val="20"/>
                <w:szCs w:val="20"/>
                <w:color w:val="auto"/>
              </w:rPr>
            </w:pPr>
            <w:r>
              <w:rPr>
                <w:rFonts w:ascii="Times New Roman" w:cs="Times New Roman" w:eastAsia="Times New Roman" w:hAnsi="Times New Roman"/>
                <w:sz w:val="13"/>
                <w:szCs w:val="13"/>
                <w:color w:val="auto"/>
              </w:rPr>
              <w:t>(Unaudited)</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center"/>
              <w:ind w:right="154"/>
              <w:spacing w:after="0"/>
              <w:rPr>
                <w:sz w:val="20"/>
                <w:szCs w:val="20"/>
                <w:color w:val="auto"/>
              </w:rPr>
            </w:pPr>
            <w:r>
              <w:rPr>
                <w:rFonts w:ascii="Times New Roman" w:cs="Times New Roman" w:eastAsia="Times New Roman" w:hAnsi="Times New Roman"/>
                <w:sz w:val="13"/>
                <w:szCs w:val="13"/>
                <w:color w:val="auto"/>
              </w:rPr>
              <w:t>(Unaudited)</w:t>
            </w:r>
          </w:p>
        </w:tc>
        <w:tc>
          <w:tcPr>
            <w:tcW w:w="0" w:type="dxa"/>
            <w:vAlign w:val="bottom"/>
          </w:tcPr>
          <w:p>
            <w:pPr>
              <w:spacing w:after="0"/>
              <w:rPr>
                <w:sz w:val="1"/>
                <w:szCs w:val="1"/>
                <w:color w:val="auto"/>
              </w:rPr>
            </w:pPr>
          </w:p>
        </w:tc>
      </w:tr>
      <w:tr>
        <w:trPr>
          <w:trHeight w:val="156"/>
        </w:trPr>
        <w:tc>
          <w:tcPr>
            <w:tcW w:w="2440" w:type="dxa"/>
            <w:vAlign w:val="bottom"/>
            <w:gridSpan w:val="2"/>
            <w:vMerge w:val="continue"/>
          </w:tcPr>
          <w:p>
            <w:pPr>
              <w:spacing w:after="0"/>
              <w:rPr>
                <w:sz w:val="13"/>
                <w:szCs w:val="13"/>
                <w:color w:val="auto"/>
              </w:rPr>
            </w:pPr>
          </w:p>
        </w:tc>
        <w:tc>
          <w:tcPr>
            <w:tcW w:w="3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60" w:type="dxa"/>
            <w:vAlign w:val="bottom"/>
            <w:gridSpan w:val="3"/>
          </w:tcPr>
          <w:p>
            <w:pPr>
              <w:jc w:val="center"/>
              <w:ind w:right="214"/>
              <w:spacing w:after="0"/>
              <w:rPr>
                <w:sz w:val="20"/>
                <w:szCs w:val="20"/>
                <w:color w:val="auto"/>
              </w:rPr>
            </w:pPr>
            <w:r>
              <w:rPr>
                <w:rFonts w:ascii="Times New Roman" w:cs="Times New Roman" w:eastAsia="Times New Roman" w:hAnsi="Times New Roman"/>
                <w:sz w:val="13"/>
                <w:szCs w:val="13"/>
                <w:color w:val="auto"/>
              </w:rPr>
              <w:t>For the three months ended</w:t>
            </w:r>
          </w:p>
        </w:tc>
        <w:tc>
          <w:tcPr>
            <w:tcW w:w="240" w:type="dxa"/>
            <w:vAlign w:val="bottom"/>
          </w:tcPr>
          <w:p>
            <w:pPr>
              <w:spacing w:after="0"/>
              <w:rPr>
                <w:sz w:val="13"/>
                <w:szCs w:val="13"/>
                <w:color w:val="auto"/>
              </w:rPr>
            </w:pPr>
          </w:p>
        </w:tc>
        <w:tc>
          <w:tcPr>
            <w:tcW w:w="2060" w:type="dxa"/>
            <w:vAlign w:val="bottom"/>
            <w:gridSpan w:val="3"/>
          </w:tcPr>
          <w:p>
            <w:pPr>
              <w:jc w:val="center"/>
              <w:ind w:right="154"/>
              <w:spacing w:after="0"/>
              <w:rPr>
                <w:sz w:val="20"/>
                <w:szCs w:val="20"/>
                <w:color w:val="auto"/>
              </w:rPr>
            </w:pPr>
            <w:r>
              <w:rPr>
                <w:rFonts w:ascii="Times New Roman" w:cs="Times New Roman" w:eastAsia="Times New Roman" w:hAnsi="Times New Roman"/>
                <w:sz w:val="13"/>
                <w:szCs w:val="13"/>
                <w:color w:val="auto"/>
              </w:rPr>
              <w:t>For the nine months ended</w:t>
            </w:r>
          </w:p>
        </w:tc>
        <w:tc>
          <w:tcPr>
            <w:tcW w:w="0" w:type="dxa"/>
            <w:vAlign w:val="bottom"/>
          </w:tcPr>
          <w:p>
            <w:pPr>
              <w:spacing w:after="0"/>
              <w:rPr>
                <w:sz w:val="1"/>
                <w:szCs w:val="1"/>
                <w:color w:val="auto"/>
              </w:rPr>
            </w:pPr>
          </w:p>
        </w:tc>
      </w:tr>
      <w:tr>
        <w:trPr>
          <w:trHeight w:val="156"/>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Details about AOCI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components</w:t>
            </w:r>
          </w:p>
        </w:tc>
        <w:tc>
          <w:tcPr>
            <w:tcW w:w="3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September 30,</w:t>
            </w:r>
          </w:p>
        </w:tc>
        <w:tc>
          <w:tcPr>
            <w:tcW w:w="300" w:type="dxa"/>
            <w:vAlign w:val="bottom"/>
          </w:tcPr>
          <w:p>
            <w:pPr>
              <w:spacing w:after="0"/>
              <w:rPr>
                <w:sz w:val="13"/>
                <w:szCs w:val="13"/>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8"/>
              </w:rPr>
              <w:t>September 30,</w:t>
            </w:r>
          </w:p>
        </w:tc>
        <w:tc>
          <w:tcPr>
            <w:tcW w:w="240" w:type="dxa"/>
            <w:vAlign w:val="bottom"/>
          </w:tcPr>
          <w:p>
            <w:pPr>
              <w:spacing w:after="0"/>
              <w:rPr>
                <w:sz w:val="13"/>
                <w:szCs w:val="1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September 30,</w:t>
            </w:r>
          </w:p>
        </w:tc>
        <w:tc>
          <w:tcPr>
            <w:tcW w:w="200" w:type="dxa"/>
            <w:vAlign w:val="bottom"/>
          </w:tcPr>
          <w:p>
            <w:pPr>
              <w:spacing w:after="0"/>
              <w:rPr>
                <w:sz w:val="13"/>
                <w:szCs w:val="13"/>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September 30,</w:t>
            </w:r>
          </w:p>
        </w:tc>
        <w:tc>
          <w:tcPr>
            <w:tcW w:w="0" w:type="dxa"/>
            <w:vAlign w:val="bottom"/>
          </w:tcPr>
          <w:p>
            <w:pPr>
              <w:spacing w:after="0"/>
              <w:rPr>
                <w:sz w:val="1"/>
                <w:szCs w:val="1"/>
                <w:color w:val="auto"/>
              </w:rPr>
            </w:pPr>
          </w:p>
        </w:tc>
      </w:tr>
      <w:tr>
        <w:trPr>
          <w:trHeight w:val="168"/>
        </w:trPr>
        <w:tc>
          <w:tcPr>
            <w:tcW w:w="2440" w:type="dxa"/>
            <w:vAlign w:val="bottom"/>
            <w:gridSpan w:val="2"/>
            <w:vMerge w:val="continue"/>
          </w:tcPr>
          <w:p>
            <w:pPr>
              <w:spacing w:after="0"/>
              <w:rPr>
                <w:sz w:val="14"/>
                <w:szCs w:val="14"/>
                <w:color w:val="auto"/>
              </w:rPr>
            </w:pPr>
          </w:p>
        </w:tc>
        <w:tc>
          <w:tcPr>
            <w:tcW w:w="32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Affected Line Item in the Statement of Income</w:t>
            </w:r>
          </w:p>
        </w:tc>
        <w:tc>
          <w:tcPr>
            <w:tcW w:w="40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2025</w:t>
            </w:r>
          </w:p>
        </w:tc>
        <w:tc>
          <w:tcPr>
            <w:tcW w:w="300" w:type="dxa"/>
            <w:vAlign w:val="bottom"/>
          </w:tcPr>
          <w:p>
            <w:pPr>
              <w:spacing w:after="0"/>
              <w:rPr>
                <w:sz w:val="14"/>
                <w:szCs w:val="14"/>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2025</w:t>
            </w:r>
          </w:p>
        </w:tc>
        <w:tc>
          <w:tcPr>
            <w:tcW w:w="200" w:type="dxa"/>
            <w:vAlign w:val="bottom"/>
          </w:tcPr>
          <w:p>
            <w:pPr>
              <w:spacing w:after="0"/>
              <w:rPr>
                <w:sz w:val="14"/>
                <w:szCs w:val="14"/>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Retirement plan items</w:t>
            </w:r>
          </w:p>
        </w:tc>
        <w:tc>
          <w:tcPr>
            <w:tcW w:w="3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Retirement plan net losses</w:t>
            </w:r>
          </w:p>
        </w:tc>
        <w:tc>
          <w:tcPr>
            <w:tcW w:w="3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20" w:type="dxa"/>
            <w:vAlign w:val="bottom"/>
          </w:tcPr>
          <w:p>
            <w:pPr>
              <w:ind w:left="80"/>
              <w:spacing w:after="0" w:line="179" w:lineRule="exact"/>
              <w:rPr>
                <w:sz w:val="20"/>
                <w:szCs w:val="20"/>
                <w:color w:val="auto"/>
              </w:rPr>
            </w:pPr>
            <w:r>
              <w:rPr>
                <w:rFonts w:ascii="Times New Roman" w:cs="Times New Roman" w:eastAsia="Times New Roman" w:hAnsi="Times New Roman"/>
                <w:sz w:val="13"/>
                <w:szCs w:val="13"/>
                <w:color w:val="auto"/>
              </w:rPr>
              <w:t xml:space="preserve">recognized in plan expenses </w:t>
            </w:r>
            <w:r>
              <w:rPr>
                <w:rFonts w:ascii="Times New Roman" w:cs="Times New Roman" w:eastAsia="Times New Roman" w:hAnsi="Times New Roman"/>
                <w:sz w:val="16"/>
                <w:szCs w:val="16"/>
                <w:color w:val="auto"/>
                <w:vertAlign w:val="superscript"/>
              </w:rPr>
              <w:t>2</w:t>
            </w:r>
          </w:p>
        </w:tc>
        <w:tc>
          <w:tcPr>
            <w:tcW w:w="32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w:t>
            </w:r>
          </w:p>
        </w:tc>
        <w:tc>
          <w:tcPr>
            <w:tcW w:w="32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w:t>
            </w: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Net Income</w:t>
            </w: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Available-for-sale securities</w:t>
            </w:r>
          </w:p>
        </w:tc>
        <w:tc>
          <w:tcPr>
            <w:tcW w:w="32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60" w:type="dxa"/>
            <w:vAlign w:val="bottom"/>
          </w:tcPr>
          <w:p>
            <w:pPr>
              <w:ind w:left="580"/>
              <w:spacing w:after="0" w:line="144" w:lineRule="exact"/>
              <w:rPr>
                <w:sz w:val="20"/>
                <w:szCs w:val="20"/>
                <w:color w:val="auto"/>
              </w:rPr>
            </w:pPr>
            <w:r>
              <w:rPr>
                <w:rFonts w:ascii="Times New Roman" w:cs="Times New Roman" w:eastAsia="Times New Roman" w:hAnsi="Times New Roman"/>
                <w:sz w:val="13"/>
                <w:szCs w:val="13"/>
                <w:color w:val="auto"/>
              </w:rPr>
              <w:t>Net realized gains (losses) on sales and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Realized losses on sale of securities</w:t>
            </w:r>
          </w:p>
        </w:tc>
        <w:tc>
          <w:tcPr>
            <w:tcW w:w="32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redemptions of investment securities</w:t>
            </w: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w:t>
            </w:r>
          </w:p>
        </w:tc>
        <w:tc>
          <w:tcPr>
            <w:tcW w:w="32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Net Income</w:t>
            </w: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hanging="94"/>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in parentheses indicates debits in net income.</w:t>
      </w:r>
    </w:p>
    <w:p>
      <w:pPr>
        <w:ind w:left="100" w:hanging="94"/>
        <w:spacing w:after="0" w:line="210" w:lineRule="auto"/>
        <w:tabs>
          <w:tab w:leader="none" w:pos="1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items are included in net periodic pension cost. See Note 5 for additional information.</w:t>
      </w:r>
    </w:p>
    <w:p>
      <w:pPr>
        <w:spacing w:after="0" w:line="157" w:lineRule="exact"/>
        <w:rPr>
          <w:rFonts w:ascii="Times New Roman" w:cs="Times New Roman" w:eastAsia="Times New Roman" w:hAnsi="Times New Roman"/>
          <w:sz w:val="19"/>
          <w:szCs w:val="19"/>
          <w:color w:val="auto"/>
          <w:vertAlign w:val="superscript"/>
        </w:rPr>
      </w:pPr>
    </w:p>
    <w:p>
      <w:pPr>
        <w:ind w:left="5200" w:hanging="87"/>
        <w:spacing w:after="0"/>
        <w:tabs>
          <w:tab w:leader="none" w:pos="52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included the following table regarding the Company’s noninterest income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tcPr>
          <w:p>
            <w:pPr>
              <w:spacing w:after="0"/>
              <w:rPr>
                <w:sz w:val="13"/>
                <w:szCs w:val="13"/>
                <w:color w:val="auto"/>
              </w:rPr>
            </w:pPr>
          </w:p>
        </w:tc>
        <w:tc>
          <w:tcPr>
            <w:tcW w:w="2700" w:type="dxa"/>
            <w:vAlign w:val="bottom"/>
            <w:gridSpan w:val="3"/>
          </w:tcPr>
          <w:p>
            <w:pPr>
              <w:jc w:val="right"/>
              <w:ind w:right="694"/>
              <w:spacing w:after="0"/>
              <w:rPr>
                <w:sz w:val="20"/>
                <w:szCs w:val="20"/>
                <w:color w:val="auto"/>
              </w:rPr>
            </w:pPr>
            <w:r>
              <w:rPr>
                <w:rFonts w:ascii="Times New Roman" w:cs="Times New Roman" w:eastAsia="Times New Roman" w:hAnsi="Times New Roman"/>
                <w:sz w:val="13"/>
                <w:szCs w:val="13"/>
                <w:color w:val="auto"/>
              </w:rPr>
              <w:t>For the three months ended</w:t>
            </w:r>
          </w:p>
        </w:tc>
        <w:tc>
          <w:tcPr>
            <w:tcW w:w="200" w:type="dxa"/>
            <w:vAlign w:val="bottom"/>
          </w:tcPr>
          <w:p>
            <w:pPr>
              <w:spacing w:after="0"/>
              <w:rPr>
                <w:sz w:val="13"/>
                <w:szCs w:val="13"/>
                <w:color w:val="auto"/>
              </w:rPr>
            </w:pPr>
          </w:p>
        </w:tc>
        <w:tc>
          <w:tcPr>
            <w:tcW w:w="2600" w:type="dxa"/>
            <w:vAlign w:val="bottom"/>
            <w:gridSpan w:val="3"/>
          </w:tcPr>
          <w:p>
            <w:pPr>
              <w:jc w:val="right"/>
              <w:ind w:right="634"/>
              <w:spacing w:after="0"/>
              <w:rPr>
                <w:sz w:val="20"/>
                <w:szCs w:val="20"/>
                <w:color w:val="auto"/>
              </w:rPr>
            </w:pPr>
            <w:r>
              <w:rPr>
                <w:rFonts w:ascii="Times New Roman" w:cs="Times New Roman" w:eastAsia="Times New Roman" w:hAnsi="Times New Roman"/>
                <w:sz w:val="13"/>
                <w:szCs w:val="13"/>
                <w:color w:val="auto"/>
              </w:rPr>
              <w:t>For the nine months ended</w:t>
            </w: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September 30, 2025</w:t>
            </w:r>
          </w:p>
        </w:tc>
        <w:tc>
          <w:tcPr>
            <w:tcW w:w="2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September 30, 2024</w:t>
            </w:r>
          </w:p>
        </w:tc>
        <w:tc>
          <w:tcPr>
            <w:tcW w:w="20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September 30, 2025</w:t>
            </w:r>
          </w:p>
        </w:tc>
        <w:tc>
          <w:tcPr>
            <w:tcW w:w="18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September 30, 2024</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Insufficient funds fees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221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657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Deposit related fees</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150</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438</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ATM fees</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63</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56"/>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service charges on deposit accounts</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404</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392</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1,158</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1,031</w:t>
            </w:r>
          </w:p>
        </w:tc>
        <w:tc>
          <w:tcPr>
            <w:tcW w:w="0" w:type="dxa"/>
            <w:vAlign w:val="bottom"/>
          </w:tcPr>
          <w:p>
            <w:pPr>
              <w:spacing w:after="0"/>
              <w:rPr>
                <w:sz w:val="1"/>
                <w:szCs w:val="1"/>
                <w:color w:val="auto"/>
              </w:rPr>
            </w:pPr>
          </w:p>
        </w:tc>
      </w:tr>
      <w:tr>
        <w:trPr>
          <w:trHeight w:val="27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Fee Income</w:t>
            </w:r>
          </w:p>
        </w:tc>
        <w:tc>
          <w:tcPr>
            <w:tcW w:w="7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Insurance agency revenue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367</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1,024</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Investment services revenue</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ATM fees surcharge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69</w:t>
            </w:r>
          </w:p>
        </w:tc>
        <w:tc>
          <w:tcPr>
            <w:tcW w:w="2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66</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208</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Banking house rents collected</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109</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262</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56"/>
        </w:trPr>
        <w:tc>
          <w:tcPr>
            <w:tcW w:w="4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fee income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178</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585</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608</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1,716</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Card income</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Debit card interchange fees</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217</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300</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398</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610</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Merchant card fees</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6"/>
        </w:trPr>
        <w:tc>
          <w:tcPr>
            <w:tcW w:w="4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card income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237</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319</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444</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44"/>
        </w:trPr>
        <w:tc>
          <w:tcPr>
            <w:tcW w:w="43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Mortgage fee income and realized gains on sales of loans</w:t>
            </w:r>
          </w:p>
        </w:tc>
        <w:tc>
          <w:tcPr>
            <w:tcW w:w="7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and foreclosed real estate</w:t>
            </w:r>
          </w:p>
        </w:tc>
        <w:tc>
          <w:tcPr>
            <w:tcW w:w="7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 servicing fees</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79</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311</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gains on sales of loans and foreclosed real estate</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121</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269</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44"/>
        </w:trPr>
        <w:tc>
          <w:tcPr>
            <w:tcW w:w="434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Total mortgage fee income and realized gains on</w:t>
            </w: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sale of loans and foreclosed real estate</w:t>
            </w:r>
          </w:p>
        </w:tc>
        <w:tc>
          <w:tcPr>
            <w:tcW w:w="720" w:type="dxa"/>
            <w:vAlign w:val="bottom"/>
          </w:tcPr>
          <w:p>
            <w:pPr>
              <w:spacing w:after="0"/>
              <w:rPr>
                <w:sz w:val="14"/>
                <w:szCs w:val="14"/>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234</w:t>
            </w:r>
          </w:p>
        </w:tc>
        <w:tc>
          <w:tcPr>
            <w:tcW w:w="2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tcPr>
          <w:p>
            <w:pPr>
              <w:spacing w:after="0"/>
              <w:rPr>
                <w:sz w:val="14"/>
                <w:szCs w:val="14"/>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580</w:t>
            </w:r>
          </w:p>
        </w:tc>
        <w:tc>
          <w:tcPr>
            <w:tcW w:w="180" w:type="dxa"/>
            <w:vAlign w:val="bottom"/>
          </w:tcPr>
          <w:p>
            <w:pPr>
              <w:spacing w:after="0"/>
              <w:rPr>
                <w:sz w:val="14"/>
                <w:szCs w:val="14"/>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Subtotal</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1,053</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1,465</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2,790</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3,829</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Earnings and gains on bank owned life insurance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286</w:t>
            </w:r>
          </w:p>
        </w:tc>
        <w:tc>
          <w:tcPr>
            <w:tcW w:w="220" w:type="dxa"/>
            <w:vAlign w:val="bottom"/>
          </w:tcPr>
          <w:p>
            <w:pPr>
              <w:spacing w:after="0"/>
              <w:rPr>
                <w:sz w:val="13"/>
                <w:szCs w:val="13"/>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361</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604</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685</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realized losses on sales and redemptions of investment securities</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(188)</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unrealized gains on marketable equity securities</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145</w:t>
            </w:r>
          </w:p>
        </w:tc>
        <w:tc>
          <w:tcPr>
            <w:tcW w:w="2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62</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783</w:t>
            </w:r>
          </w:p>
        </w:tc>
        <w:tc>
          <w:tcPr>
            <w:tcW w:w="18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Fair value adjustment to loans held-for-sale</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(3,064)</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sale of premises and equipment</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Non-recurring gain on lease renegotiations</w:t>
            </w:r>
          </w:p>
        </w:tc>
        <w:tc>
          <w:tcPr>
            <w:tcW w:w="7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56"/>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miscellaneous income</w:t>
            </w:r>
          </w:p>
        </w:tc>
        <w:tc>
          <w:tcPr>
            <w:tcW w:w="7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31</w:t>
            </w:r>
          </w:p>
        </w:tc>
        <w:tc>
          <w:tcPr>
            <w:tcW w:w="22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tcPr>
          <w:p>
            <w:pPr>
              <w:spacing w:after="0"/>
              <w:rPr>
                <w:sz w:val="13"/>
                <w:szCs w:val="13"/>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noninterest income</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1,707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4,655</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key revenues within the scope of ASC 606 guidance:</w:t>
      </w:r>
    </w:p>
    <w:p>
      <w:pPr>
        <w:spacing w:after="0" w:line="27" w:lineRule="exact"/>
        <w:rPr>
          <w:sz w:val="20"/>
          <w:szCs w:val="20"/>
          <w:color w:val="auto"/>
        </w:rPr>
      </w:pPr>
    </w:p>
    <w:p>
      <w:pPr>
        <w:jc w:val="both"/>
        <w:ind w:left="360" w:right="1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charges on deposit accounts –</w:t>
      </w:r>
      <w:r>
        <w:rPr>
          <w:rFonts w:ascii="Times New Roman" w:cs="Times New Roman" w:eastAsia="Times New Roman" w:hAnsi="Times New Roman"/>
          <w:sz w:val="18"/>
          <w:szCs w:val="18"/>
          <w:color w:val="auto"/>
        </w:rPr>
        <w:t xml:space="preserve"> Revenue is earned through insufficient funds fees, customer initiated activities or 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2" w:lineRule="exact"/>
        <w:rPr>
          <w:sz w:val="20"/>
          <w:szCs w:val="20"/>
          <w:color w:val="auto"/>
        </w:rPr>
      </w:pPr>
    </w:p>
    <w:p>
      <w:pPr>
        <w:ind w:left="360" w:right="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Fee income –</w:t>
      </w:r>
      <w:r>
        <w:rPr>
          <w:rFonts w:ascii="Times New Roman" w:cs="Times New Roman" w:eastAsia="Times New Roman" w:hAnsi="Times New Roman"/>
          <w:sz w:val="18"/>
          <w:szCs w:val="18"/>
          <w:color w:val="auto"/>
        </w:rPr>
        <w:t xml:space="preserve"> 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2" w:lineRule="exact"/>
        <w:rPr>
          <w:sz w:val="20"/>
          <w:szCs w:val="20"/>
          <w:color w:val="auto"/>
        </w:rPr>
      </w:pPr>
    </w:p>
    <w:p>
      <w:pPr>
        <w:ind w:left="360" w:right="2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Card income –</w:t>
      </w:r>
      <w:r>
        <w:rPr>
          <w:rFonts w:ascii="Times New Roman" w:cs="Times New Roman" w:eastAsia="Times New Roman" w:hAnsi="Times New Roman"/>
          <w:sz w:val="18"/>
          <w:szCs w:val="18"/>
          <w:color w:val="auto"/>
        </w:rPr>
        <w:t xml:space="preserve"> Card income consists of interchange fees from consumer debit card networks and other related services. Interchange rates are set by the card networks. Interchange fees are based on purchase volumes and other factors and are recognized as transactions occur.</w:t>
      </w:r>
    </w:p>
    <w:p>
      <w:pPr>
        <w:spacing w:after="0" w:line="1"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 fee income and realized gain on sale of loans and foreclosed real estate</w:t>
      </w:r>
      <w:r>
        <w:rPr>
          <w:rFonts w:ascii="Times New Roman" w:cs="Times New Roman" w:eastAsia="Times New Roman" w:hAnsi="Times New Roman"/>
          <w:sz w:val="18"/>
          <w:szCs w:val="18"/>
          <w:color w:val="auto"/>
        </w:rPr>
        <w:t xml:space="preserve"> – Revenue from mortgage fee income and realized gain on sale of loans and foreclosed real estate is earned through the origination of residential and commercial mortgage loans, sales of one-to-four family residential mortgage loans, sales of government guarantees portions of Small Business Administration loans (“SBA loans”), and sales of foreclosed real estate, and is earned as the transaction occurs.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44</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certain banking offices and land under noncancelable agreements. Our leases have remaining lease terms that vary from less than 2 years up to 28 years, some of which include options to extend the leases for various renewal periods. All options to renew are included in the current lease term when we believe it is reasonably certain that the renewal options will be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462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180"/>
        </w:trPr>
        <w:tc>
          <w:tcPr>
            <w:tcW w:w="4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6"/>
              </w:rPr>
              <w:t>September</w:t>
            </w:r>
          </w:p>
        </w:tc>
        <w:tc>
          <w:tcPr>
            <w:tcW w:w="200" w:type="dxa"/>
            <w:vAlign w:val="bottom"/>
          </w:tcPr>
          <w:p>
            <w:pPr>
              <w:spacing w:after="0"/>
              <w:rPr>
                <w:sz w:val="15"/>
                <w:szCs w:val="15"/>
                <w:color w:val="auto"/>
              </w:rPr>
            </w:pPr>
          </w:p>
        </w:tc>
        <w:tc>
          <w:tcPr>
            <w:tcW w:w="7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September</w:t>
            </w:r>
          </w:p>
        </w:tc>
        <w:tc>
          <w:tcPr>
            <w:tcW w:w="16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6"/>
              </w:rPr>
              <w:t>September</w:t>
            </w:r>
          </w:p>
        </w:tc>
        <w:tc>
          <w:tcPr>
            <w:tcW w:w="16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September</w:t>
            </w: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88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30, 2025</w:t>
            </w:r>
          </w:p>
        </w:tc>
        <w:tc>
          <w:tcPr>
            <w:tcW w:w="200" w:type="dxa"/>
            <w:vAlign w:val="bottom"/>
          </w:tcPr>
          <w:p>
            <w:pPr>
              <w:spacing w:after="0"/>
              <w:rPr>
                <w:sz w:val="16"/>
                <w:szCs w:val="16"/>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30, 2024</w:t>
            </w:r>
          </w:p>
        </w:tc>
        <w:tc>
          <w:tcPr>
            <w:tcW w:w="16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30, 2025</w:t>
            </w:r>
          </w:p>
        </w:tc>
        <w:tc>
          <w:tcPr>
            <w:tcW w:w="16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30, 2024</w:t>
            </w:r>
          </w:p>
        </w:tc>
      </w:tr>
      <w:tr>
        <w:trPr>
          <w:trHeight w:val="180"/>
        </w:trPr>
        <w:tc>
          <w:tcPr>
            <w:tcW w:w="4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2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130</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148</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288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1,291</w:t>
            </w:r>
          </w:p>
        </w:tc>
        <w:tc>
          <w:tcPr>
            <w:tcW w:w="1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583</w:t>
            </w: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562"/>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60" w:type="dxa"/>
            <w:vAlign w:val="bottom"/>
          </w:tcPr>
          <w:p>
            <w:pPr>
              <w:spacing w:after="0"/>
              <w:rPr>
                <w:sz w:val="16"/>
                <w:szCs w:val="16"/>
                <w:color w:val="auto"/>
              </w:rPr>
            </w:pPr>
          </w:p>
        </w:tc>
        <w:tc>
          <w:tcPr>
            <w:tcW w:w="2660" w:type="dxa"/>
            <w:vAlign w:val="bottom"/>
            <w:gridSpan w:val="3"/>
          </w:tcPr>
          <w:p>
            <w:pPr>
              <w:jc w:val="right"/>
              <w:ind w:right="582"/>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180"/>
        </w:trPr>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September 30,</w:t>
            </w:r>
          </w:p>
        </w:tc>
        <w:tc>
          <w:tcPr>
            <w:tcW w:w="340" w:type="dxa"/>
            <w:vAlign w:val="bottom"/>
          </w:tcPr>
          <w:p>
            <w:pPr>
              <w:spacing w:after="0"/>
              <w:rPr>
                <w:sz w:val="15"/>
                <w:szCs w:val="15"/>
                <w:color w:val="auto"/>
              </w:rPr>
            </w:pPr>
          </w:p>
        </w:tc>
        <w:tc>
          <w:tcPr>
            <w:tcW w:w="11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September 30,</w:t>
            </w:r>
          </w:p>
        </w:tc>
        <w:tc>
          <w:tcPr>
            <w:tcW w:w="360" w:type="dxa"/>
            <w:vAlign w:val="bottom"/>
          </w:tcPr>
          <w:p>
            <w:pPr>
              <w:spacing w:after="0"/>
              <w:rPr>
                <w:sz w:val="15"/>
                <w:szCs w:val="15"/>
                <w:color w:val="auto"/>
              </w:rPr>
            </w:pPr>
          </w:p>
        </w:tc>
        <w:tc>
          <w:tcPr>
            <w:tcW w:w="11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September 30,</w:t>
            </w:r>
          </w:p>
        </w:tc>
        <w:tc>
          <w:tcPr>
            <w:tcW w:w="360" w:type="dxa"/>
            <w:vAlign w:val="bottom"/>
          </w:tcPr>
          <w:p>
            <w:pPr>
              <w:spacing w:after="0"/>
              <w:rPr>
                <w:sz w:val="15"/>
                <w:szCs w:val="15"/>
                <w:color w:val="auto"/>
              </w:rPr>
            </w:pP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September 30,</w:t>
            </w:r>
          </w:p>
        </w:tc>
      </w:tr>
      <w:tr>
        <w:trPr>
          <w:trHeight w:val="19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6"/>
                <w:szCs w:val="16"/>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360" w:type="dxa"/>
            <w:vAlign w:val="bottom"/>
          </w:tcPr>
          <w:p>
            <w:pPr>
              <w:spacing w:after="0"/>
              <w:rPr>
                <w:sz w:val="16"/>
                <w:szCs w:val="16"/>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2024</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Cash paid for amounts included in the measurement of lease liabilities:</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0"/>
        </w:trPr>
        <w:tc>
          <w:tcPr>
            <w:tcW w:w="45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Operating cash flows from operating leases</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3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137</w:t>
            </w:r>
          </w:p>
        </w:tc>
      </w:tr>
      <w:tr>
        <w:trPr>
          <w:trHeight w:val="180"/>
        </w:trPr>
        <w:tc>
          <w:tcPr>
            <w:tcW w:w="456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Operating cash flows from finance leases</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431</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583</w:t>
            </w:r>
          </w:p>
        </w:tc>
      </w:tr>
      <w:tr>
        <w:trPr>
          <w:trHeight w:val="203"/>
        </w:trPr>
        <w:tc>
          <w:tcPr>
            <w:tcW w:w="4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32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109</w:t>
            </w:r>
          </w:p>
        </w:tc>
        <w:tc>
          <w:tcPr>
            <w:tcW w:w="34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92</w:t>
            </w:r>
          </w:p>
        </w:tc>
        <w:tc>
          <w:tcPr>
            <w:tcW w:w="36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331</w:t>
            </w:r>
          </w:p>
        </w:tc>
        <w:tc>
          <w:tcPr>
            <w:tcW w:w="36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w:t>
            </w: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2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As of September</w:t>
            </w:r>
          </w:p>
        </w:tc>
        <w:tc>
          <w:tcPr>
            <w:tcW w:w="12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As of December</w:t>
            </w:r>
          </w:p>
        </w:tc>
        <w:tc>
          <w:tcPr>
            <w:tcW w:w="0" w:type="dxa"/>
            <w:vAlign w:val="bottom"/>
          </w:tcPr>
          <w:p>
            <w:pPr>
              <w:spacing w:after="0"/>
              <w:rPr>
                <w:sz w:val="1"/>
                <w:szCs w:val="1"/>
                <w:color w:val="auto"/>
              </w:rPr>
            </w:pPr>
          </w:p>
        </w:tc>
      </w:tr>
      <w:tr>
        <w:trPr>
          <w:trHeight w:val="19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lease term and discount rate)</w:t>
            </w:r>
          </w:p>
        </w:tc>
        <w:tc>
          <w:tcPr>
            <w:tcW w:w="4200" w:type="dxa"/>
            <w:vAlign w:val="bottom"/>
          </w:tcPr>
          <w:p>
            <w:pPr>
              <w:spacing w:after="0"/>
              <w:rPr>
                <w:sz w:val="16"/>
                <w:szCs w:val="16"/>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30, 2025</w:t>
            </w:r>
          </w:p>
        </w:tc>
        <w:tc>
          <w:tcPr>
            <w:tcW w:w="22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42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1,124</w:t>
            </w:r>
          </w:p>
        </w:tc>
        <w:tc>
          <w:tcPr>
            <w:tcW w:w="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1,326</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Finance lease right-of-use assets</w:t>
            </w:r>
          </w:p>
        </w:tc>
        <w:tc>
          <w:tcPr>
            <w:tcW w:w="420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2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16,676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Finance lease liabilities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16,479</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16,745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4200" w:type="dxa"/>
            <w:vAlign w:val="bottom"/>
          </w:tcPr>
          <w:p>
            <w:pPr>
              <w:spacing w:after="0"/>
              <w:rPr>
                <w:sz w:val="15"/>
                <w:szCs w:val="15"/>
                <w:color w:val="auto"/>
              </w:rPr>
            </w:pPr>
          </w:p>
        </w:tc>
        <w:tc>
          <w:tcPr>
            <w:tcW w:w="10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18.13 years</w:t>
            </w:r>
          </w:p>
        </w:tc>
        <w:tc>
          <w:tcPr>
            <w:tcW w:w="220" w:type="dxa"/>
            <w:vAlign w:val="bottom"/>
          </w:tcPr>
          <w:p>
            <w:pPr>
              <w:spacing w:after="0"/>
              <w:rPr>
                <w:sz w:val="15"/>
                <w:szCs w:val="15"/>
                <w:color w:val="auto"/>
              </w:rPr>
            </w:pPr>
          </w:p>
        </w:tc>
        <w:tc>
          <w:tcPr>
            <w:tcW w:w="9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17.08 years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21.52 years</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22.01 years</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4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2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Finance leases</w:t>
            </w:r>
          </w:p>
        </w:tc>
        <w:tc>
          <w:tcPr>
            <w:tcW w:w="4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6.02%</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0" w:type="dxa"/>
            <w:vAlign w:val="bottom"/>
          </w:tcPr>
          <w:p>
            <w:pPr>
              <w:jc w:val="right"/>
              <w:ind w:right="2802"/>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45</w:t>
            </w:r>
            <w:r>
              <w:rPr>
                <w:rFonts w:ascii="Times New Roman" w:cs="Times New Roman" w:eastAsia="Times New Roman" w:hAnsi="Times New Roman"/>
                <w:sz w:val="16"/>
                <w:szCs w:val="16"/>
                <w:color w:val="auto"/>
              </w:rPr>
              <w:t xml:space="preserve"> -</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c>
          <w:tcPr>
            <w:tcW w:w="4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Twelve Months Ending September 30,</w:t>
            </w:r>
          </w:p>
        </w:tc>
        <w:tc>
          <w:tcPr>
            <w:tcW w:w="2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 thousands)</w:t>
            </w:r>
          </w:p>
        </w:tc>
        <w:tc>
          <w:tcPr>
            <w:tcW w:w="2180" w:type="dxa"/>
            <w:vAlign w:val="bottom"/>
          </w:tcPr>
          <w:p>
            <w:pPr>
              <w:spacing w:after="0"/>
              <w:rPr>
                <w:sz w:val="15"/>
                <w:szCs w:val="15"/>
                <w:color w:val="auto"/>
              </w:rPr>
            </w:pPr>
          </w:p>
        </w:tc>
        <w:tc>
          <w:tcPr>
            <w:tcW w:w="17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420" w:type="dxa"/>
            <w:vAlign w:val="bottom"/>
          </w:tcPr>
          <w:p>
            <w:pPr>
              <w:spacing w:after="0"/>
              <w:rPr>
                <w:sz w:val="15"/>
                <w:szCs w:val="15"/>
                <w:color w:val="auto"/>
              </w:rPr>
            </w:pPr>
          </w:p>
        </w:tc>
        <w:tc>
          <w:tcPr>
            <w:tcW w:w="1620" w:type="dxa"/>
            <w:vAlign w:val="bottom"/>
          </w:tcPr>
          <w:p>
            <w:pPr>
              <w:jc w:val="right"/>
              <w:ind w:right="422"/>
              <w:spacing w:after="0" w:line="180" w:lineRule="exact"/>
              <w:rPr>
                <w:sz w:val="20"/>
                <w:szCs w:val="20"/>
                <w:color w:val="auto"/>
              </w:rPr>
            </w:pPr>
            <w:r>
              <w:rPr>
                <w:rFonts w:ascii="Times New Roman" w:cs="Times New Roman" w:eastAsia="Times New Roman" w:hAnsi="Times New Roman"/>
                <w:sz w:val="16"/>
                <w:szCs w:val="16"/>
                <w:color w:val="auto"/>
              </w:rPr>
              <w:t>Finance Leases</w:t>
            </w:r>
          </w:p>
        </w:tc>
      </w:tr>
      <w:tr>
        <w:trPr>
          <w:trHeight w:val="19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90</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371</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18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392</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180" w:type="dxa"/>
            <w:vAlign w:val="bottom"/>
          </w:tcPr>
          <w:p>
            <w:pPr>
              <w:spacing w:after="0"/>
              <w:rPr>
                <w:sz w:val="15"/>
                <w:szCs w:val="15"/>
                <w:color w:val="auto"/>
              </w:rPr>
            </w:pPr>
          </w:p>
        </w:tc>
        <w:tc>
          <w:tcPr>
            <w:tcW w:w="17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420" w:type="dxa"/>
            <w:vAlign w:val="bottom"/>
          </w:tcPr>
          <w:p>
            <w:pPr>
              <w:spacing w:after="0"/>
              <w:rPr>
                <w:sz w:val="15"/>
                <w:szCs w:val="15"/>
                <w:color w:val="auto"/>
              </w:rPr>
            </w:pPr>
          </w:p>
        </w:tc>
        <w:tc>
          <w:tcPr>
            <w:tcW w:w="1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412</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18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438</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2180" w:type="dxa"/>
            <w:vAlign w:val="bottom"/>
          </w:tcPr>
          <w:p>
            <w:pPr>
              <w:spacing w:after="0"/>
              <w:rPr>
                <w:sz w:val="15"/>
                <w:szCs w:val="15"/>
                <w:color w:val="auto"/>
              </w:rPr>
            </w:pPr>
          </w:p>
        </w:tc>
        <w:tc>
          <w:tcPr>
            <w:tcW w:w="17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420" w:type="dxa"/>
            <w:vAlign w:val="bottom"/>
          </w:tcPr>
          <w:p>
            <w:pPr>
              <w:spacing w:after="0"/>
              <w:rPr>
                <w:sz w:val="15"/>
                <w:szCs w:val="15"/>
                <w:color w:val="auto"/>
              </w:rPr>
            </w:pPr>
          </w:p>
        </w:tc>
        <w:tc>
          <w:tcPr>
            <w:tcW w:w="1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463</w:t>
            </w:r>
          </w:p>
        </w:tc>
      </w:tr>
      <w:tr>
        <w:trPr>
          <w:trHeight w:val="180"/>
        </w:trPr>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18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903</w:t>
            </w:r>
          </w:p>
        </w:tc>
        <w:tc>
          <w:tcPr>
            <w:tcW w:w="4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14,403</w:t>
            </w:r>
          </w:p>
        </w:tc>
      </w:tr>
      <w:tr>
        <w:trPr>
          <w:trHeight w:val="180"/>
        </w:trPr>
        <w:tc>
          <w:tcPr>
            <w:tcW w:w="4560" w:type="dxa"/>
            <w:vAlign w:val="bottom"/>
            <w:tcBorders>
              <w:bottom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future maturities of lease liabilities</w:t>
            </w:r>
          </w:p>
        </w:tc>
        <w:tc>
          <w:tcPr>
            <w:tcW w:w="218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1,326</w:t>
            </w:r>
          </w:p>
        </w:tc>
        <w:tc>
          <w:tcPr>
            <w:tcW w:w="42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16,479</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owns certain properties that it leases to unaffiliated third parties at market rates. Lease rental income was $109,000 and $40,000 for the three months ended September 30, 2025 and 2024, respectively. Lease rental income was $262,000 and $148,000 for the nine months ended September 30, 2025 and 2024, respectively. All rental agreements with lessees are accounted for as operating leases.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46</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7" w:name="page48"/>
    <w:bookmarkEnd w:id="47"/>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 (Unaudited)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Bank owns 100% of Pathfinder Risk Management Company, Inc., ("PRMC") which was established to record the 51% controlling interest upon the December 2013 purchase of FitzGibbons Agency, LLC (the “Agency”), an Oswego County property, casualty and life insurance brokerage business. The Company completed the sale of its majority membership interest in the Agency to Marshall &amp; Sterling Enterprises, Inc. in October 2024.</w:t>
      </w:r>
    </w:p>
    <w:p>
      <w:pPr>
        <w:spacing w:after="0" w:line="6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Although the Company previously owned, through its wholly owned subsidiary PRMC, 51% of the membership interest in the Agency until its October 2024 sale, the Company is required to consolidate 100% of the Agency within the consolidated financial statements. The 49% of the Agency, which the Company did not own, is accounted for separately as noncontrolling interests within the consolidated financial statements.</w:t>
      </w:r>
    </w:p>
    <w:p>
      <w:pPr>
        <w:spacing w:after="0" w:line="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and subsidiaries had total consolidated assets of $1.47 billion, total consolidated liabilities of $1.35 billion and shareholders' equity of $126.3 million.</w:t>
      </w:r>
    </w:p>
    <w:p>
      <w:pPr>
        <w:spacing w:after="0" w:line="11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discussion reviews the Company's financial condition at September 30, 2025 and the results of operations for the three and nine month periods ended September 30, 2025 and 2024. Operating results for the three and nine months ended September 30, 2025 are not necessarily indicative of the results that may be expected for the year ending December 31, 2025 or any other period.</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2024 Annual Report on Form 10-K filed with the Securities and Exchange Commission on March 31, 2025 (“the consolidated annual financial statements”) as of December 31, 2024 and 2023 and for the two years then ended. Therefore, only material changes in financial condition and results of operations are discussed in the remainder of Item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Statements</w:t>
      </w:r>
    </w:p>
    <w:p>
      <w:pPr>
        <w:spacing w:after="0" w:line="1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subsidiaries,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 response to such pandemic or crises on our operations as well as those of our customers and on the economy generally and in our market area specifically; (6) political developments such as the U.S. Government shutdown,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spacing w:after="0" w:line="90" w:lineRule="exact"/>
        <w:rPr>
          <w:sz w:val="20"/>
          <w:szCs w:val="20"/>
          <w:color w:val="auto"/>
        </w:rPr>
      </w:pPr>
    </w:p>
    <w:p>
      <w:pPr>
        <w:ind w:right="100" w:firstLine="6"/>
        <w:spacing w:after="0" w:line="258"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any businesses that we may acquire, including our recently completed acquisition of the East Syracuse branch of Berkshire Bank, which may increase our expenses and delay the achievement of any benefits that we may expect from such acquisitions; (11) the impact of reputation risk created by the developments discussed below in Recent Events on such matters as business generation and retention, funding and liquidity could be significant; (12) our ability to prevent or mitigate fraudulent activity and cybersecurity threats; and (13) the outcome of any future regulatory and legal investigations and proceedings may not be anticipated.</w:t>
      </w:r>
    </w:p>
    <w:p>
      <w:pPr>
        <w:spacing w:after="0" w:line="13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Because of these and other uncertainties, our actual future results may be materially different from the results indicated by these forward-looking statements. Except as required by law, we disclaim any obligation to revise or update any forward-looking statements contained in this Quarterly Report on Form 10-Q to reflect future events or developments.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4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ACL represents management's estimate of lifetime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individually evaluated which are on nonaccrual and have been risk rated under the Company’s risk rating system as substandard, doubtful, or loss. In addition, an accruing substandard loan could be identified as being individually evaluated.</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measurement of individually evaluated loans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lifetime incurred loss for each risk-rating category.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September 30, 2025, the Bank’s position in individually evaluated loans consisted of 49 loans totaling $32.1</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 w:name="page50"/>
    <w:bookmarkEnd w:id="49"/>
    <w:p>
      <w:pPr>
        <w:spacing w:after="0" w:line="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million. Of these loans, 13 loans, totaling $847,000, were valued using the present value of future cash flows method; and 36 loans, totaling $31.2 million, were valued based on a collateral analysis. For all other loans, the Company uses the general allocation methodology that establishes an allowance to estimate the lifetime incurred loss for each risk-rating category.</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estimating the ACL on loans, management considers the sensitivity of the model and significant judgments and assumptions that could result in an amount that is materially different from management’s estimate. At September 30, 2025, the Bank held $543.7 million in commercial real estate and commercial &amp; industrial loans (collectively, commercial loans) representing 60.5% of the Bank’s entire loan portfolio. The Bank allocated $12.5 million to the ACL for these loans, including $1.6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$400,000,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September 30, 2025 in the final recorded estimation of the ACL on loans recognized on the Statements of Financial Condition.</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noncontributory defined benefit pension plan covering a portion of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49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0" w:name="page51"/>
    <w:bookmarkEnd w:id="50"/>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2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performs an annual evaluation of our goodwill for possible impairment at each of our reporting units. Management has determined that the carrying value of goodwill was not impaired as of September 30, 2025.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September 29, 2025, the Company announced that its Board of Directors declared a cash dividend of $0.10 per share on the Company's voting common and non-voting common stock, and a cash dividend of $0.10 per notional share for the issued warrant relating to the fiscal quarter ended September 30, 2025. The dividends were payable to all shareholders of record on October 17, 2025 and were paid on November 7, 2025.</w:t>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July 2025, the Company completed the sale of nonperforming and classified loans associated with a local commercial relationship dating back to 2013. The loans, which had an original principal balance of $9.3 million and a June 30, 2025 principal balance of $6.3 million, were reclassified to held-for-sale status in June 2025 and subsequently sold to a financial buyer in July 2025 for $3.2 million. The related fair value impact was reflected in the second quarter of 2025 as a $3.1 million lower of cost or market ("LOCOM") fair value adjustment to loans held-for-sale.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2025 Third Quarter Results</w:t>
      </w:r>
    </w:p>
    <w:p>
      <w:pPr>
        <w:spacing w:after="0" w:line="1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recorded net income of $626,000 for the three months ended September 30, 2025, compared to a net loss of $4.6 million for the three months ended September 30, 2024. Third quarter 2025 results included a $3.5 million provision for credit losses due to $670,000 of net charge offs during the period. Third quarter 2024 results included a $9.0 million provision for credit losses due to $8.7 million of net charge offs resulting from a comprehensive loan portfolio review and $1.6 million in one-time transaction-related expenses for the July 2024 East Syracuse branch acquisition.</w:t>
      </w:r>
    </w:p>
    <w:p>
      <w:pPr>
        <w:spacing w:after="0" w:line="1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interest income before the provision for credit losses decreased $132,000, or 1.1%, to $11.6 million for the three months ended September 30, 2025, as compared to the same three month period in 2024. This decrease was predominately the result of a decrease in interest and dividend income of $1.5 million, partially offset by a decrease in interest expense of $1.3 million.</w:t>
      </w:r>
    </w:p>
    <w:p>
      <w:pPr>
        <w:spacing w:after="0" w:line="128"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Interest and dividend income declined $1.5 million to $19.7 million for the third quarter of 2025, primarily driven by a decline of $626,000 in interest income on loans as a result of a decrease of 22 basis points in the average yield on loans and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50</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1" w:name="page52"/>
    <w:bookmarkEnd w:id="51"/>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lower average balances for loans. In addition, interest and dividend income included benefits of $200,000 in the third quarter of 2025 from loan prepayment penalty income and $887,000 in the third quarter of 2024 from a catch-up interest payment associated with purchased loan pool positions. Interest income on total investment securities decreased $476,000 as a result of the lower average yield in portfolio assets. Interest income on Fed funds sold and interest-earning deposits declined $361,000 due to decreases in both average balances and average yields as a result of the decrease in the federal funds rate.</w:t>
      </w:r>
    </w:p>
    <w:p>
      <w:pPr>
        <w:spacing w:after="0" w:line="13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of $1.3 million to $8.1 million for the third quarter of 2025, compared to the prior year quarter, was primarily attributed to average cost decreases of 40 basis points for interest-bearing deposits, 18 basis points for subordinated debt, and 61 basis points for borrowings coupled with average balance decreases for time deposits and borrowings. The corresponding decreases in interest-bearing deposits and borrowings expense for the current quarter as compared to the year-ago period were $676,000 and $645,000 respectively. These reductions reflect continued changes in the Bank’s funding mix, including growing core deposits, as well as deliberate deposit pricing adjustments and significant reductions in borrowings.</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interest margin was 3.34%, including 7 basis points attributed to prepayment penalty income in the third quarter of 2025, and 3.34% including 25 basis points from the catch-up interest payment in the third quarter of 2024. Excluding prepayment penalty and catch-up interest payment income, net interest margin reflected lower average deposit and borrowing costs that more than offset lower average yields on interest earning assets in the third quarter of 2025, compared to the same period one year ago.</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provision for credit losses was $3.5 million in the third quarter of 2025 compared to $9.0 million in the third quarter of 2024. The provision for credit losses for the third quarter of 2025 was due to an increase in credit loss reserves primarily associated with two local commercial relationships that moved to nonperforming status, in addition to $670,000 of net charge offs during the period. Net charge offs during the recent quarter represent 0.30% of average loans on an annualized basis, compared to $8.7 million in charge offs, or 3.82% of average loans on an annualized basis in the third quarter of 2024. See the “Provision for Credit Losses” and “Loan and Asset Quality and Allowance for Credit Losses” sections of this Management’s Discussion and Analysis for further discussion.</w:t>
      </w:r>
    </w:p>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Noninterest income totaled $1.5 million in the third quarter of 2025, compared to $1.7 million during the same period in 2024. Third quarter 2024 noninterest income included $367,000 in insurance revenue from the insurance agency business sold in October 2024.</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Compared to the third quarter of 2024, noninterest income decreased by $204,000 in the third quarter of 2025. The decline reflects the impact of new BOLI policy purchases made during the current year and differences in net death benefits recorded in the third quarter of 2025 and the year-ago period of $32,000 and $175,000, respectively. In addition, third quarter 2025 noninterest income, compared to the year-ago period, included a $12,000 increase in service charges on deposit accounts and a decrease of $83,000 in debit card interchange fees. Compared to the year-ago period, third quarter 2025 noninterest income also reflected increases of $83,000 in net unrealized gains on marketable equity securities, $34,000 in loan servicing fees, and $31,000 in gains on sales of loans and foreclosed real estate, as well as a decrease of $176,000 in net realized losses on sales and redemptions of investment securities.</w:t>
      </w:r>
    </w:p>
    <w:p>
      <w:pPr>
        <w:spacing w:after="0" w:line="1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Noninterest expense totaled $8.9 million in the third quarter of 2025, decreasing from $10.3 million in the year-ago period. The decrease from the third quarter of 2024 was primarily due to $1.6 million in one-time transaction-related expenses for last year’s East Syracuse branch acquisition, in addition to $308,000 in costs associated with the insurance agency business sold in October 2024.</w:t>
      </w:r>
    </w:p>
    <w:p>
      <w:pPr>
        <w:spacing w:after="0" w:line="1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Salaries and benefits were $5.0 million in the third quarter of 2025, increasing $46,000 from the third quarter of 2024. The increase from the year-ago period was primarily due to an increase in medical claims expected to be reimbursed by stop loss insurance.</w:t>
      </w:r>
    </w:p>
    <w:p>
      <w:pPr>
        <w:spacing w:after="0" w:line="1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Building and occupancy was $1.4 million in the third quarter of 2025, increasing $265,000 from the year-ago quarter. The increase from the third quarter of 2024 was primarily due to a $121,000 increase in building maintenance during the current quarter. Additionally, higher costs related to building and land leases, property taxes, and utilities of $54,000, $46,000, and $27,000, respectively, were primarily due to timing of ongoing facilities-related costs associated with operating the East Syracuse branch acquired in the third quarter of 2024.</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51</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2" w:name="page53"/>
    <w:bookmarkEnd w:id="52"/>
    <w:p>
      <w:pPr>
        <w:spacing w:after="0" w:line="9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Data processing expense was $641,000 in the third quarter of 2025, decreasing $31,000 from the year-ago period. The decrease from the third quarter of 2024 was driven by decreases of $78,000 in data processing supplies and $24,000 in ATM processing costs. These decreases were partially offset by third quarter year-over-year increases in recurring data processing costs amounting to $71,000, primarily due to software upgrades completed as part of the Company’s ongoing technology modernization initiatives.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third quarter of 2025, annualized noninterest expense represented 2.40% of average assets in the third quarter of 2025, compared to 2.75% in the year-ago period. The efficiency ratio was 68.78%, for the third quarter of 2025, compared to 75.78% in the year-ago period. For the nine months ended September 30, 2025, annualized noninterest expense represented 2.30% of average assets in the first nine months of 2025, compared to 2.39% in the year-ago period. The efficiency ratio was 67.24%, for the nine months ended September 30, 2025, compared to 73.01% in the year-ago period. The efficiency ratio, which is not a financial metric under GAAP, is a measure that the Company believes is helpful to understanding its level of non-interest expense as a percentage of total revenue.</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52</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13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tables set forth information concerning average interest-earning assets and interest-bearing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color w:val="auto"/>
              </w:rPr>
              <w:t>For the three months ended September 30,</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Average</w:t>
            </w:r>
          </w:p>
        </w:tc>
        <w:tc>
          <w:tcPr>
            <w:tcW w:w="26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2025</w:t>
            </w:r>
          </w:p>
        </w:tc>
        <w:tc>
          <w:tcPr>
            <w:tcW w:w="1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Average Yield /</w:t>
            </w:r>
          </w:p>
        </w:tc>
        <w:tc>
          <w:tcPr>
            <w:tcW w:w="2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Average</w:t>
            </w:r>
          </w:p>
        </w:tc>
        <w:tc>
          <w:tcPr>
            <w:tcW w:w="26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Balance</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Cost</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Balance</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Interest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182"/>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7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906,759</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13,799</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6.09%</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914,467</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14,425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431,227</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5,351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415,751</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5,813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33,980</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455</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5.36%</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30,382</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469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 funds sold and interest-earning deposits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16,866</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42,897</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1,388,832</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19,736</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1,403,497</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21,199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Noninterest-earning assets: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114,837</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103,856</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7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(15,595)</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(16,537)</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unrealized losses</w:t>
            </w:r>
          </w:p>
        </w:tc>
        <w:tc>
          <w:tcPr>
            <w:tcW w:w="7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on available-for-sale securities</w:t>
            </w: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(9,949)</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(9,161)</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1,478,125</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1,481,655</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7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 accounts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120,696</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308</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102,868</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10,105</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0.12%</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11,828</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MMDA accounts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276,599</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2,210</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227,247</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2,009</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127,696</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83</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0.26%</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127,262</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490,735</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4,353</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514,050</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5,260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7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30,225</w:t>
            </w: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486</w:t>
            </w:r>
          </w:p>
        </w:tc>
        <w:tc>
          <w:tcPr>
            <w:tcW w:w="13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6.43%</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30,025</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496</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73,556</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693</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122,129</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1,129,612</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8,136</w:t>
            </w: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1,135,409</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9,467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Noninterest-bearing liabilities: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Demand deposits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192,982</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195,765</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29,320</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24,855</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1,351,914</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1,356,029</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7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126,211</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125,626</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liabilities &amp; shareholders' equity</w:t>
            </w:r>
          </w:p>
        </w:tc>
        <w:tc>
          <w:tcPr>
            <w:tcW w:w="7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1,478,125</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1,481,655</w:t>
            </w: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line="144" w:lineRule="exact"/>
              <w:rPr>
                <w:sz w:val="20"/>
                <w:szCs w:val="20"/>
                <w:color w:val="auto"/>
              </w:rPr>
            </w:pPr>
            <w:r>
              <w:rPr>
                <w:rFonts w:ascii="Times New Roman" w:cs="Times New Roman" w:eastAsia="Times New Roman" w:hAnsi="Times New Roman"/>
                <w:sz w:val="14"/>
                <w:szCs w:val="14"/>
                <w:color w:val="auto"/>
              </w:rPr>
              <w:t>11,600</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rPr>
              <w:t>11,732</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rate spread</w:t>
            </w:r>
          </w:p>
        </w:tc>
        <w:tc>
          <w:tcPr>
            <w:tcW w:w="7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margin</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Ratio of average interest-earning assets</w:t>
            </w:r>
          </w:p>
        </w:tc>
        <w:tc>
          <w:tcPr>
            <w:tcW w:w="7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 average interest-bearing liabilities</w:t>
            </w: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122.95%</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123.61%</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08"/>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53</w:t>
            </w:r>
            <w:r>
              <w:rPr>
                <w:rFonts w:ascii="Times New Roman" w:cs="Times New Roman" w:eastAsia="Times New Roman" w:hAnsi="Times New Roman"/>
                <w:sz w:val="16"/>
                <w:szCs w:val="16"/>
                <w:color w:val="auto"/>
              </w:rPr>
              <w:t xml:space="preserve"> -</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30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For the nine months ended September 30,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6"/>
                <w:szCs w:val="16"/>
                <w:color w:val="auto"/>
              </w:rPr>
            </w:pPr>
          </w:p>
        </w:tc>
        <w:tc>
          <w:tcPr>
            <w:tcW w:w="9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99"/>
              </w:rPr>
              <w:t>2025</w:t>
            </w:r>
          </w:p>
        </w:tc>
        <w:tc>
          <w:tcPr>
            <w:tcW w:w="10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Yield /</w:t>
            </w:r>
          </w:p>
        </w:tc>
        <w:tc>
          <w:tcPr>
            <w:tcW w:w="220" w:type="dxa"/>
            <w:vAlign w:val="bottom"/>
          </w:tcPr>
          <w:p>
            <w:pPr>
              <w:spacing w:after="0"/>
              <w:rPr>
                <w:sz w:val="16"/>
                <w:szCs w:val="16"/>
                <w:color w:val="auto"/>
              </w:rPr>
            </w:pP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Average</w:t>
            </w:r>
          </w:p>
        </w:tc>
        <w:tc>
          <w:tcPr>
            <w:tcW w:w="180" w:type="dxa"/>
            <w:vAlign w:val="bottom"/>
          </w:tcPr>
          <w:p>
            <w:pPr>
              <w:spacing w:after="0"/>
              <w:rPr>
                <w:sz w:val="16"/>
                <w:szCs w:val="16"/>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Yield /</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5"/>
                <w:szCs w:val="15"/>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Balance</w:t>
            </w:r>
          </w:p>
        </w:tc>
        <w:tc>
          <w:tcPr>
            <w:tcW w:w="180" w:type="dxa"/>
            <w:vAlign w:val="bottom"/>
          </w:tcPr>
          <w:p>
            <w:pPr>
              <w:spacing w:after="0"/>
              <w:rPr>
                <w:sz w:val="15"/>
                <w:szCs w:val="15"/>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Interest</w:t>
            </w: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911,419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40,577</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898,361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39,182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427,656</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16,172</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427,311</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17,463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34,254</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1,322</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29,499</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1,475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Fed funds sold and interest-earning deposits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13,306</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288</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20,161</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711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1,386,635</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58,359</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1,375,332</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58,831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Noninterest-earning assets: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116,001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99,200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(16,777)</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(16,511)</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unrealized losses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 available-for-sale securities</w:t>
            </w:r>
          </w:p>
        </w:tc>
        <w:tc>
          <w:tcPr>
            <w:tcW w:w="76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(10,245)</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(10,184)</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1,475,614</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1,447,837</w:t>
            </w: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NOW accounts</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115,494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962</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100,922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806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10,435</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11,782</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MMDA accounts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277,306</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6,595</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217,580</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5,944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129,059</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246</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115,875</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225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493,033</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13,408</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521,832</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15,685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30,174</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1,444</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29,978</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1,476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68,656</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1,870</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129,943</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4,073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1,124,157</w:t>
            </w:r>
          </w:p>
        </w:tc>
        <w:tc>
          <w:tcPr>
            <w:tcW w:w="2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24,534</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1,127,912</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28,219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Noninterest-bearing liabilities: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 deposits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197,053</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177,202</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29,436</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19,382</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7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1,350,646</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1,324,496</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124,968</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123,341</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liabilities &amp; shareholders' equity</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1,475,614</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1,447,837</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168"/>
              <w:spacing w:after="0" w:line="144" w:lineRule="exact"/>
              <w:rPr>
                <w:sz w:val="20"/>
                <w:szCs w:val="20"/>
                <w:color w:val="auto"/>
              </w:rPr>
            </w:pPr>
            <w:r>
              <w:rPr>
                <w:rFonts w:ascii="Times New Roman" w:cs="Times New Roman" w:eastAsia="Times New Roman" w:hAnsi="Times New Roman"/>
                <w:sz w:val="14"/>
                <w:szCs w:val="14"/>
                <w:color w:val="auto"/>
              </w:rPr>
              <w:t>33,825</w:t>
            </w: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188"/>
              <w:spacing w:after="0" w:line="144" w:lineRule="exact"/>
              <w:rPr>
                <w:sz w:val="20"/>
                <w:szCs w:val="20"/>
                <w:color w:val="auto"/>
              </w:rPr>
            </w:pPr>
            <w:r>
              <w:rPr>
                <w:rFonts w:ascii="Times New Roman" w:cs="Times New Roman" w:eastAsia="Times New Roman" w:hAnsi="Times New Roman"/>
                <w:sz w:val="14"/>
                <w:szCs w:val="14"/>
                <w:color w:val="auto"/>
              </w:rPr>
              <w:t>30,612</w:t>
            </w: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rate spread</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margin</w:t>
            </w:r>
          </w:p>
        </w:tc>
        <w:tc>
          <w:tcPr>
            <w:tcW w:w="7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Ratio of average interest-earning assets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 average interest-bearing liabilities</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123.35%</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 quarter 2025 net interest income was $11.6 million, a decrease of 1.1% from the third quarter of 2024. This decrease was the result of a $1.5 million, or 6.9% decrease in interest and dividend income, partially offset by a decrease of $1.3 million, or 14.1%, in total interest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and dividend income of $1.5 million for the third quarter of 2025, compared to the prior year quarter, was the result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$626,000 in interest income for loans, driven by lower average balances of loans and a decrease of 22 basis points for loans.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interest and dividend income included benefits of $200,000 in the third quarter of 2025 from loan prepayment penalty income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$887,000 in third quarter of 2024 from a catch-up interest payment associated with purchased loan pool positions. The decrease in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 income was also driven by a decrease of $476,000 in total investments securities, as a result of the decline in average yield of such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decreases of $361,000 in fed funds sold and interest-earning deposits, driven by lower average balances and lower average yields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 in the fed funds rate.</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of $1.3 million for the third quarter of 2025, compared to the prior year quarter, was primarily attributed to average cost decreases of 40 basis points for interest-bearing deposits, 18 basis points for subordinated debt, and 61 basis points for borrowings coupled with average balance decreases for time deposits and borrowings. The corresponding decreases in interest-bearing deposits and borrowings expense for the current quarter as compared to the year-ago period were $676,000 and $645,000 respectively. These reductions reflect continued changes in the Bank’s funding mix, including growing core deposits, as well as deliberate deposit pricing adjustments and significant reductions in borrowings.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54</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5" w:name="page56"/>
    <w:bookmarkEnd w:id="55"/>
    <w:p>
      <w:pPr>
        <w:spacing w:after="0" w:line="9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interest margin was 3.34%, including 7 basis points attributed to prepayment penalty income in the third quarter of 2025, and 3.34%, including 25 basis points from the catch-up interest payment in the third quarter of 2024. Excluding prepayment penalty and catch-up interest payment income, net interest margin reflected lower average deposit and borrowing costs that more than offset lower average yields on interest earning assets in the third quarter of 2025, compared to the same period one year ago.</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interest income increased $3.2 million, or 10.5%, to $33.8 million compared to the same nine month period in 2024. The change from the prior nine month period was due to a decrease in interest expense of $3.7 million, partially offset by a decrease in interest and dividend income of $472,000.</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of $3.7 million for the nine months ended September 30, 2025, compared to the same nine month prior year period, was primarily attributed to average cost decreases of 36 basis points for interest-bearing deposits, 18 basis points for subordinated debt, and 55 basis points for borrowings coupled with average balance decreases for time deposits and borrowings. The corresponding decreases in interest-bearing deposits and borrowings expense for the current period as compared to the year-ago period were $1.5 million and $2.2 million respectively. These reductions reflect continued changes in the Bank’s funding mix, including growing core deposits, as well as deliberate deposit pricing adjustments and significant reductions in borrowings.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decrease in interest and dividend income of $472,000 for the first nine months of 2025, compared to the prior year period, was primarily due to decreases in income from taxable investment securities, tax-exempt investment securities, and fed funds sold and interest-earning deposits of $1.3 million, $153,000, and $423,000, respectively, primarily as a result of the decrease in the average yield of such assets. These decreases were partially offset by a 12 basis points increase in the average yield on loans and a $13.1 million increase in the average balance of loans, resulting in a $1.4 million increase in interest income on loans. In addition, interest and dividend income included benefits of $607,000 in the first nine months of 2025 from 2024 interest recovered from loans removed from nonaccrual status and loan and investment prepayment penalty income and $887,000 in the first nine months of 2024 from the third quarter catch-up interest payment associated with purchased loan pool positions.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interest margin was 3.25%, including 6 basis points attributed to interest recovery and prepayment penalty income for the first nine months of 2025, and 2.97%, including 9 basis points from the catch-up interest payment for the same period of 2024. The increase reflected lower average deposit and borrowing costs and higher average loan yields in the nine months ended September 30, 2025 as compared to the same prior year period.</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55</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6" w:name="page57"/>
    <w:bookmarkEnd w:id="5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20" w:type="dxa"/>
            <w:vAlign w:val="bottom"/>
            <w:gridSpan w:val="5"/>
          </w:tcPr>
          <w:p>
            <w:pPr>
              <w:jc w:val="center"/>
              <w:ind w:right="322"/>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w:t>
            </w:r>
          </w:p>
        </w:tc>
        <w:tc>
          <w:tcPr>
            <w:tcW w:w="340" w:type="dxa"/>
            <w:vAlign w:val="bottom"/>
          </w:tcPr>
          <w:p>
            <w:pPr>
              <w:spacing w:after="0"/>
              <w:rPr>
                <w:sz w:val="16"/>
                <w:szCs w:val="16"/>
                <w:color w:val="auto"/>
              </w:rPr>
            </w:pPr>
          </w:p>
        </w:tc>
        <w:tc>
          <w:tcPr>
            <w:tcW w:w="2900" w:type="dxa"/>
            <w:vAlign w:val="bottom"/>
            <w:gridSpan w:val="5"/>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2025 vs. 2024</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gridSpan w:val="2"/>
          </w:tcPr>
          <w:p>
            <w:pPr>
              <w:jc w:val="center"/>
              <w:ind w:right="102"/>
              <w:spacing w:after="0" w:line="180" w:lineRule="exact"/>
              <w:rPr>
                <w:sz w:val="20"/>
                <w:szCs w:val="20"/>
                <w:color w:val="auto"/>
              </w:rPr>
            </w:pPr>
            <w:r>
              <w:rPr>
                <w:rFonts w:ascii="Times New Roman" w:cs="Times New Roman" w:eastAsia="Times New Roman" w:hAnsi="Times New Roman"/>
                <w:sz w:val="16"/>
                <w:szCs w:val="16"/>
                <w:b w:val="1"/>
                <w:bCs w:val="1"/>
                <w:color w:val="auto"/>
                <w:w w:val="95"/>
              </w:rPr>
              <w:t>2025 vs. 2024</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60" w:type="dxa"/>
            <w:vAlign w:val="bottom"/>
            <w:gridSpan w:val="4"/>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w w:val="98"/>
              </w:rPr>
              <w:t>Increase/(Decrease) Due to</w:t>
            </w:r>
          </w:p>
        </w:tc>
        <w:tc>
          <w:tcPr>
            <w:tcW w:w="86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7"/>
                <w:szCs w:val="17"/>
                <w:color w:val="auto"/>
              </w:rPr>
            </w:pPr>
          </w:p>
        </w:tc>
        <w:tc>
          <w:tcPr>
            <w:tcW w:w="2220" w:type="dxa"/>
            <w:vAlign w:val="bottom"/>
            <w:gridSpan w:val="4"/>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7"/>
              </w:rPr>
              <w:t>Increase/(Decrease) Due to</w:t>
            </w:r>
          </w:p>
        </w:tc>
        <w:tc>
          <w:tcPr>
            <w:tcW w:w="6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500" w:type="dxa"/>
            <w:vAlign w:val="bottom"/>
          </w:tcPr>
          <w:p>
            <w:pPr>
              <w:spacing w:after="0"/>
              <w:rPr>
                <w:sz w:val="16"/>
                <w:szCs w:val="16"/>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Rate</w:t>
            </w:r>
          </w:p>
        </w:tc>
        <w:tc>
          <w:tcPr>
            <w:tcW w:w="30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4"/>
              </w:rPr>
              <w:t>(Decrease)</w:t>
            </w:r>
          </w:p>
        </w:tc>
        <w:tc>
          <w:tcPr>
            <w:tcW w:w="340" w:type="dxa"/>
            <w:vAlign w:val="bottom"/>
          </w:tcPr>
          <w:p>
            <w:pPr>
              <w:spacing w:after="0"/>
              <w:rPr>
                <w:sz w:val="16"/>
                <w:szCs w:val="16"/>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8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Rate</w:t>
            </w:r>
          </w:p>
        </w:tc>
        <w:tc>
          <w:tcPr>
            <w:tcW w:w="9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Loans</w:t>
            </w:r>
          </w:p>
        </w:tc>
        <w:tc>
          <w:tcPr>
            <w:tcW w:w="11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5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(505)</w:t>
            </w:r>
          </w:p>
        </w:tc>
        <w:tc>
          <w:tcPr>
            <w:tcW w:w="3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(626)</w:t>
            </w:r>
          </w:p>
        </w:tc>
        <w:tc>
          <w:tcPr>
            <w:tcW w:w="3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821</w:t>
            </w:r>
          </w:p>
        </w:tc>
        <w:tc>
          <w:tcPr>
            <w:tcW w:w="2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Taxable investment securities</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(672)</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(1,305)</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Tax-exempt investment securities</w:t>
            </w:r>
          </w:p>
        </w:tc>
        <w:tc>
          <w:tcPr>
            <w:tcW w:w="114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4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215</w:t>
            </w:r>
          </w:p>
        </w:tc>
        <w:tc>
          <w:tcPr>
            <w:tcW w:w="3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(368)</w:t>
            </w:r>
          </w:p>
        </w:tc>
        <w:tc>
          <w:tcPr>
            <w:tcW w:w="2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Interest-earning deposits</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(361)</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180"/>
        </w:trPr>
        <w:tc>
          <w:tcPr>
            <w:tcW w:w="30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interest income</w:t>
            </w:r>
          </w:p>
        </w:tc>
        <w:tc>
          <w:tcPr>
            <w:tcW w:w="1140" w:type="dxa"/>
            <w:vAlign w:val="bottom"/>
          </w:tcPr>
          <w:p>
            <w:pPr>
              <w:spacing w:after="0"/>
              <w:rPr>
                <w:sz w:val="15"/>
                <w:szCs w:val="15"/>
                <w:color w:val="auto"/>
              </w:rPr>
            </w:pPr>
          </w:p>
        </w:tc>
        <w:tc>
          <w:tcPr>
            <w:tcW w:w="8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(1,368)</w:t>
            </w:r>
          </w:p>
        </w:tc>
        <w:tc>
          <w:tcPr>
            <w:tcW w:w="30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(1,463)</w:t>
            </w:r>
          </w:p>
        </w:tc>
        <w:tc>
          <w:tcPr>
            <w:tcW w:w="34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3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(1,077)</w:t>
            </w:r>
          </w:p>
        </w:tc>
        <w:tc>
          <w:tcPr>
            <w:tcW w:w="2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NOW accounts</w:t>
            </w:r>
          </w:p>
        </w:tc>
        <w:tc>
          <w:tcPr>
            <w:tcW w:w="1140" w:type="dxa"/>
            <w:vAlign w:val="bottom"/>
          </w:tcPr>
          <w:p>
            <w:pPr>
              <w:spacing w:after="0"/>
              <w:rPr>
                <w:sz w:val="15"/>
                <w:szCs w:val="15"/>
                <w:color w:val="auto"/>
              </w:rPr>
            </w:pPr>
          </w:p>
        </w:tc>
        <w:tc>
          <w:tcPr>
            <w:tcW w:w="8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4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380" w:type="dxa"/>
            <w:vAlign w:val="bottom"/>
          </w:tcPr>
          <w:p>
            <w:pPr>
              <w:spacing w:after="0"/>
              <w:rPr>
                <w:sz w:val="15"/>
                <w:szCs w:val="15"/>
                <w:color w:val="auto"/>
              </w:rPr>
            </w:pPr>
          </w:p>
        </w:tc>
        <w:tc>
          <w:tcPr>
            <w:tcW w:w="7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8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Money management accounts</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MMDA accounts</w:t>
            </w:r>
          </w:p>
        </w:tc>
        <w:tc>
          <w:tcPr>
            <w:tcW w:w="1140" w:type="dxa"/>
            <w:vAlign w:val="bottom"/>
          </w:tcPr>
          <w:p>
            <w:pPr>
              <w:spacing w:after="0"/>
              <w:rPr>
                <w:sz w:val="15"/>
                <w:szCs w:val="15"/>
                <w:color w:val="auto"/>
              </w:rPr>
            </w:pPr>
          </w:p>
        </w:tc>
        <w:tc>
          <w:tcPr>
            <w:tcW w:w="82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300" w:type="dxa"/>
            <w:vAlign w:val="bottom"/>
          </w:tcPr>
          <w:p>
            <w:pPr>
              <w:spacing w:after="0"/>
              <w:rPr>
                <w:sz w:val="15"/>
                <w:szCs w:val="15"/>
                <w:color w:val="auto"/>
              </w:rPr>
            </w:pPr>
          </w:p>
        </w:tc>
        <w:tc>
          <w:tcPr>
            <w:tcW w:w="8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34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1,488</w:t>
            </w:r>
          </w:p>
        </w:tc>
        <w:tc>
          <w:tcPr>
            <w:tcW w:w="3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(837)</w:t>
            </w:r>
          </w:p>
        </w:tc>
        <w:tc>
          <w:tcPr>
            <w:tcW w:w="280" w:type="dxa"/>
            <w:vAlign w:val="bottom"/>
          </w:tcPr>
          <w:p>
            <w:pPr>
              <w:spacing w:after="0"/>
              <w:rPr>
                <w:sz w:val="15"/>
                <w:szCs w:val="15"/>
                <w:color w:val="auto"/>
              </w:rPr>
            </w:pPr>
          </w:p>
        </w:tc>
        <w:tc>
          <w:tcPr>
            <w:tcW w:w="6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Savings and club accounts</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1140" w:type="dxa"/>
            <w:vAlign w:val="bottom"/>
          </w:tcPr>
          <w:p>
            <w:pPr>
              <w:spacing w:after="0"/>
              <w:rPr>
                <w:sz w:val="15"/>
                <w:szCs w:val="15"/>
                <w:color w:val="auto"/>
              </w:rPr>
            </w:pPr>
          </w:p>
        </w:tc>
        <w:tc>
          <w:tcPr>
            <w:tcW w:w="8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30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(907)</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(835)</w:t>
            </w:r>
          </w:p>
        </w:tc>
        <w:tc>
          <w:tcPr>
            <w:tcW w:w="3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(1,442)</w:t>
            </w:r>
          </w:p>
        </w:tc>
        <w:tc>
          <w:tcPr>
            <w:tcW w:w="2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Subordinated debt</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30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1140" w:type="dxa"/>
            <w:vAlign w:val="bottom"/>
          </w:tcPr>
          <w:p>
            <w:pPr>
              <w:spacing w:after="0"/>
              <w:rPr>
                <w:sz w:val="15"/>
                <w:szCs w:val="15"/>
                <w:color w:val="auto"/>
              </w:rPr>
            </w:pPr>
          </w:p>
        </w:tc>
        <w:tc>
          <w:tcPr>
            <w:tcW w:w="8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(477)</w:t>
            </w:r>
          </w:p>
        </w:tc>
        <w:tc>
          <w:tcPr>
            <w:tcW w:w="500" w:type="dxa"/>
            <w:vAlign w:val="bottom"/>
          </w:tcPr>
          <w:p>
            <w:pPr>
              <w:spacing w:after="0"/>
              <w:rPr>
                <w:sz w:val="15"/>
                <w:szCs w:val="15"/>
                <w:color w:val="auto"/>
              </w:rPr>
            </w:pPr>
          </w:p>
        </w:tc>
        <w:tc>
          <w:tcPr>
            <w:tcW w:w="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300" w:type="dxa"/>
            <w:vAlign w:val="bottom"/>
          </w:tcPr>
          <w:p>
            <w:pPr>
              <w:spacing w:after="0"/>
              <w:rPr>
                <w:sz w:val="15"/>
                <w:szCs w:val="15"/>
                <w:color w:val="auto"/>
              </w:rPr>
            </w:pPr>
          </w:p>
        </w:tc>
        <w:tc>
          <w:tcPr>
            <w:tcW w:w="8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3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(1,724)</w:t>
            </w:r>
          </w:p>
        </w:tc>
        <w:tc>
          <w:tcPr>
            <w:tcW w:w="380" w:type="dxa"/>
            <w:vAlign w:val="bottom"/>
          </w:tcPr>
          <w:p>
            <w:pPr>
              <w:spacing w:after="0"/>
              <w:rPr>
                <w:sz w:val="15"/>
                <w:szCs w:val="15"/>
                <w:color w:val="auto"/>
              </w:rPr>
            </w:pPr>
          </w:p>
        </w:tc>
        <w:tc>
          <w:tcPr>
            <w:tcW w:w="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(479)</w:t>
            </w:r>
          </w:p>
        </w:tc>
        <w:tc>
          <w:tcPr>
            <w:tcW w:w="2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interest expense</w:t>
            </w:r>
          </w:p>
        </w:tc>
        <w:tc>
          <w:tcPr>
            <w:tcW w:w="1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(1,080)</w:t>
            </w: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(1,331)</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(917)</w:t>
            </w:r>
          </w:p>
        </w:tc>
        <w:tc>
          <w:tcPr>
            <w:tcW w:w="3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(2,768)</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(3,685)</w:t>
            </w:r>
          </w:p>
        </w:tc>
        <w:tc>
          <w:tcPr>
            <w:tcW w:w="0" w:type="dxa"/>
            <w:vAlign w:val="bottom"/>
          </w:tcPr>
          <w:p>
            <w:pPr>
              <w:spacing w:after="0"/>
              <w:rPr>
                <w:sz w:val="1"/>
                <w:szCs w:val="1"/>
                <w:color w:val="auto"/>
              </w:rPr>
            </w:pPr>
          </w:p>
        </w:tc>
      </w:tr>
      <w:tr>
        <w:trPr>
          <w:trHeight w:val="180"/>
        </w:trPr>
        <w:tc>
          <w:tcPr>
            <w:tcW w:w="30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Net change in net interest income</w:t>
            </w:r>
          </w:p>
        </w:tc>
        <w:tc>
          <w:tcPr>
            <w:tcW w:w="11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50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30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340" w:type="dxa"/>
            <w:vAlign w:val="bottom"/>
            <w:tcBorders>
              <w:bottom w:val="single" w:sz="8" w:color="auto"/>
            </w:tcBorders>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1,522</w:t>
            </w:r>
          </w:p>
        </w:tc>
        <w:tc>
          <w:tcPr>
            <w:tcW w:w="380" w:type="dxa"/>
            <w:vAlign w:val="bottom"/>
            <w:tcBorders>
              <w:bottom w:val="single" w:sz="8" w:color="auto"/>
            </w:tcBorders>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1,691</w:t>
            </w:r>
          </w:p>
        </w:tc>
        <w:tc>
          <w:tcPr>
            <w:tcW w:w="2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56</w:t>
            </w:r>
            <w:r>
              <w:rPr>
                <w:rFonts w:ascii="Times New Roman" w:cs="Times New Roman" w:eastAsia="Times New Roman" w:hAnsi="Times New Roman"/>
                <w:sz w:val="16"/>
                <w:szCs w:val="16"/>
                <w:color w:val="auto"/>
              </w:rPr>
              <w:t xml:space="preserve"> -</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06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deposit base is drawn from eleven full-service branches and one motor bank in its market area. The deposit base consists of demand deposits, money management and money market deposit accounts, savings, and time deposits. Total deposits increased by $20.6 million, or 1.7% from December 31, 2024. The increase in deposits during the nine months ended September 30, 2025, reflected the Bank’s increased market penetration among both non-business and business customers.</w:t>
      </w:r>
    </w:p>
    <w:p>
      <w:pPr>
        <w:spacing w:after="0" w:line="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September 30, 2025, 78.4% of the Company's deposit base of $1.23 billion consisted of core deposits. Core deposits, which exclude brokered deposits and certificates of deposit of $250,000 or more, are considered to be more stable and generally provide the Company with a lower cost of funds than time deposits of $250,000 or more.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deposits by category at September 30, 2025 and December 31, 2024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620" w:type="dxa"/>
            <w:vAlign w:val="bottom"/>
          </w:tcPr>
          <w:p>
            <w:pPr>
              <w:spacing w:after="0"/>
              <w:rPr>
                <w:sz w:val="16"/>
                <w:szCs w:val="16"/>
                <w:color w:val="auto"/>
              </w:rPr>
            </w:pPr>
          </w:p>
        </w:tc>
        <w:tc>
          <w:tcPr>
            <w:tcW w:w="1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September 30, 2025</w:t>
            </w:r>
          </w:p>
        </w:tc>
        <w:tc>
          <w:tcPr>
            <w:tcW w:w="280" w:type="dxa"/>
            <w:vAlign w:val="bottom"/>
          </w:tcPr>
          <w:p>
            <w:pPr>
              <w:spacing w:after="0"/>
              <w:rPr>
                <w:sz w:val="16"/>
                <w:szCs w:val="16"/>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Savings accounts</w:t>
            </w:r>
          </w:p>
        </w:tc>
        <w:tc>
          <w:tcPr>
            <w:tcW w:w="26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123,958</w:t>
            </w:r>
          </w:p>
        </w:tc>
        <w:tc>
          <w:tcPr>
            <w:tcW w:w="2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128,753</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Time accounts</w:t>
            </w:r>
          </w:p>
        </w:tc>
        <w:tc>
          <w:tcPr>
            <w:tcW w:w="2620" w:type="dxa"/>
            <w:vAlign w:val="bottom"/>
          </w:tcPr>
          <w:p>
            <w:pPr>
              <w:spacing w:after="0"/>
              <w:rPr>
                <w:sz w:val="15"/>
                <w:szCs w:val="15"/>
                <w:color w:val="auto"/>
              </w:rPr>
            </w:pPr>
          </w:p>
        </w:tc>
        <w:tc>
          <w:tcPr>
            <w:tcW w:w="1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333,211</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360,716</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Time accounts in excess of $250,000</w:t>
            </w:r>
          </w:p>
        </w:tc>
        <w:tc>
          <w:tcPr>
            <w:tcW w:w="26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143,026</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142,473</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Money management accounts</w:t>
            </w:r>
          </w:p>
        </w:tc>
        <w:tc>
          <w:tcPr>
            <w:tcW w:w="2620" w:type="dxa"/>
            <w:vAlign w:val="bottom"/>
          </w:tcPr>
          <w:p>
            <w:pPr>
              <w:spacing w:after="0"/>
              <w:rPr>
                <w:sz w:val="15"/>
                <w:szCs w:val="15"/>
                <w:color w:val="auto"/>
              </w:rPr>
            </w:pPr>
          </w:p>
        </w:tc>
        <w:tc>
          <w:tcPr>
            <w:tcW w:w="1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9,539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11,583</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MMDA accounts</w:t>
            </w:r>
          </w:p>
        </w:tc>
        <w:tc>
          <w:tcPr>
            <w:tcW w:w="26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298,653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239,016</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Demand deposit interest-bearing</w:t>
            </w:r>
          </w:p>
        </w:tc>
        <w:tc>
          <w:tcPr>
            <w:tcW w:w="2620" w:type="dxa"/>
            <w:vAlign w:val="bottom"/>
          </w:tcPr>
          <w:p>
            <w:pPr>
              <w:spacing w:after="0"/>
              <w:rPr>
                <w:sz w:val="15"/>
                <w:szCs w:val="15"/>
                <w:color w:val="auto"/>
              </w:rPr>
            </w:pPr>
          </w:p>
        </w:tc>
        <w:tc>
          <w:tcPr>
            <w:tcW w:w="1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115,274</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101,080</w:t>
            </w:r>
          </w:p>
        </w:tc>
      </w:tr>
      <w:tr>
        <w:trPr>
          <w:trHeight w:val="180"/>
        </w:trPr>
        <w:tc>
          <w:tcPr>
            <w:tcW w:w="4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Demand deposit noninterest-bearing</w:t>
            </w:r>
          </w:p>
        </w:tc>
        <w:tc>
          <w:tcPr>
            <w:tcW w:w="26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196,299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213,719</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Mortgage escrow funds</w:t>
            </w:r>
          </w:p>
        </w:tc>
        <w:tc>
          <w:tcPr>
            <w:tcW w:w="2620" w:type="dxa"/>
            <w:vAlign w:val="bottom"/>
          </w:tcPr>
          <w:p>
            <w:pPr>
              <w:spacing w:after="0"/>
              <w:rPr>
                <w:sz w:val="15"/>
                <w:szCs w:val="15"/>
                <w:color w:val="auto"/>
              </w:rPr>
            </w:pPr>
          </w:p>
        </w:tc>
        <w:tc>
          <w:tcPr>
            <w:tcW w:w="15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5,121</w:t>
            </w:r>
          </w:p>
        </w:tc>
        <w:tc>
          <w:tcPr>
            <w:tcW w:w="28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7,184</w:t>
            </w:r>
          </w:p>
        </w:tc>
      </w:tr>
      <w:tr>
        <w:trPr>
          <w:trHeight w:val="220"/>
        </w:trPr>
        <w:tc>
          <w:tcPr>
            <w:tcW w:w="4740" w:type="dxa"/>
            <w:vAlign w:val="bottom"/>
            <w:tcBorders>
              <w:bottom w:val="single" w:sz="8" w:color="auto"/>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Deposits</w:t>
            </w:r>
          </w:p>
        </w:tc>
        <w:tc>
          <w:tcPr>
            <w:tcW w:w="26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1,225,081</w:t>
            </w:r>
          </w:p>
        </w:tc>
        <w:tc>
          <w:tcPr>
            <w:tcW w:w="28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1,204,524</w:t>
            </w:r>
          </w:p>
        </w:tc>
      </w:tr>
    </w:tbl>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nonbrokered and brokered deposit activities at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September 30, 2025</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December 31, 2024</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Nonbrokered</w:t>
            </w:r>
          </w:p>
        </w:tc>
        <w:tc>
          <w:tcPr>
            <w:tcW w:w="4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Brokered</w:t>
            </w:r>
          </w:p>
        </w:tc>
        <w:tc>
          <w:tcPr>
            <w:tcW w:w="3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Nonbrokered</w:t>
            </w:r>
          </w:p>
        </w:tc>
        <w:tc>
          <w:tcPr>
            <w:tcW w:w="4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Brokered</w:t>
            </w:r>
          </w:p>
        </w:tc>
        <w:tc>
          <w:tcPr>
            <w:tcW w:w="40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5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123,958</w:t>
            </w:r>
          </w:p>
        </w:tc>
        <w:tc>
          <w:tcPr>
            <w:tcW w:w="4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123,958</w:t>
            </w:r>
          </w:p>
        </w:tc>
        <w:tc>
          <w:tcPr>
            <w:tcW w:w="4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128,753</w:t>
            </w:r>
          </w:p>
        </w:tc>
        <w:tc>
          <w:tcPr>
            <w:tcW w:w="4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128,753</w:t>
            </w: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216,273</w:t>
            </w:r>
          </w:p>
        </w:tc>
        <w:tc>
          <w:tcPr>
            <w:tcW w:w="4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116,938</w:t>
            </w:r>
          </w:p>
        </w:tc>
        <w:tc>
          <w:tcPr>
            <w:tcW w:w="3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333,211</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226,445</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134,271</w:t>
            </w:r>
          </w:p>
        </w:tc>
        <w:tc>
          <w:tcPr>
            <w:tcW w:w="4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360,716</w:t>
            </w: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Time accounts of $250,000 or more</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143,026</w:t>
            </w: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143,026</w:t>
            </w: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142,473</w:t>
            </w: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142,473</w:t>
            </w: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Money management accounts</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9,539</w:t>
            </w:r>
          </w:p>
        </w:tc>
        <w:tc>
          <w:tcPr>
            <w:tcW w:w="4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9,539</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11,583</w:t>
            </w: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MMDA accounts</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298,653</w:t>
            </w: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298,653</w:t>
            </w: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239,016</w:t>
            </w: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239,016</w:t>
            </w: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 interest-bearing</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110,274</w:t>
            </w:r>
          </w:p>
        </w:tc>
        <w:tc>
          <w:tcPr>
            <w:tcW w:w="4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3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115,274</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99,080</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w:t>
            </w:r>
          </w:p>
        </w:tc>
        <w:tc>
          <w:tcPr>
            <w:tcW w:w="4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101,080</w:t>
            </w:r>
          </w:p>
        </w:tc>
      </w:tr>
      <w:tr>
        <w:trPr>
          <w:trHeight w:val="168"/>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Demand deposit noninterest-bearing</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196,299</w:t>
            </w: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196,299</w:t>
            </w: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213,719</w:t>
            </w:r>
          </w:p>
        </w:tc>
        <w:tc>
          <w:tcPr>
            <w:tcW w:w="4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213,719</w:t>
            </w:r>
          </w:p>
        </w:tc>
      </w:tr>
      <w:tr>
        <w:trPr>
          <w:trHeight w:val="16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Mortgage escrow funds</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4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5,121</w:t>
            </w: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7,184</w:t>
            </w:r>
          </w:p>
        </w:tc>
      </w:tr>
      <w:tr>
        <w:trPr>
          <w:trHeight w:val="208"/>
        </w:trPr>
        <w:tc>
          <w:tcPr>
            <w:tcW w:w="2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52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1,103,143</w:t>
            </w:r>
          </w:p>
        </w:tc>
        <w:tc>
          <w:tcPr>
            <w:tcW w:w="4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121,938</w:t>
            </w:r>
          </w:p>
        </w:tc>
        <w:tc>
          <w:tcPr>
            <w:tcW w:w="3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1,225,081</w:t>
            </w:r>
          </w:p>
        </w:tc>
        <w:tc>
          <w:tcPr>
            <w:tcW w:w="4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1,068,253</w:t>
            </w:r>
          </w:p>
        </w:tc>
        <w:tc>
          <w:tcPr>
            <w:tcW w:w="48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136,271</w:t>
            </w:r>
          </w:p>
        </w:tc>
        <w:tc>
          <w:tcPr>
            <w:tcW w:w="4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1,204,524</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recorded $3.5 million in provision for credit losses for the three month period ended September 30, 2025, as compared to $9.0 million for the three month period ended September 30, 2024. The provisioning in the third quarter of 2025 and 2024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and changes in the levels of delinquent and nonaccrual loans. This represents a $5.5 million decrease in provision for credit losses in the third quarter of 2025, as compared to the same period in 2024. This decrease can be primarily attributed to lower net charge offs of $670,000 in the quarter, compared to $8.7 million from a year ago period. The Bank's credit sensitive portfolios continue to be carefully monitored, and the Bank will consistently apply its loan classification and reserve building methodologies to the analysis of these portfolios. In addition, the Company continued to undertake proactive measures in the third quarter of 2025 to mitigate credit risk and enhance asset quality metrics for the long term, including the initiation of a comprehensive loan portfolio review in September 2025, encompassing performing and nonperforming loans of $500,000 or more, representing approximately 90% of all outstanding loans. This review is expected to be completed by the end of 2025. Please refer to the asset quality section below for a further discussion of asset quality as it relates to the allowance for credit losses.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recorded a provision for credit losses of $5.1 million and $10.0 million, respectively. The lower provision for credit losses in the first nine months of 2025 as compared with the similar 2024 period reflects lower net charge offs of $3.6 million for the nine months ended September 30, 2025, compared to $8.8 million for the nine months ended September 30, 2024.</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measures delinquency based on the amount of past due loans (defined as loans equal to or greater than 30 days past due) as a percentage of total loans. The ratio of delinquent loans to total loans was 4.1% and 3.8% at September 30, 2025, and December 31, 2024, respectively. Delinquent loans (numerator) increased $1.8 million from December 31, 2024 to September 30, 2025. Total loan balances (denominator) decreased $20.7 million from December 31, 2024 to September 30, 2025. The increase in delinquent loans from December 31, 2024 to September 30, 2025 was driven by loans delinquent 30-59 days and loans delinquent 90 days and over, which increased by $761,000 and $1.2 million, respectively, partially offset by a decrease of $189,000 in loans delinquent 60-89 days.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9" w:name="page60"/>
    <w:bookmarkEnd w:id="5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noninterest income is primarily comprised of fees on deposit account balances and transactions, loan servicing, commissions, and net gains on sales of securities, loans, and foreclosed real estate.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on noninterest income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For the 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Septembe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Septembe</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 30,</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30, 2025</w:t>
            </w:r>
          </w:p>
        </w:tc>
        <w:tc>
          <w:tcPr>
            <w:tcW w:w="18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30, 2024</w:t>
            </w:r>
          </w:p>
        </w:tc>
        <w:tc>
          <w:tcPr>
            <w:tcW w:w="26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Change</w:t>
            </w:r>
          </w:p>
        </w:tc>
        <w:tc>
          <w:tcPr>
            <w:tcW w:w="6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 30, 2025</w:t>
            </w:r>
          </w:p>
        </w:tc>
        <w:tc>
          <w:tcPr>
            <w:tcW w:w="30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Change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392</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127</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w:t>
            </w:r>
          </w:p>
        </w:tc>
        <w:tc>
          <w:tcPr>
            <w:tcW w:w="26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(75)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685</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8"/>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Loan servicing fees</w:t>
            </w:r>
          </w:p>
        </w:tc>
        <w:tc>
          <w:tcPr>
            <w:tcW w:w="5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34</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20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32</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64"/>
        </w:trPr>
        <w:tc>
          <w:tcPr>
            <w:tcW w:w="3740" w:type="dxa"/>
            <w:vAlign w:val="bottom"/>
            <w:vMerge w:val="continue"/>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62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Debit card interchange fees</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(83)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610</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(212)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Insurance agency revenue</w:t>
            </w: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(367)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1,024</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(1,024)</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Other charges, commissions and fees</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935</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(192)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 before gains and losses</w:t>
            </w: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1,249</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1,756</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(507)</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4,564</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(1,350)</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Losses on sales and redemptions of investment securities</w:t>
            </w: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260" w:type="dxa"/>
            <w:vAlign w:val="bottom"/>
          </w:tcPr>
          <w:p>
            <w:pPr>
              <w:spacing w:after="0"/>
              <w:rPr>
                <w:sz w:val="14"/>
                <w:szCs w:val="14"/>
                <w:color w:val="auto"/>
              </w:rPr>
            </w:pPr>
          </w:p>
        </w:tc>
        <w:tc>
          <w:tcPr>
            <w:tcW w:w="8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176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Gains on sales of loans and foreclosed real estate</w:t>
            </w: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31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121</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Fair value adjustment to loans held-for-sale</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(3,064)</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on sale of premises and equipment</w:t>
            </w: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13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13</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Non-recurring gain on lease renegotiations</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(245)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unrealized gains on marketable equity securities</w:t>
            </w: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83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752</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2425.8%</w:t>
            </w:r>
          </w:p>
        </w:tc>
        <w:tc>
          <w:tcPr>
            <w:tcW w:w="0" w:type="dxa"/>
            <w:vAlign w:val="bottom"/>
          </w:tcPr>
          <w:p>
            <w:pPr>
              <w:spacing w:after="0"/>
              <w:rPr>
                <w:sz w:val="1"/>
                <w:szCs w:val="1"/>
                <w:color w:val="auto"/>
              </w:rPr>
            </w:pPr>
          </w:p>
        </w:tc>
      </w:tr>
      <w:tr>
        <w:trPr>
          <w:trHeight w:val="16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1,503</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1,707</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(3,473)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Noninterest income for the third quarter of 2025 totaled $1.5 million, a decrease of $204,000 or 12.0% from the third quarter of 2024. The decline primarily reflects no insurance agency revenue contributions for the current quarter as a result of the sale of the Bank's insurance agency business, which was sold in October 2024. In addition, the decline in noninterest income was driven by lower earnings and gains on BOLI and debit card interchange fees, partially offset by lower losses on sales and redemptions of investment securities. The change in earnings and gains on BOLI between the third quarter of 2025 and the year-ago period reflects the impact of new BOLI policy purchases made during the current year and differences in net death benefits recorded during the two periods of $32,000 and $175,000, respectively.</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the Company reported $1.2 million in noninterest income, decreasing $3.5 million from $4.7 million in the same period of 2024. The year-over-year decrease reflects a $1.0 million decline in insurance agency revenue that is associated with the sale of the Bank's insurance agency business in October 2024 and lower noninterest income of $3.1 million due to the aforementioned LOCOM HFS adjustment associated with the loan sale in July 2025. These decreases in noninterest income for the nine months ended September 30, 2025 were partially offset by increases of $752,000 in net unrealized gains on marketable equity securities.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0" w:name="page61"/>
    <w:bookmarkEnd w:id="60"/>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on noninterest expense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For the nine months 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Septembe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Septembe</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r 30,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30, 2025</w:t>
            </w:r>
          </w:p>
        </w:tc>
        <w:tc>
          <w:tcPr>
            <w:tcW w:w="2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30, 2024</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Change</w:t>
            </w:r>
          </w:p>
        </w:tc>
        <w:tc>
          <w:tcPr>
            <w:tcW w:w="6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 30, 2025</w:t>
            </w:r>
          </w:p>
        </w:tc>
        <w:tc>
          <w:tcPr>
            <w:tcW w:w="28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Change</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2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5,005</w:t>
            </w:r>
          </w:p>
        </w:tc>
        <w:tc>
          <w:tcPr>
            <w:tcW w:w="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4,959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46</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13,980</w:t>
            </w:r>
          </w:p>
        </w:tc>
        <w:tc>
          <w:tcPr>
            <w:tcW w:w="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13,687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293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Building and occupancy</w:t>
            </w:r>
          </w:p>
        </w:tc>
        <w:tc>
          <w:tcPr>
            <w:tcW w:w="12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1,399</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1,134</w:t>
            </w:r>
          </w:p>
        </w:tc>
        <w:tc>
          <w:tcPr>
            <w:tcW w:w="2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265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2,864</w:t>
            </w:r>
          </w:p>
        </w:tc>
        <w:tc>
          <w:tcPr>
            <w:tcW w:w="22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1,112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Data processing</w:t>
            </w:r>
          </w:p>
        </w:tc>
        <w:tc>
          <w:tcPr>
            <w:tcW w:w="1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641</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(31)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1,750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224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28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w:t>
            </w:r>
          </w:p>
        </w:tc>
        <w:tc>
          <w:tcPr>
            <w:tcW w:w="2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1,820</w:t>
            </w:r>
          </w:p>
        </w:tc>
        <w:tc>
          <w:tcPr>
            <w:tcW w:w="22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(1,111)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28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3,078</w:t>
            </w:r>
          </w:p>
        </w:tc>
        <w:tc>
          <w:tcPr>
            <w:tcW w:w="22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(985)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Advertising</w:t>
            </w:r>
          </w:p>
        </w:tc>
        <w:tc>
          <w:tcPr>
            <w:tcW w:w="1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(79)</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(82)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FDIC assessments</w:t>
            </w:r>
          </w:p>
        </w:tc>
        <w:tc>
          <w:tcPr>
            <w:tcW w:w="12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2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(285)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Audits and exams</w:t>
            </w:r>
          </w:p>
        </w:tc>
        <w:tc>
          <w:tcPr>
            <w:tcW w:w="1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9</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(110)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2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2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333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Insurance agency expense</w:t>
            </w:r>
          </w:p>
        </w:tc>
        <w:tc>
          <w:tcPr>
            <w:tcW w:w="1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(308)</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(825)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Community service activities</w:t>
            </w:r>
          </w:p>
        </w:tc>
        <w:tc>
          <w:tcPr>
            <w:tcW w:w="12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68"/>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Foreclosed real estate expenses</w:t>
            </w:r>
          </w:p>
        </w:tc>
        <w:tc>
          <w:tcPr>
            <w:tcW w:w="128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2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2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1,852</w:t>
            </w: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8"/>
        </w:trPr>
        <w:tc>
          <w:tcPr>
            <w:tcW w:w="3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12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8,937</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10,259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(1,322)</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28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25,873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(442)</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Noninterest expense totaled $8.9 million in the third quarter of 2025, a decrease of $1.3 million or 12.9% from the year-ago quarter. The decrease was primarily due to $1.6 million in one-time transaction-related expenses from the prior year East Syracuse branch acquisition, in addition to $308,000 in costs associated with the insurance agency business sold in October 2024.</w:t>
      </w:r>
    </w:p>
    <w:p>
      <w:pPr>
        <w:spacing w:after="0" w:line="1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Salaries and benefits were $5.0 million in the third quarter of 2025, an increase of $46,000 from the year-ago quarter, primarily due to increased medical claims which are expected to be reimbursed by stop loss insurance. Building and occupancy was $1.4 million for the quarter ended September 30, 2025, compared to $1.1 million for the quarter ended September 30, 2024. The increase was driven by periodic building and maintenance expenses totaling $121,000 during the third quarter of 2025, in addition to increased costs related to building and land leases, property taxes, and utilities of $54,000, $46,000, and $27,000, respectively. These increases from the year-ago period were primarily due to timing of ongoing facilities-related costs and costs associated with operating the East Syracuse branch acquired in the third quarter of 2024. Data processing expense was $641,000 in the third quarter of 2025, decreasing $31,000 from $672,000 in the third quarter of 2024. The decrease from the year-ago period was due to lower costs associated with check and ATM processing charges.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noninterest expense decreased $443,000 to $25.4 million from $25.9 million for the same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drivers of the year-to-date decrease included $985,000 in one-time costs related to the East Syracuse branch acquisition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$825,000 of lower insurance agency expenses due to the sale of the Bank's insurance agency business in October 2024, partially offset by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higher building and occupancy expenses due to periodic building and branch maintenance and costs associated with operating the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Syracuse branch. Salaries and benefits increased to $13.9 million for the nine months ended September 30, 2025, increasing $293,000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ago period. The increase was driven by increased medical claims expected to be reimbursed by stop loss insurance.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60</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Income tax expense increased $1.2 million to $46,000, with an effective tax rate of 6.8%, for the quarter ended September 30, 2025, as compared to an income tax benefit of $1.2 million with an effective tax rate of 20.3% for the same three month period in 2024. The increase in income tax expense for the quarter ended September 30, 2025, as compared to the same quarter in 2024, was primarily driven by an increase of $6.5 million in income before taxes. The effective income tax rate decreased 13.5% to 6.8% for the three months ended September 30, 2025 as compared to 20.3% for the same three month period in 2024. The decrease in the tax rate in the third quarter of 2025, as compared to the same quarter in 2024, was primarily related to a decrease in income and fluctuations in permanent tax differences.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Income tax expense increased $957,000 to $797,000, with an effective tax rate of 18.0%, for the nine months ended September 30, 2025, as compared to an income tax benefit of $160,000 with an effective tax rate of 27.1%, for the same nine month period in 2024. The increase in income tax expense for the nine months ended September 30, 2025, as compared to the same nine month period in 2024, was primarily driven by a $5.0 million increase in income before taxes and fluctuations in permanent tax differences. The effective income tax rate decreased 9.1% to</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18.0% for the nine months ended September 30, 2025 as compared to 27.1% for the same nine month period in 2024. The increase in the tax rate in the nine months ended September 30, 2025, as compared to the same period in 2024, was primarily related to an income in income and fluctuations in permanent tax differences.</w:t>
      </w:r>
    </w:p>
    <w:p>
      <w:pPr>
        <w:spacing w:after="0" w:line="18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historic and low income housing tax credits. In addition, the tax effects of certain incentive stock option activity may reduce the Company’s effective tax rate on a sporadic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and diluted earnings per Voting and Series A Non-Voting share were $0.10 per share for the third quarter of 2025, as compared to $(0.75) for the same prior year period. The increase in earnings per share between the third quarter of 2025 and 2024 was due to the increase of net income between the two periods. Third quarter 2024 results included a $9.0 million provision for credit losses due to $8.7 million of net charge offs resulting from a comprehensive loan portfolio review and $1.6 million in one-time transaction-related expenses for the previously announced July 2024 East Syracuse branch acquisition.</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Basic and diluted earnings per share were $0.58 and $0.57, respectively, for both Voting and Series A Non-Voting shares for the nine month period ended September 30, 2025. Basic and diluted earnings per Voting and Series A Non-Voting share were $(0.09) per share for the nine month period ended September 30, 2024. The increase in earnings per share between the first nine months of 2025 and 2024 was due to the increase in net income between these two time periods. The results for the nine months ended September 30, 2024 included the effects from the aforementioned net charge offs and the East Syracuse one-time branch acquisition transaction-related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on earnings per share can be found in Note 3 of the unaudited consolidated financial statements of this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assets decreased $2.6 million, or 0.2%, to $1.47 billion at September 30, 2025 as compared to December 31, 2024. This decrease was due primarily to decreases in residential and consumer loans, partially offset by increases in investment securities, bank owned life insurance, commercial loans, and total cash and cash equivalents.</w:t>
      </w:r>
    </w:p>
    <w:p>
      <w:pPr>
        <w:spacing w:after="0" w:line="1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Loans, net of deferred fees, totaled $898.5 million on September 30, 2025, resulting in a decrease of $20.5 million or 2.2% from December 31, 2024. Consumer and residential loans totaled $356.2 million on September 30, 2025, decreasing $24.7</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61</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2" w:name="page63"/>
    <w:bookmarkEnd w:id="62"/>
    <w:p>
      <w:pPr>
        <w:spacing w:after="0" w:line="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million or 6.5% from December 31, 2024. Commercial loans totaled $543.7 million on September 30, 2025, increasing $4.0 million, or 0.7% from December 31, 2024.</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investment securities, including investment in FHLB-NY stock, totaled $445.8 million at September 30, 2025, an increase of $9.2 million, or 2.1%, compared to $436.7 million at December 31, 2024. This increase was due to an increase of $25.1 million in available-for-sale securities, and a $1.3 million increase in marketable equity securities. This increase was partially offset by a $16.1 million decrease in held-to-maturity securities due to calls and maturities, and a $1.1 million decrease in FHLB-NY stock.</w:t>
      </w:r>
    </w:p>
    <w:p>
      <w:pPr>
        <w:spacing w:after="0" w:line="1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Bank owned life insurance increased $6.4 million, or 26.0%, to $31.1 million at September 30, 2025 as compared to December 31, 2024. This increase was primarily due to a $6.0 million purchase of new life insurance policies during the second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liabilities decreased $7.5 million, or 0.6%, to $1.35 billion at September 30, 2025 as compared to December 31, 2024. This decrease was due primarily to decreases in total borrowings, offset partially by increases in total deposits.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borrowings decreased $31.4 million, or 35.6%, from $88.1 million at December 31, 2024 to $56.7 million at September 30, 2025. This decrease was due to a $23.0 million decrease in short-term borrowed funds from FHLB-NY, and an $8.4 million decrease in long-term borrowed funds from FHLB-NY.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deposits increased $20.6 million, or 1.7%, to $1.23 billion at September 30, 2025 as compared to December 31, 2024. The change in deposits from the prior period was due to an increase of $38.0 million in interest-bearing deposits, driven by changes in the deposit mix, including higher money market deposit accounts, partially offset by lower time deposit balances. The increase in interest-bearing deposits was also partially offset by a $17.4 million decrease in noninterest-bearing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Shareholders' equity increased by $4.8 million, or 4.0%, from $121.5 million at December 31, 2024, to $126.3 million at September 30, 2025. This increase was primarily due to the Company’s recorded net income of $3.6 million, an increase in additional paid in capital of $1.2 million, and a decrease in accumulated other comprehensive loss of $1.9 million, partially reduced by declared dividends to shareholders of $1.9 million during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September 30, 2025,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September 30, 2025, the Bank exceeded all regulatory required minimum capital ratios, including the capital buffer requirements.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62</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3" w:name="page64"/>
    <w:bookmarkEnd w:id="63"/>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Pathfinder Bank’s capital amounts and ratios as of the indicated dates are presented in the following table: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Minimum To Be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Minimum For</w:t>
            </w:r>
          </w:p>
        </w:tc>
        <w:tc>
          <w:tcPr>
            <w:tcW w:w="140" w:type="dxa"/>
            <w:vAlign w:val="bottom"/>
          </w:tcPr>
          <w:p>
            <w:pPr>
              <w:spacing w:after="0"/>
              <w:rPr>
                <w:sz w:val="13"/>
                <w:szCs w:val="13"/>
                <w:color w:val="auto"/>
              </w:rPr>
            </w:pPr>
          </w:p>
        </w:tc>
        <w:tc>
          <w:tcPr>
            <w:tcW w:w="15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"Well-Capitalized"</w:t>
            </w:r>
          </w:p>
        </w:tc>
        <w:tc>
          <w:tcPr>
            <w:tcW w:w="140" w:type="dxa"/>
            <w:vAlign w:val="bottom"/>
          </w:tcPr>
          <w:p>
            <w:pPr>
              <w:spacing w:after="0"/>
              <w:rPr>
                <w:sz w:val="13"/>
                <w:szCs w:val="13"/>
                <w:color w:val="auto"/>
              </w:rPr>
            </w:pPr>
          </w:p>
        </w:tc>
        <w:tc>
          <w:tcPr>
            <w:tcW w:w="1420" w:type="dxa"/>
            <w:vAlign w:val="bottom"/>
            <w:gridSpan w:val="2"/>
          </w:tcPr>
          <w:p>
            <w:pPr>
              <w:jc w:val="center"/>
              <w:ind w:right="114"/>
              <w:spacing w:after="0"/>
              <w:rPr>
                <w:sz w:val="20"/>
                <w:szCs w:val="20"/>
                <w:color w:val="auto"/>
              </w:rPr>
            </w:pPr>
            <w:r>
              <w:rPr>
                <w:rFonts w:ascii="Times New Roman" w:cs="Times New Roman" w:eastAsia="Times New Roman" w:hAnsi="Times New Roman"/>
                <w:sz w:val="13"/>
                <w:szCs w:val="13"/>
                <w:color w:val="auto"/>
              </w:rPr>
              <w:t>Minimum For</w:t>
            </w:r>
          </w:p>
        </w:tc>
      </w:tr>
      <w:tr>
        <w:trPr>
          <w:trHeight w:val="156"/>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Capital Adequacy</w:t>
            </w:r>
          </w:p>
        </w:tc>
        <w:tc>
          <w:tcPr>
            <w:tcW w:w="140" w:type="dxa"/>
            <w:vAlign w:val="bottom"/>
          </w:tcPr>
          <w:p>
            <w:pPr>
              <w:spacing w:after="0"/>
              <w:rPr>
                <w:sz w:val="13"/>
                <w:szCs w:val="13"/>
                <w:color w:val="auto"/>
              </w:rPr>
            </w:pPr>
          </w:p>
        </w:tc>
        <w:tc>
          <w:tcPr>
            <w:tcW w:w="15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Under Prompt</w:t>
            </w:r>
          </w:p>
        </w:tc>
        <w:tc>
          <w:tcPr>
            <w:tcW w:w="140" w:type="dxa"/>
            <w:vAlign w:val="bottom"/>
          </w:tcPr>
          <w:p>
            <w:pPr>
              <w:spacing w:after="0"/>
              <w:rPr>
                <w:sz w:val="13"/>
                <w:szCs w:val="13"/>
                <w:color w:val="auto"/>
              </w:rPr>
            </w:pPr>
          </w:p>
        </w:tc>
        <w:tc>
          <w:tcPr>
            <w:tcW w:w="142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color w:val="auto"/>
              </w:rPr>
              <w:t>Capital Adequacy</w:t>
            </w:r>
          </w:p>
        </w:tc>
      </w:tr>
      <w:tr>
        <w:trPr>
          <w:trHeight w:val="156"/>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Actual</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7"/>
              </w:rPr>
              <w:t>Purposes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Corrective Provisions</w:t>
            </w:r>
          </w:p>
        </w:tc>
        <w:tc>
          <w:tcPr>
            <w:tcW w:w="140" w:type="dxa"/>
            <w:vAlign w:val="bottom"/>
          </w:tcPr>
          <w:p>
            <w:pPr>
              <w:spacing w:after="0"/>
              <w:rPr>
                <w:sz w:val="13"/>
                <w:szCs w:val="13"/>
                <w:color w:val="auto"/>
              </w:rPr>
            </w:pPr>
          </w:p>
        </w:tc>
        <w:tc>
          <w:tcPr>
            <w:tcW w:w="1420" w:type="dxa"/>
            <w:vAlign w:val="bottom"/>
            <w:gridSpan w:val="2"/>
          </w:tcPr>
          <w:p>
            <w:pPr>
              <w:jc w:val="center"/>
              <w:ind w:right="114"/>
              <w:spacing w:after="0"/>
              <w:rPr>
                <w:sz w:val="20"/>
                <w:szCs w:val="20"/>
                <w:color w:val="auto"/>
              </w:rPr>
            </w:pPr>
            <w:r>
              <w:rPr>
                <w:rFonts w:ascii="Times New Roman" w:cs="Times New Roman" w:eastAsia="Times New Roman" w:hAnsi="Times New Roman"/>
                <w:sz w:val="13"/>
                <w:szCs w:val="13"/>
                <w:color w:val="auto"/>
                <w:w w:val="99"/>
              </w:rPr>
              <w:t>with Buffer</w:t>
            </w: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74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Amount</w:t>
            </w: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Ratio</w:t>
            </w:r>
          </w:p>
        </w:tc>
        <w:tc>
          <w:tcPr>
            <w:tcW w:w="1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6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9"/>
              </w:rPr>
              <w:t>Ratio</w:t>
            </w:r>
          </w:p>
        </w:tc>
        <w:tc>
          <w:tcPr>
            <w:tcW w:w="14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Ratio</w:t>
            </w:r>
          </w:p>
        </w:tc>
        <w:tc>
          <w:tcPr>
            <w:tcW w:w="14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Amount</w:t>
            </w: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Ratio</w:t>
            </w:r>
          </w:p>
        </w:tc>
      </w:tr>
      <w:tr>
        <w:trPr>
          <w:trHeight w:val="15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 of September 30, 2025:</w:t>
            </w:r>
          </w:p>
        </w:tc>
        <w:tc>
          <w:tcPr>
            <w:tcW w:w="7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56"/>
        </w:trPr>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154,183</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83,857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104,822</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110,063</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r>
      <w:tr>
        <w:trPr>
          <w:trHeight w:val="15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141,001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62,893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83,857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89,098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56"/>
        </w:trPr>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Tier 1 Common Equity (to Risk-Weighted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141,001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47,170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68,134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73,375</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5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Tier 1 Capital (to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141,001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58,034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72,543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72,543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56"/>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w:t>
            </w: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151,747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82,845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103,556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108,733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w:t>
            </w:r>
          </w:p>
        </w:tc>
      </w:tr>
      <w:tr>
        <w:trPr>
          <w:trHeight w:val="156"/>
        </w:trPr>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138,740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62,133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82,845</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88,022</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5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Tier 1 Common Equity (to Risk-Weighted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138,740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46,600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67,311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72,489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72"/>
        </w:trPr>
        <w:tc>
          <w:tcPr>
            <w:tcW w:w="3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Tier 1 Capital (to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138,740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41,422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51,778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71,960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63</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4" w:name="page65"/>
    <w:bookmarkEnd w:id="6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500" w:type="dxa"/>
            <w:vAlign w:val="bottom"/>
          </w:tcPr>
          <w:p>
            <w:pPr>
              <w:spacing w:after="0"/>
              <w:rPr>
                <w:sz w:val="14"/>
                <w:szCs w:val="14"/>
                <w:color w:val="auto"/>
              </w:rPr>
            </w:pP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Regulatory Capital Ratios (Bank only)</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capital (to risk-weighted assets)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equity (GAAP)</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144,318</w:t>
            </w:r>
          </w:p>
        </w:tc>
        <w:tc>
          <w:tcPr>
            <w:tcW w:w="5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140,641</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(5,056)</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gridSpan w:val="2"/>
            <w:vMerge w:val="restart"/>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(5,518)</w:t>
            </w:r>
          </w:p>
        </w:tc>
        <w:tc>
          <w:tcPr>
            <w:tcW w:w="28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(5,989)</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Addback: Accumulated other comprehensive loss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Tier 1 Capital</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141,001</w:t>
            </w:r>
          </w:p>
        </w:tc>
        <w:tc>
          <w:tcPr>
            <w:tcW w:w="5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138,740</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Allowance for credit losses (subject to regulatory limits)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Tier 2 Capital</w:t>
            </w:r>
          </w:p>
        </w:tc>
        <w:tc>
          <w:tcPr>
            <w:tcW w:w="7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13,182</w:t>
            </w:r>
          </w:p>
        </w:tc>
        <w:tc>
          <w:tcPr>
            <w:tcW w:w="5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13,007</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Tier 1 plus Tier 2 Capital (numerator)</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154,183</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151,747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1,048,215</w:t>
            </w: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1,035,557</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Tier 1 capital (to risk-weighted assets)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141,001</w:t>
            </w:r>
          </w:p>
        </w:tc>
        <w:tc>
          <w:tcPr>
            <w:tcW w:w="5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138,740</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1,048,215</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1,035,557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7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5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Tier 1 capital (to adjusted assets)</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141,001</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138,740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average assets</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1,461,427</w:t>
            </w: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1,450,254</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(5,056)</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(5,518)</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(5,989)</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assets (denominator)</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1,450,853</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1,439,209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capital to adjusted assets</w:t>
            </w:r>
          </w:p>
        </w:tc>
        <w:tc>
          <w:tcPr>
            <w:tcW w:w="7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5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Tier 1 Common Equity (to risk-weighted assets)</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141,001</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138,740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1,048,215</w:t>
            </w:r>
          </w:p>
        </w:tc>
        <w:tc>
          <w:tcPr>
            <w:tcW w:w="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1,035,557</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Tier 1 Common Equity to risk-weighted assets</w:t>
            </w: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23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3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color w:val="auto"/>
              </w:rPr>
              <w:t>For the nine months ended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8"/>
              </w:rPr>
              <w:t>September 30,</w:t>
            </w:r>
          </w:p>
        </w:tc>
        <w:tc>
          <w:tcPr>
            <w:tcW w:w="1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pre-tax, pre-provision net income, and efficiency ratio:</w:t>
            </w: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11,600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11,732</w:t>
            </w:r>
          </w:p>
        </w:tc>
        <w:tc>
          <w:tcPr>
            <w:tcW w:w="6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8"/>
              </w:rPr>
              <w:t>33,825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30,612</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noninterest income</w:t>
            </w:r>
          </w:p>
        </w:tc>
        <w:tc>
          <w:tcPr>
            <w:tcW w:w="7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1,503</w:t>
            </w:r>
          </w:p>
        </w:tc>
        <w:tc>
          <w:tcPr>
            <w:tcW w:w="2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1,707</w:t>
            </w:r>
          </w:p>
        </w:tc>
        <w:tc>
          <w:tcPr>
            <w:tcW w:w="6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1,182</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Net realized (gains) losses on sales and redemptions of investment securities</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Gains on sales of loans and foreclosed real estate</w:t>
            </w:r>
          </w:p>
        </w:tc>
        <w:tc>
          <w:tcPr>
            <w:tcW w:w="7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100"/>
              <w:spacing w:after="0" w:line="168" w:lineRule="exact"/>
              <w:rPr>
                <w:sz w:val="20"/>
                <w:szCs w:val="20"/>
                <w:color w:val="auto"/>
              </w:rPr>
            </w:pPr>
            <w:r>
              <w:rPr>
                <w:rFonts w:ascii="Times New Roman" w:cs="Times New Roman" w:eastAsia="Times New Roman" w:hAnsi="Times New Roman"/>
                <w:sz w:val="14"/>
                <w:szCs w:val="14"/>
                <w:color w:val="auto"/>
              </w:rPr>
              <w:t xml:space="preserve">Revenue (non-GAAP) </w:t>
            </w:r>
            <w:r>
              <w:rPr>
                <w:rFonts w:ascii="Times New Roman" w:cs="Times New Roman" w:eastAsia="Times New Roman" w:hAnsi="Times New Roman"/>
                <w:sz w:val="19"/>
                <w:szCs w:val="19"/>
                <w:color w:val="auto"/>
                <w:vertAlign w:val="superscript"/>
              </w:rPr>
              <w:t>1</w:t>
            </w: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12,994</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13,537</w:t>
            </w: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8"/>
              </w:rPr>
              <w:t>37,822</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35,439</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7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8,937</w:t>
            </w:r>
          </w:p>
        </w:tc>
        <w:tc>
          <w:tcPr>
            <w:tcW w:w="2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10,259</w:t>
            </w:r>
          </w:p>
        </w:tc>
        <w:tc>
          <w:tcPr>
            <w:tcW w:w="6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8"/>
              </w:rPr>
              <w:t>25,431</w:t>
            </w:r>
          </w:p>
        </w:tc>
        <w:tc>
          <w:tcPr>
            <w:tcW w:w="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25,873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shd w:val="clear" w:color="auto" w:fill="CFF0FC"/>
          </w:tcPr>
          <w:p>
            <w:pPr>
              <w:ind w:left="100"/>
              <w:spacing w:after="0" w:line="168" w:lineRule="exact"/>
              <w:rPr>
                <w:sz w:val="20"/>
                <w:szCs w:val="20"/>
                <w:color w:val="auto"/>
              </w:rPr>
            </w:pPr>
            <w:r>
              <w:rPr>
                <w:rFonts w:ascii="Times New Roman" w:cs="Times New Roman" w:eastAsia="Times New Roman" w:hAnsi="Times New Roman"/>
                <w:sz w:val="14"/>
                <w:szCs w:val="14"/>
                <w:color w:val="auto"/>
              </w:rPr>
              <w:t xml:space="preserve">Pre-tax, pre-provision net income (non-GAAP) </w:t>
            </w:r>
            <w:r>
              <w:rPr>
                <w:rFonts w:ascii="Times New Roman" w:cs="Times New Roman" w:eastAsia="Times New Roman" w:hAnsi="Times New Roman"/>
                <w:sz w:val="19"/>
                <w:szCs w:val="19"/>
                <w:color w:val="auto"/>
                <w:vertAlign w:val="superscript"/>
              </w:rPr>
              <w:t>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4,057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3,278</w:t>
            </w:r>
          </w:p>
        </w:tc>
        <w:tc>
          <w:tcPr>
            <w:tcW w:w="6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8"/>
              </w:rPr>
              <w:t>12,391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9,566</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auto"/>
            </w:tcBorders>
          </w:tcPr>
          <w:p>
            <w:pPr>
              <w:ind w:left="160"/>
              <w:spacing w:after="0" w:line="168" w:lineRule="exact"/>
              <w:rPr>
                <w:sz w:val="20"/>
                <w:szCs w:val="20"/>
                <w:color w:val="auto"/>
              </w:rPr>
            </w:pPr>
            <w:r>
              <w:rPr>
                <w:rFonts w:ascii="Times New Roman" w:cs="Times New Roman" w:eastAsia="Times New Roman" w:hAnsi="Times New Roman"/>
                <w:sz w:val="14"/>
                <w:szCs w:val="14"/>
                <w:color w:val="auto"/>
              </w:rPr>
              <w:t xml:space="preserve">Efficiency ratio (non-GAAP) </w:t>
            </w:r>
            <w:r>
              <w:rPr>
                <w:rFonts w:ascii="Times New Roman" w:cs="Times New Roman" w:eastAsia="Times New Roman" w:hAnsi="Times New Roman"/>
                <w:sz w:val="19"/>
                <w:szCs w:val="19"/>
                <w:color w:val="auto"/>
                <w:vertAlign w:val="superscript"/>
              </w:rPr>
              <w:t>3</w:t>
            </w: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68.78</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75.78</w:t>
            </w:r>
          </w:p>
        </w:tc>
        <w:tc>
          <w:tcPr>
            <w:tcW w:w="6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67.24</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hanging="74"/>
        <w:spacing w:after="0" w:line="225" w:lineRule="auto"/>
        <w:tabs>
          <w:tab w:leader="none" w:pos="8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Revenue equals net interest income plus total noninterest income less net realized gains or losses on sales and redemptions of investment securities, and sales of loans and foreclosed real estate.</w:t>
      </w:r>
    </w:p>
    <w:p>
      <w:pPr>
        <w:spacing w:after="0" w:line="23" w:lineRule="exact"/>
        <w:rPr>
          <w:rFonts w:ascii="Times New Roman" w:cs="Times New Roman" w:eastAsia="Times New Roman" w:hAnsi="Times New Roman"/>
          <w:sz w:val="17"/>
          <w:szCs w:val="17"/>
          <w:color w:val="auto"/>
          <w:vertAlign w:val="superscript"/>
        </w:rPr>
      </w:pPr>
    </w:p>
    <w:p>
      <w:pPr>
        <w:spacing w:after="0" w:line="234"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Pre-tax, pre-provision net income equals revenue less total noninterest expense.</w:t>
      </w:r>
    </w:p>
    <w:p>
      <w:pPr>
        <w:spacing w:after="0" w:line="206"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Efficiency ratio equals noninterest expense divided by revenue.</w:t>
      </w:r>
    </w:p>
    <w:p>
      <w:pPr>
        <w:ind w:left="5200" w:hanging="87"/>
        <w:spacing w:after="0"/>
        <w:tabs>
          <w:tab w:leader="none" w:pos="52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64 </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Asset Quality and Allowance for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information concerning the aggregate amount of non-accrual loans at the indicated dates: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20" w:type="dxa"/>
            <w:vAlign w:val="bottom"/>
          </w:tcPr>
          <w:p>
            <w:pPr>
              <w:spacing w:after="0"/>
              <w:rPr>
                <w:sz w:val="16"/>
                <w:szCs w:val="16"/>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September 30,</w:t>
            </w:r>
          </w:p>
        </w:tc>
        <w:tc>
          <w:tcPr>
            <w:tcW w:w="280" w:type="dxa"/>
            <w:vAlign w:val="bottom"/>
          </w:tcPr>
          <w:p>
            <w:pPr>
              <w:spacing w:after="0"/>
              <w:rPr>
                <w:sz w:val="16"/>
                <w:szCs w:val="16"/>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December 31,</w:t>
            </w:r>
          </w:p>
        </w:tc>
        <w:tc>
          <w:tcPr>
            <w:tcW w:w="32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193"/>
        </w:trPr>
        <w:tc>
          <w:tcPr>
            <w:tcW w:w="4540" w:type="dxa"/>
            <w:vAlign w:val="bottom"/>
            <w:gridSpan w:val="2"/>
            <w:vMerge w:val="continue"/>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6"/>
                <w:szCs w:val="16"/>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Nonaccrual loans:</w:t>
            </w:r>
          </w:p>
        </w:tc>
        <w:tc>
          <w:tcPr>
            <w:tcW w:w="18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Commercial and commercial real estate loans</w:t>
            </w:r>
          </w:p>
        </w:tc>
        <w:tc>
          <w:tcPr>
            <w:tcW w:w="1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20,169</w:t>
            </w:r>
          </w:p>
        </w:tc>
        <w:tc>
          <w:tcPr>
            <w:tcW w:w="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18,212</w:t>
            </w:r>
          </w:p>
        </w:tc>
        <w:tc>
          <w:tcPr>
            <w:tcW w:w="3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13,664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Consumer</w:t>
            </w:r>
          </w:p>
        </w:tc>
        <w:tc>
          <w:tcPr>
            <w:tcW w:w="18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910</w:t>
            </w: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710</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Residential mortgage loans</w:t>
            </w:r>
          </w:p>
        </w:tc>
        <w:tc>
          <w:tcPr>
            <w:tcW w:w="1820" w:type="dxa"/>
            <w:vAlign w:val="bottom"/>
          </w:tcPr>
          <w:p>
            <w:pPr>
              <w:spacing w:after="0"/>
              <w:rPr>
                <w:sz w:val="15"/>
                <w:szCs w:val="15"/>
                <w:color w:val="auto"/>
              </w:rPr>
            </w:pP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2,226</w:t>
            </w:r>
          </w:p>
        </w:tc>
        <w:tc>
          <w:tcPr>
            <w:tcW w:w="280" w:type="dxa"/>
            <w:vAlign w:val="bottom"/>
          </w:tcPr>
          <w:p>
            <w:pPr>
              <w:spacing w:after="0"/>
              <w:rPr>
                <w:sz w:val="15"/>
                <w:szCs w:val="15"/>
                <w:color w:val="auto"/>
              </w:rPr>
            </w:pP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3,162</w:t>
            </w:r>
          </w:p>
        </w:tc>
        <w:tc>
          <w:tcPr>
            <w:tcW w:w="3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nonaccrual loans</w:t>
            </w:r>
          </w:p>
        </w:tc>
        <w:tc>
          <w:tcPr>
            <w:tcW w:w="18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23,305</w:t>
            </w: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16,170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nonperforming loans</w:t>
            </w:r>
          </w:p>
        </w:tc>
        <w:tc>
          <w:tcPr>
            <w:tcW w:w="1820" w:type="dxa"/>
            <w:vAlign w:val="bottom"/>
          </w:tcPr>
          <w:p>
            <w:pPr>
              <w:spacing w:after="0"/>
              <w:rPr>
                <w:sz w:val="15"/>
                <w:szCs w:val="15"/>
                <w:color w:val="auto"/>
              </w:rPr>
            </w:pP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23,305</w:t>
            </w:r>
          </w:p>
        </w:tc>
        <w:tc>
          <w:tcPr>
            <w:tcW w:w="280" w:type="dxa"/>
            <w:vAlign w:val="bottom"/>
          </w:tcPr>
          <w:p>
            <w:pPr>
              <w:spacing w:after="0"/>
              <w:rPr>
                <w:sz w:val="15"/>
                <w:szCs w:val="15"/>
                <w:color w:val="auto"/>
              </w:rPr>
            </w:pPr>
          </w:p>
        </w:tc>
        <w:tc>
          <w:tcPr>
            <w:tcW w:w="12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20" w:type="dxa"/>
            <w:vAlign w:val="bottom"/>
          </w:tcPr>
          <w:p>
            <w:pPr>
              <w:spacing w:after="0"/>
              <w:rPr>
                <w:sz w:val="15"/>
                <w:szCs w:val="15"/>
                <w:color w:val="auto"/>
              </w:rPr>
            </w:pPr>
          </w:p>
        </w:tc>
        <w:tc>
          <w:tcPr>
            <w:tcW w:w="11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16,170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Foreclosed real estate</w:t>
            </w:r>
          </w:p>
        </w:tc>
        <w:tc>
          <w:tcPr>
            <w:tcW w:w="18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Borders>
              <w:bottom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nonperforming assets</w:t>
            </w:r>
          </w:p>
        </w:tc>
        <w:tc>
          <w:tcPr>
            <w:tcW w:w="1820" w:type="dxa"/>
            <w:vAlign w:val="bottom"/>
            <w:tcBorders>
              <w:bottom w:val="single" w:sz="8" w:color="auto"/>
            </w:tcBorders>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23,442</w:t>
            </w:r>
          </w:p>
        </w:tc>
        <w:tc>
          <w:tcPr>
            <w:tcW w:w="28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22,084</w:t>
            </w:r>
          </w:p>
        </w:tc>
        <w:tc>
          <w:tcPr>
            <w:tcW w:w="3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16,170</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520" w:type="dxa"/>
            <w:vAlign w:val="bottom"/>
            <w:tcBorders>
              <w:top w:val="single" w:sz="8" w:color="auto"/>
            </w:tcBorders>
            <w:shd w:val="clear" w:color="auto" w:fill="CFF0FC"/>
          </w:tcPr>
          <w:p>
            <w:pPr>
              <w:spacing w:after="0"/>
              <w:rPr>
                <w:sz w:val="13"/>
                <w:szCs w:val="13"/>
                <w:color w:val="auto"/>
              </w:rPr>
            </w:pPr>
          </w:p>
        </w:tc>
        <w:tc>
          <w:tcPr>
            <w:tcW w:w="182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Nonperforming loans to total loans</w:t>
            </w:r>
          </w:p>
        </w:tc>
        <w:tc>
          <w:tcPr>
            <w:tcW w:w="1820" w:type="dxa"/>
            <w:vAlign w:val="bottom"/>
          </w:tcPr>
          <w:p>
            <w:pPr>
              <w:spacing w:after="0"/>
              <w:rPr>
                <w:sz w:val="15"/>
                <w:szCs w:val="15"/>
                <w:color w:val="auto"/>
              </w:rPr>
            </w:pPr>
          </w:p>
        </w:tc>
        <w:tc>
          <w:tcPr>
            <w:tcW w:w="12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2.59%</w:t>
            </w:r>
          </w:p>
        </w:tc>
        <w:tc>
          <w:tcPr>
            <w:tcW w:w="280" w:type="dxa"/>
            <w:vAlign w:val="bottom"/>
          </w:tcPr>
          <w:p>
            <w:pPr>
              <w:spacing w:after="0"/>
              <w:rPr>
                <w:sz w:val="15"/>
                <w:szCs w:val="15"/>
                <w:color w:val="auto"/>
              </w:rPr>
            </w:pPr>
          </w:p>
        </w:tc>
        <w:tc>
          <w:tcPr>
            <w:tcW w:w="12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3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Nonperforming assets to total assets</w:t>
            </w:r>
          </w:p>
        </w:tc>
        <w:tc>
          <w:tcPr>
            <w:tcW w:w="18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Nonperforming assets include nonaccrual loans, and foreclosed real estate (‘‘FRE”).</w:t>
      </w:r>
    </w:p>
    <w:p>
      <w:pPr>
        <w:spacing w:after="0" w:line="21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indicated in the table above, nonperforming assets at September 30, 2025 were $23.4 million, and were $1.3 million greater than the $22.1 million reported at December 31, 2024 and $7.2 million greater than the $16.2 million reported at September 30, 2024. The increase in the nonperforming loans on September 30, 2025, as compared to December 31, 2024, was the result of loans associated with two local commercial relationships that moved to nonperforming status.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credit losses on loans represents management’s estimate of the lifetime losses inherent in the loan portfolio as of the date of the statement of condition. The allowance for credit losses was $18.7 million and $17.2 million at September 30, 2025 and December 31, 2024, respectively. The ratio of the allowance for credit losses to total loans was 2.08% as of September 30, 2025, as compared to 1.88% at December 31, 2024 and 1.87% at September 30, 2024. Management performs a quarterly evaluation of the allowance for credit losses based on quantitative and qualitative factors and has determined that the current level of the allowance for credit losses is adequate to absorb the losses in the loan portfolio as of September 30, 2025.</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projected credit losses related to purchased loan pools are evaluated prior to purchase and the performance of those loans against expectations are analyzed at least monthly. Over the life of the purchased loan pools, the allowance for credit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65</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the Company had $32.1 million and $20.0 million in loans, respectively, which were individually analyzed, having established specific reserves of $5.5 million and $2.5 million, respectively, on these loans. The $12.1 million increase in specifically identified loans between these two dates primarily reflects four large commercial loan relationships totaling $20.1 million, offset by 2025 year-to-date net charge offs of $3.6 million and $6.5 million in balances from the July 2025 sale of nonperforming and classified loans associated with one local commercial relationship.</w:t>
      </w:r>
    </w:p>
    <w:p>
      <w:pPr>
        <w:spacing w:after="0" w:line="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Appraisals are obtained at the time a real estate secured loan is originated. For commercial real estate held as collateral, the property is inspected every two years.</w:t>
      </w:r>
    </w:p>
    <w:p>
      <w:pPr>
        <w:spacing w:after="0" w:line="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$66.0 million at September 30, 2025, an increase of $9.6 million, as compared to $56.4 million at December 31, 2024. These loans have been internally classified as special mention, substandard, or doubtful, yet are not currently considered specifically-identified.</w:t>
      </w:r>
    </w:p>
    <w:p>
      <w:pPr>
        <w:spacing w:after="0" w:line="1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liquidity has been enhanced by its ability to borrow from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3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Through the first nine months of 2025, as indicated in the consolidated statement of cash flows, the Company reported net cash flow from operating activities of $9.0 million and net cash flow of $12.2 million related to investing activities. The net cash inflows from investing activities was generated principally by an increase of $13.5 million in net loan activity, partially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66</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offset by a $397,000 decrease in net investment activity, and an $987,000 decrease in premises and equipment. The Company reported net cash outflows from financing activities of $12.2 million, primarily due to a $20.6 million increase in net deposit balances, a $31.4 million decrease in net borrowings, and an aggregate decrease of $1.4 million in net cash from all other financing sources, including dividends paid to common voting and non-voting shareholders and warrant holders of $1.9 million.</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Bank’s management monitors liquidity on a continuous basis through a broad range of internal programs and considers effective liquidity management to be one of its primary objectives. At September 30, 2025 the Bank had deposits of $1.23 billion, of which a portion were nominally uninsured, as they were above the insurance limits established by the Federal Deposit Insurance Corporation (“FDIC”) on that date. Of the nominally uninsured deposits at September 30, 2025, $95.6 million were insured through a long-standing reciprocal deposit program managed by a third-party entity. In addition, $118.1 million in municipal deposits are fully protected against principal loss by a collateral program whereby the Bank places high-quality securities with an independent custodian as collateral. The Bank had $152.2 million in deposits, representing 13.7% of all deposits that were considered to be uninsured at September 30, 2025. At December 31, 2024, the Bank had $149.0 million in deposits, representing 14.0% of all deposits that were considered to be uninsured.</w:t>
      </w:r>
    </w:p>
    <w:p>
      <w:pPr>
        <w:spacing w:after="0" w:line="1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a number of existing credit facilities available to it. At September 30, 2025, total credit available under the existing lines of credit was approximately $248.3 million at FHLB-NY, FRB-NY, and two other correspondent banks. At September 30, 2025, the Company had $56.7 million of the available lines of credit utilized on its existing lines of credit with the remainder of $191.6 million available.</w:t>
      </w:r>
    </w:p>
    <w:p>
      <w:pPr>
        <w:spacing w:after="0" w:line="12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Asset Liability Management Committee of the Company is responsible for implementing the policies and guidelines for the maintenance of prudent levels of liquidity. As of September 30, 2025, management reported to the Board of Directors that the Company is in compliance with its liquidity policy guidelines.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September 30, 2025, the Company had $219.2 million in outstanding commitments to extend credit and standby letters of credit.</w:t>
      </w:r>
    </w:p>
    <w:p>
      <w:pPr>
        <w:spacing w:after="0" w:line="176"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w:t>
      </w:r>
    </w:p>
    <w:p>
      <w:pPr>
        <w:spacing w:after="0" w:line="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off-balance sheet credit exposures as of September 30, 2025 was $686,000 and is included in other liabilities on the Company's consolidated Statements of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relating to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September 30, 2025.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w:t>
      </w: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67</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8" w:name="page69"/>
    <w:bookmarkEnd w:id="6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principal executive officer and principal financial officer, as appropriate to allow timely decisions regarding required disclosure.</w:t>
      </w:r>
    </w:p>
    <w:p>
      <w:pPr>
        <w:spacing w:after="0" w:line="20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2025, our CEO and CFO concluded that our disclosure controls and procedures were effective as of that date.</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make any changes in internal control over financial reporting during the quarter ended September 30,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68</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9" w:name="page70"/>
    <w:bookmarkEnd w:id="6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is not currently a named party in a legal proceeding, the outcome of which would have a material and adverse effect on the financial condition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relating to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 and Issuer Purchases of Equity Securities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Total Number of</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Shares Purchased as</w:t>
            </w:r>
          </w:p>
        </w:tc>
        <w:tc>
          <w:tcPr>
            <w:tcW w:w="158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Maximum Number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Total Number of</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Part of Publicly</w:t>
            </w:r>
          </w:p>
        </w:tc>
        <w:tc>
          <w:tcPr>
            <w:tcW w:w="15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Shares That May Yet</w:t>
            </w:r>
          </w:p>
        </w:tc>
        <w:tc>
          <w:tcPr>
            <w:tcW w:w="0" w:type="dxa"/>
            <w:vAlign w:val="bottom"/>
          </w:tcPr>
          <w:p>
            <w:pPr>
              <w:spacing w:after="0"/>
              <w:rPr>
                <w:sz w:val="1"/>
                <w:szCs w:val="1"/>
                <w:color w:val="auto"/>
              </w:rPr>
            </w:pPr>
          </w:p>
        </w:tc>
      </w:tr>
      <w:tr>
        <w:trPr>
          <w:trHeight w:val="18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Shares Purchased</w:t>
            </w:r>
          </w:p>
        </w:tc>
        <w:tc>
          <w:tcPr>
            <w:tcW w:w="220" w:type="dxa"/>
            <w:vAlign w:val="bottom"/>
          </w:tcPr>
          <w:p>
            <w:pPr>
              <w:spacing w:after="0"/>
              <w:rPr>
                <w:sz w:val="15"/>
                <w:szCs w:val="15"/>
                <w:color w:val="auto"/>
              </w:rPr>
            </w:pPr>
          </w:p>
        </w:tc>
        <w:tc>
          <w:tcPr>
            <w:tcW w:w="156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97"/>
              </w:rPr>
              <w:t>Average Price Paid</w:t>
            </w:r>
          </w:p>
        </w:tc>
        <w:tc>
          <w:tcPr>
            <w:tcW w:w="17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Announced Plans or</w:t>
            </w:r>
          </w:p>
        </w:tc>
        <w:tc>
          <w:tcPr>
            <w:tcW w:w="15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Be Purchased Under</w:t>
            </w:r>
          </w:p>
        </w:tc>
        <w:tc>
          <w:tcPr>
            <w:tcW w:w="0" w:type="dxa"/>
            <w:vAlign w:val="bottom"/>
          </w:tcPr>
          <w:p>
            <w:pPr>
              <w:spacing w:after="0"/>
              <w:rPr>
                <w:sz w:val="1"/>
                <w:szCs w:val="1"/>
                <w:color w:val="auto"/>
              </w:rPr>
            </w:pPr>
          </w:p>
        </w:tc>
      </w:tr>
      <w:tr>
        <w:trPr>
          <w:trHeight w:val="168"/>
        </w:trPr>
        <w:tc>
          <w:tcPr>
            <w:tcW w:w="3600" w:type="dxa"/>
            <w:vAlign w:val="bottom"/>
            <w:gridSpan w:val="2"/>
            <w:vMerge w:val="continue"/>
          </w:tcPr>
          <w:p>
            <w:pPr>
              <w:spacing w:after="0"/>
              <w:rPr>
                <w:sz w:val="14"/>
                <w:szCs w:val="14"/>
                <w:color w:val="auto"/>
              </w:rPr>
            </w:pPr>
          </w:p>
        </w:tc>
        <w:tc>
          <w:tcPr>
            <w:tcW w:w="1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4"/>
                <w:szCs w:val="14"/>
                <w:color w:val="auto"/>
              </w:rPr>
            </w:pPr>
          </w:p>
        </w:tc>
        <w:tc>
          <w:tcPr>
            <w:tcW w:w="1560" w:type="dxa"/>
            <w:vAlign w:val="bottom"/>
          </w:tcPr>
          <w:p>
            <w:pPr>
              <w:jc w:val="right"/>
              <w:ind w:right="262"/>
              <w:spacing w:after="0" w:line="168" w:lineRule="exact"/>
              <w:rPr>
                <w:sz w:val="20"/>
                <w:szCs w:val="20"/>
                <w:color w:val="auto"/>
              </w:rPr>
            </w:pPr>
            <w:r>
              <w:rPr>
                <w:rFonts w:ascii="Times New Roman" w:cs="Times New Roman" w:eastAsia="Times New Roman" w:hAnsi="Times New Roman"/>
                <w:sz w:val="16"/>
                <w:szCs w:val="16"/>
                <w:color w:val="auto"/>
              </w:rPr>
              <w:t>Per Share</w:t>
            </w:r>
          </w:p>
        </w:tc>
        <w:tc>
          <w:tcPr>
            <w:tcW w:w="1740" w:type="dxa"/>
            <w:vAlign w:val="bottom"/>
          </w:tcPr>
          <w:p>
            <w:pPr>
              <w:jc w:val="right"/>
              <w:ind w:right="62"/>
              <w:spacing w:after="0" w:line="168" w:lineRule="exact"/>
              <w:rPr>
                <w:sz w:val="20"/>
                <w:szCs w:val="20"/>
                <w:color w:val="auto"/>
              </w:rPr>
            </w:pPr>
            <w:r>
              <w:rPr>
                <w:rFonts w:ascii="Times New Roman" w:cs="Times New Roman" w:eastAsia="Times New Roman" w:hAnsi="Times New Roman"/>
                <w:sz w:val="16"/>
                <w:szCs w:val="16"/>
                <w:color w:val="auto"/>
              </w:rPr>
              <w:t>Programs</w:t>
            </w:r>
          </w:p>
        </w:tc>
        <w:tc>
          <w:tcPr>
            <w:tcW w:w="1580" w:type="dxa"/>
            <w:vAlign w:val="bottom"/>
          </w:tcPr>
          <w:p>
            <w:pPr>
              <w:jc w:val="right"/>
              <w:ind w:right="2"/>
              <w:spacing w:after="0" w:line="168" w:lineRule="exact"/>
              <w:rPr>
                <w:sz w:val="20"/>
                <w:szCs w:val="20"/>
                <w:color w:val="auto"/>
              </w:rPr>
            </w:pPr>
            <w:r>
              <w:rPr>
                <w:rFonts w:ascii="Times New Roman" w:cs="Times New Roman" w:eastAsia="Times New Roman" w:hAnsi="Times New Roman"/>
                <w:sz w:val="16"/>
                <w:szCs w:val="16"/>
                <w:color w:val="auto"/>
              </w:rPr>
              <w:t>the Plans or Programs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1, 2025 through July 31, 2025</w:t>
            </w:r>
          </w:p>
        </w:tc>
        <w:tc>
          <w:tcPr>
            <w:tcW w:w="186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August 1, 2025 through August 31, 2025</w:t>
            </w:r>
          </w:p>
        </w:tc>
        <w:tc>
          <w:tcPr>
            <w:tcW w:w="186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1, 2025 through September 30, 2025</w:t>
            </w:r>
          </w:p>
        </w:tc>
        <w:tc>
          <w:tcPr>
            <w:tcW w:w="186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74,292</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(1)On August 29, 2016, our Board of Directors authorized the repurchase of up to 217,692 shares of our common stock, or 5% of the Company’s shares outstanding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69</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6"/>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5040" w:type="dxa"/>
            <w:vAlign w:val="bottom"/>
            <w:gridSpan w:val="2"/>
            <w:vMerge w:val="restart"/>
          </w:tcPr>
          <w:p>
            <w:pPr>
              <w:spacing w:after="0"/>
              <w:rPr>
                <w:rFonts w:ascii="Times New Roman" w:cs="Times New Roman" w:eastAsia="Times New Roman" w:hAnsi="Times New Roman"/>
                <w:sz w:val="18"/>
                <w:szCs w:val="18"/>
                <w:color w:val="0000FF"/>
                <w:w w:val="99"/>
              </w:rPr>
            </w:pPr>
            <w:hyperlink w:anchor="page1">
              <w:r>
                <w:rPr>
                  <w:rFonts w:ascii="Times New Roman" w:cs="Times New Roman" w:eastAsia="Times New Roman" w:hAnsi="Times New Roman"/>
                  <w:sz w:val="18"/>
                  <w:szCs w:val="18"/>
                  <w:color w:val="0000FF"/>
                  <w:w w:val="99"/>
                </w:rPr>
                <w:t>Rule 13a-14(a)/15d-14(a) Certification of the Chief Executive Officer</w:t>
              </w:r>
            </w:hyperlink>
          </w:p>
        </w:tc>
        <w:tc>
          <w:tcPr>
            <w:tcW w:w="0" w:type="dxa"/>
            <w:vAlign w:val="bottom"/>
          </w:tcPr>
          <w:p>
            <w:pPr>
              <w:spacing w:after="0"/>
              <w:rPr>
                <w:sz w:val="1"/>
                <w:szCs w:val="1"/>
                <w:color w:val="auto"/>
              </w:rPr>
            </w:pPr>
          </w:p>
        </w:tc>
      </w:tr>
      <w:tr>
        <w:trPr>
          <w:trHeight w:val="200"/>
        </w:trPr>
        <w:tc>
          <w:tcPr>
            <w:tcW w:w="1320" w:type="dxa"/>
            <w:vAlign w:val="bottom"/>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0" w:type="dxa"/>
            <w:vAlign w:val="bottom"/>
            <w:vMerge w:val="continue"/>
          </w:tcPr>
          <w:p>
            <w:pPr>
              <w:spacing w:after="0"/>
              <w:rPr>
                <w:sz w:val="17"/>
                <w:szCs w:val="17"/>
                <w:color w:val="auto"/>
              </w:rPr>
            </w:pPr>
          </w:p>
        </w:tc>
        <w:tc>
          <w:tcPr>
            <w:tcW w:w="5040" w:type="dxa"/>
            <w:vAlign w:val="bottom"/>
            <w:tcBorders>
              <w:bottom w:val="single" w:sz="8" w:color="0000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2"/>
          </w:tcPr>
          <w:p>
            <w:pPr>
              <w:spacing w:after="0" w:line="176" w:lineRule="exact"/>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1440" w:hanging="1362"/>
        <w:spacing w:after="0"/>
        <w:tabs>
          <w:tab w:leader="none" w:pos="1440" w:val="left"/>
        </w:tabs>
        <w:numPr>
          <w:ilvl w:val="0"/>
          <w:numId w:val="11"/>
        </w:numPr>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Section 1350 Certification of the Chief Executive Officer and Chief Financial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-8890</wp:posOffset>
            </wp:positionV>
            <wp:extent cx="39103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10330" cy="7620"/>
                    </a:xfrm>
                    <a:prstGeom prst="rect">
                      <a:avLst/>
                    </a:prstGeom>
                    <a:noFill/>
                  </pic:spPr>
                </pic:pic>
              </a:graphicData>
            </a:graphic>
          </wp:anchor>
        </w:drawing>
      </w:r>
    </w:p>
    <w:p>
      <w:pPr>
        <w:spacing w:after="0" w:line="7" w:lineRule="exact"/>
        <w:rPr>
          <w:sz w:val="20"/>
          <w:szCs w:val="20"/>
          <w:color w:val="auto"/>
        </w:rPr>
      </w:pPr>
    </w:p>
    <w:p>
      <w:pPr>
        <w:jc w:val="both"/>
        <w:ind w:left="1500" w:right="300" w:hanging="1422"/>
        <w:spacing w:after="0" w:line="265" w:lineRule="auto"/>
        <w:tabs>
          <w:tab w:leader="none" w:pos="15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w:t>
      </w:r>
    </w:p>
    <w:p>
      <w:pPr>
        <w:ind w:left="1500" w:right="4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Consolidated Statements of Cash Flows, and (vi) the Notes to the Consolidated Financial Statements tagged as blocks of text.</w:t>
      </w:r>
    </w:p>
    <w:p>
      <w:pPr>
        <w:spacing w:after="0" w:line="84" w:lineRule="exact"/>
        <w:rPr>
          <w:sz w:val="20"/>
          <w:szCs w:val="20"/>
          <w:color w:val="auto"/>
        </w:rPr>
      </w:pPr>
    </w:p>
    <w:p>
      <w:pPr>
        <w:ind w:left="1500" w:hanging="1422"/>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rFonts w:ascii="Times New Roman" w:cs="Times New Roman" w:eastAsia="Times New Roman" w:hAnsi="Times New Roman"/>
          <w:sz w:val="18"/>
          <w:szCs w:val="18"/>
          <w:color w:val="auto"/>
        </w:rPr>
      </w:pPr>
    </w:p>
    <w:p>
      <w:pPr>
        <w:ind w:left="4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19"/>
                <w:szCs w:val="19"/>
                <w:color w:val="auto"/>
              </w:rPr>
            </w:pPr>
          </w:p>
        </w:tc>
        <w:tc>
          <w:tcPr>
            <w:tcW w:w="8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PATHFINDER BANCORP, INC.</w:t>
            </w:r>
          </w:p>
        </w:tc>
      </w:tr>
      <w:tr>
        <w:trPr>
          <w:trHeight w:val="234"/>
        </w:trPr>
        <w:tc>
          <w:tcPr>
            <w:tcW w:w="182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(registrant)</w:t>
            </w:r>
          </w:p>
        </w:tc>
      </w:tr>
      <w:tr>
        <w:trPr>
          <w:trHeight w:val="438"/>
        </w:trPr>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14, 2025</w:t>
            </w:r>
          </w:p>
        </w:tc>
        <w:tc>
          <w:tcPr>
            <w:tcW w:w="8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16"/>
        </w:trPr>
        <w:tc>
          <w:tcPr>
            <w:tcW w:w="18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1820" w:type="dxa"/>
            <w:vAlign w:val="bottom"/>
          </w:tcPr>
          <w:p>
            <w:pPr>
              <w:spacing w:after="0"/>
              <w:rPr>
                <w:sz w:val="20"/>
                <w:szCs w:val="20"/>
                <w:color w:val="auto"/>
              </w:rPr>
            </w:pPr>
          </w:p>
        </w:tc>
        <w:tc>
          <w:tcPr>
            <w:tcW w:w="8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6"/>
        </w:trPr>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14, 2025</w:t>
            </w:r>
          </w:p>
        </w:tc>
        <w:tc>
          <w:tcPr>
            <w:tcW w:w="8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16"/>
        </w:trPr>
        <w:tc>
          <w:tcPr>
            <w:tcW w:w="18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1820" w:type="dxa"/>
            <w:vAlign w:val="bottom"/>
          </w:tcPr>
          <w:p>
            <w:pPr>
              <w:spacing w:after="0"/>
              <w:rPr>
                <w:sz w:val="20"/>
                <w:szCs w:val="20"/>
                <w:color w:val="auto"/>
              </w:rPr>
            </w:pPr>
          </w:p>
        </w:tc>
        <w:tc>
          <w:tcPr>
            <w:tcW w:w="8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580"/>
        </w:trPr>
        <w:tc>
          <w:tcPr>
            <w:tcW w:w="1820" w:type="dxa"/>
            <w:vAlign w:val="bottom"/>
          </w:tcPr>
          <w:p>
            <w:pPr>
              <w:spacing w:after="0"/>
              <w:rPr>
                <w:sz w:val="24"/>
                <w:szCs w:val="24"/>
                <w:color w:val="auto"/>
              </w:rPr>
            </w:pPr>
          </w:p>
        </w:tc>
        <w:tc>
          <w:tcPr>
            <w:tcW w:w="8740" w:type="dxa"/>
            <w:vAlign w:val="bottom"/>
          </w:tcPr>
          <w:p>
            <w:pPr>
              <w:ind w:left="33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70</w:t>
            </w:r>
            <w:r>
              <w:rPr>
                <w:rFonts w:ascii="Times New Roman" w:cs="Times New Roman" w:eastAsia="Times New Roman" w:hAnsi="Times New Roman"/>
                <w:sz w:val="16"/>
                <w:szCs w:val="16"/>
                <w:color w:val="auto"/>
              </w:rPr>
              <w:t xml:space="preserve"> -</w:t>
            </w:r>
          </w:p>
        </w:tc>
      </w:tr>
      <w:tr>
        <w:trPr>
          <w:trHeight w:val="674"/>
        </w:trPr>
        <w:tc>
          <w:tcPr>
            <w:tcW w:w="1820" w:type="dxa"/>
            <w:vAlign w:val="bottom"/>
            <w:tcBorders>
              <w:bottom w:val="single" w:sz="8" w:color="EEEEEE"/>
            </w:tcBorders>
          </w:tcPr>
          <w:p>
            <w:pPr>
              <w:spacing w:after="0"/>
              <w:rPr>
                <w:sz w:val="24"/>
                <w:szCs w:val="24"/>
                <w:color w:val="auto"/>
              </w:rPr>
            </w:pPr>
          </w:p>
        </w:tc>
        <w:tc>
          <w:tcPr>
            <w:tcW w:w="8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EXHIBIT 31.1: Rule 13a-14(a) / 15d-14(a) Certification of the Chief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of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James A. Dowd, certify that: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1.I have reviewed this Quarterly Report on Form 10-Q of Pathfinder Bancorp, Inc.;</w:t>
      </w:r>
    </w:p>
    <w:p>
      <w:pPr>
        <w:spacing w:after="0" w:line="176" w:lineRule="exact"/>
        <w:rPr>
          <w:sz w:val="20"/>
          <w:szCs w:val="20"/>
          <w:color w:val="auto"/>
        </w:rPr>
      </w:pPr>
    </w:p>
    <w:p>
      <w:pPr>
        <w:ind w:left="180" w:right="8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sz w:val="20"/>
          <w:szCs w:val="20"/>
          <w:color w:val="auto"/>
        </w:rPr>
      </w:pPr>
    </w:p>
    <w:p>
      <w:pPr>
        <w:ind w:left="180" w:right="5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58" w:lineRule="exact"/>
        <w:rPr>
          <w:sz w:val="20"/>
          <w:szCs w:val="20"/>
          <w:color w:val="auto"/>
        </w:rPr>
      </w:pPr>
    </w:p>
    <w:p>
      <w:pPr>
        <w:ind w:left="1060" w:right="40"/>
        <w:spacing w:after="0" w:line="242"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sz w:val="20"/>
          <w:szCs w:val="20"/>
          <w:color w:val="auto"/>
        </w:rPr>
      </w:pPr>
    </w:p>
    <w:p>
      <w:pPr>
        <w:ind w:left="1060" w:right="380"/>
        <w:spacing w:after="0" w:line="234"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ind w:left="1060" w:right="80"/>
        <w:spacing w:after="0" w:line="234"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jc w:val="both"/>
        <w:ind w:left="1060" w:right="120"/>
        <w:spacing w:after="0" w:line="23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sz w:val="20"/>
          <w:szCs w:val="20"/>
          <w:color w:val="auto"/>
        </w:rPr>
      </w:pPr>
    </w:p>
    <w:p>
      <w:pPr>
        <w:ind w:left="1060"/>
        <w:spacing w:after="0" w:line="246"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40"/>
        <w:spacing w:after="0" w:line="238"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November 14, 2025</w:t>
            </w:r>
          </w:p>
        </w:tc>
        <w:tc>
          <w:tcPr>
            <w:tcW w:w="712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 James A. Dowd</w:t>
            </w:r>
          </w:p>
        </w:tc>
      </w:tr>
      <w:tr>
        <w:trPr>
          <w:trHeight w:val="180"/>
        </w:trPr>
        <w:tc>
          <w:tcPr>
            <w:tcW w:w="3440" w:type="dxa"/>
            <w:vAlign w:val="bottom"/>
          </w:tcPr>
          <w:p>
            <w:pPr>
              <w:spacing w:after="0"/>
              <w:rPr>
                <w:sz w:val="15"/>
                <w:szCs w:val="15"/>
                <w:color w:val="auto"/>
              </w:rPr>
            </w:pPr>
          </w:p>
        </w:tc>
        <w:tc>
          <w:tcPr>
            <w:tcW w:w="7120" w:type="dxa"/>
            <w:vAlign w:val="bottom"/>
          </w:tcPr>
          <w:p>
            <w:pPr>
              <w:ind w:left="1940"/>
              <w:spacing w:after="0" w:line="180" w:lineRule="exact"/>
              <w:rPr>
                <w:sz w:val="20"/>
                <w:szCs w:val="20"/>
                <w:color w:val="auto"/>
              </w:rPr>
            </w:pPr>
            <w:r>
              <w:rPr>
                <w:rFonts w:ascii="Times New Roman" w:cs="Times New Roman" w:eastAsia="Times New Roman" w:hAnsi="Times New Roman"/>
                <w:sz w:val="16"/>
                <w:szCs w:val="16"/>
                <w:color w:val="auto"/>
              </w:rPr>
              <w:t>James A. Dowd</w:t>
            </w:r>
          </w:p>
        </w:tc>
      </w:tr>
      <w:tr>
        <w:trPr>
          <w:trHeight w:val="203"/>
        </w:trPr>
        <w:tc>
          <w:tcPr>
            <w:tcW w:w="3440" w:type="dxa"/>
            <w:vAlign w:val="bottom"/>
          </w:tcPr>
          <w:p>
            <w:pPr>
              <w:spacing w:after="0"/>
              <w:rPr>
                <w:sz w:val="17"/>
                <w:szCs w:val="17"/>
                <w:color w:val="auto"/>
              </w:rPr>
            </w:pPr>
          </w:p>
        </w:tc>
        <w:tc>
          <w:tcPr>
            <w:tcW w:w="712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406"/>
        </w:trPr>
        <w:tc>
          <w:tcPr>
            <w:tcW w:w="3440" w:type="dxa"/>
            <w:vAlign w:val="bottom"/>
            <w:tcBorders>
              <w:bottom w:val="single" w:sz="8" w:color="EEEEEE"/>
            </w:tcBorders>
          </w:tcPr>
          <w:p>
            <w:pPr>
              <w:spacing w:after="0"/>
              <w:rPr>
                <w:sz w:val="24"/>
                <w:szCs w:val="24"/>
                <w:color w:val="auto"/>
              </w:rPr>
            </w:pPr>
          </w:p>
        </w:tc>
        <w:tc>
          <w:tcPr>
            <w:tcW w:w="7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EXHIBIT 31.2: Rule 13a-14(a) / 15d-14(a) Certification of the Chief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of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Justin K. Bigham, certify that: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Quarterly Report on Form 10-Q of Pathfinder Bancorp, Inc.;</w:t>
      </w:r>
    </w:p>
    <w:p>
      <w:pPr>
        <w:spacing w:after="0" w:line="176" w:lineRule="exact"/>
        <w:rPr>
          <w:sz w:val="20"/>
          <w:szCs w:val="20"/>
          <w:color w:val="auto"/>
        </w:rPr>
      </w:pPr>
    </w:p>
    <w:p>
      <w:pPr>
        <w:ind w:left="360" w:right="28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sz w:val="20"/>
          <w:szCs w:val="20"/>
          <w:color w:val="auto"/>
        </w:rPr>
      </w:pPr>
    </w:p>
    <w:p>
      <w:pPr>
        <w:ind w:left="1060" w:right="140"/>
        <w:spacing w:after="0" w:line="242"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sz w:val="20"/>
          <w:szCs w:val="20"/>
          <w:color w:val="auto"/>
        </w:rPr>
      </w:pPr>
    </w:p>
    <w:p>
      <w:pPr>
        <w:ind w:left="1060" w:right="80"/>
        <w:spacing w:after="0" w:line="234"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jc w:val="both"/>
        <w:ind w:left="1060" w:right="180"/>
        <w:spacing w:after="0" w:line="234"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jc w:val="both"/>
        <w:ind w:left="1060" w:right="160"/>
        <w:spacing w:after="0" w:line="23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sz w:val="20"/>
          <w:szCs w:val="20"/>
          <w:color w:val="auto"/>
        </w:rPr>
      </w:pPr>
    </w:p>
    <w:p>
      <w:pPr>
        <w:ind w:left="1060" w:right="100"/>
        <w:spacing w:after="0" w:line="246"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140"/>
        <w:spacing w:after="0" w:line="238"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November 14, 2025</w:t>
            </w:r>
          </w:p>
        </w:tc>
        <w:tc>
          <w:tcPr>
            <w:tcW w:w="72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 Justin K. Bigham</w:t>
            </w:r>
          </w:p>
        </w:tc>
      </w:tr>
      <w:tr>
        <w:trPr>
          <w:trHeight w:val="180"/>
        </w:trPr>
        <w:tc>
          <w:tcPr>
            <w:tcW w:w="3280" w:type="dxa"/>
            <w:vAlign w:val="bottom"/>
          </w:tcPr>
          <w:p>
            <w:pPr>
              <w:spacing w:after="0"/>
              <w:rPr>
                <w:sz w:val="15"/>
                <w:szCs w:val="15"/>
                <w:color w:val="auto"/>
              </w:rPr>
            </w:pPr>
          </w:p>
        </w:tc>
        <w:tc>
          <w:tcPr>
            <w:tcW w:w="7280" w:type="dxa"/>
            <w:vAlign w:val="bottom"/>
          </w:tcPr>
          <w:p>
            <w:pPr>
              <w:ind w:left="1940"/>
              <w:spacing w:after="0" w:line="180" w:lineRule="exact"/>
              <w:rPr>
                <w:sz w:val="20"/>
                <w:szCs w:val="20"/>
                <w:color w:val="auto"/>
              </w:rPr>
            </w:pPr>
            <w:r>
              <w:rPr>
                <w:rFonts w:ascii="Times New Roman" w:cs="Times New Roman" w:eastAsia="Times New Roman" w:hAnsi="Times New Roman"/>
                <w:sz w:val="16"/>
                <w:szCs w:val="16"/>
                <w:color w:val="auto"/>
              </w:rPr>
              <w:t>Justin K. Bigham</w:t>
            </w:r>
          </w:p>
        </w:tc>
      </w:tr>
      <w:tr>
        <w:trPr>
          <w:trHeight w:val="203"/>
        </w:trPr>
        <w:tc>
          <w:tcPr>
            <w:tcW w:w="3280" w:type="dxa"/>
            <w:vAlign w:val="bottom"/>
          </w:tcPr>
          <w:p>
            <w:pPr>
              <w:spacing w:after="0"/>
              <w:rPr>
                <w:sz w:val="17"/>
                <w:szCs w:val="17"/>
                <w:color w:val="auto"/>
              </w:rPr>
            </w:pPr>
          </w:p>
        </w:tc>
        <w:tc>
          <w:tcPr>
            <w:tcW w:w="72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1406"/>
        </w:trPr>
        <w:tc>
          <w:tcPr>
            <w:tcW w:w="3280" w:type="dxa"/>
            <w:vAlign w:val="bottom"/>
            <w:tcBorders>
              <w:bottom w:val="single" w:sz="8" w:color="EEEEEE"/>
            </w:tcBorders>
          </w:tcPr>
          <w:p>
            <w:pPr>
              <w:spacing w:after="0"/>
              <w:rPr>
                <w:sz w:val="24"/>
                <w:szCs w:val="24"/>
                <w:color w:val="auto"/>
              </w:rPr>
            </w:pPr>
          </w:p>
        </w:tc>
        <w:tc>
          <w:tcPr>
            <w:tcW w:w="7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1" w:right="6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color w:val="auto"/>
        </w:rPr>
        <w:t>EXHIBIT 32 Section 1350 Certification of the Chief Executive Officer and Chief Financial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pursuant to 18 U.S.C. §1350, as adopted pursuant to §906 of the Sarbanes-Oxley Act of 2002</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Pathfinder Bancorp, Inc. (the “Company”) on Form 10-Q for the period ended September 30, 2025 as filed with the Securities and Exchange Commission (the “Report”), the undersigned hereby certify, pursuant to 18 U.S.C. §1350, as adopted pursuant to §906 of the Sarbanes-Oxley Act of 2002, that:</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Sections 13(a) or 15(d) of the Securities Exchange Act of 1934; and</w:t>
      </w:r>
    </w:p>
    <w:p>
      <w:pPr>
        <w:spacing w:after="0" w:line="176" w:lineRule="exact"/>
        <w:rPr>
          <w:sz w:val="20"/>
          <w:szCs w:val="20"/>
          <w:color w:val="auto"/>
        </w:rPr>
      </w:pPr>
    </w:p>
    <w:p>
      <w:pPr>
        <w:ind w:left="180" w:right="220"/>
        <w:spacing w:after="0" w:line="259" w:lineRule="auto"/>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 as of and for the period covered by the Report.</w:t>
      </w:r>
    </w:p>
    <w:p>
      <w:pPr>
        <w:spacing w:after="0" w:line="14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purpose of this statement is solely to comply with Title 18, Chapter 63, Section 1350 of the United States Code, as amended by Section 906 of the Sarbanes-Oxley Act of 2002.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November 14, 2025</w:t>
            </w:r>
          </w:p>
        </w:tc>
        <w:tc>
          <w:tcPr>
            <w:tcW w:w="72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 James A. Dowd</w:t>
            </w:r>
          </w:p>
        </w:tc>
      </w:tr>
      <w:tr>
        <w:trPr>
          <w:trHeight w:val="180"/>
        </w:trPr>
        <w:tc>
          <w:tcPr>
            <w:tcW w:w="3360" w:type="dxa"/>
            <w:vAlign w:val="bottom"/>
          </w:tcPr>
          <w:p>
            <w:pPr>
              <w:spacing w:after="0"/>
              <w:rPr>
                <w:sz w:val="15"/>
                <w:szCs w:val="15"/>
                <w:color w:val="auto"/>
              </w:rPr>
            </w:pPr>
          </w:p>
        </w:tc>
        <w:tc>
          <w:tcPr>
            <w:tcW w:w="7200" w:type="dxa"/>
            <w:vAlign w:val="bottom"/>
          </w:tcPr>
          <w:p>
            <w:pPr>
              <w:ind w:left="1860"/>
              <w:spacing w:after="0" w:line="180" w:lineRule="exact"/>
              <w:rPr>
                <w:sz w:val="20"/>
                <w:szCs w:val="20"/>
                <w:color w:val="auto"/>
              </w:rPr>
            </w:pPr>
            <w:r>
              <w:rPr>
                <w:rFonts w:ascii="Times New Roman" w:cs="Times New Roman" w:eastAsia="Times New Roman" w:hAnsi="Times New Roman"/>
                <w:sz w:val="16"/>
                <w:szCs w:val="16"/>
                <w:color w:val="auto"/>
              </w:rPr>
              <w:t>James A. Dowd</w:t>
            </w:r>
          </w:p>
        </w:tc>
      </w:tr>
      <w:tr>
        <w:trPr>
          <w:trHeight w:val="203"/>
        </w:trPr>
        <w:tc>
          <w:tcPr>
            <w:tcW w:w="3360" w:type="dxa"/>
            <w:vAlign w:val="bottom"/>
          </w:tcPr>
          <w:p>
            <w:pPr>
              <w:spacing w:after="0"/>
              <w:rPr>
                <w:sz w:val="17"/>
                <w:szCs w:val="17"/>
                <w:color w:val="auto"/>
              </w:rPr>
            </w:pPr>
          </w:p>
        </w:tc>
        <w:tc>
          <w:tcPr>
            <w:tcW w:w="72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37"/>
        </w:trPr>
        <w:tc>
          <w:tcPr>
            <w:tcW w:w="3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November 14, 2025</w:t>
            </w:r>
          </w:p>
        </w:tc>
        <w:tc>
          <w:tcPr>
            <w:tcW w:w="72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 Justin K. Bigham</w:t>
            </w:r>
          </w:p>
        </w:tc>
      </w:tr>
      <w:tr>
        <w:trPr>
          <w:trHeight w:val="180"/>
        </w:trPr>
        <w:tc>
          <w:tcPr>
            <w:tcW w:w="3360" w:type="dxa"/>
            <w:vAlign w:val="bottom"/>
          </w:tcPr>
          <w:p>
            <w:pPr>
              <w:spacing w:after="0"/>
              <w:rPr>
                <w:sz w:val="15"/>
                <w:szCs w:val="15"/>
                <w:color w:val="auto"/>
              </w:rPr>
            </w:pPr>
          </w:p>
        </w:tc>
        <w:tc>
          <w:tcPr>
            <w:tcW w:w="7200" w:type="dxa"/>
            <w:vAlign w:val="bottom"/>
          </w:tcPr>
          <w:p>
            <w:pPr>
              <w:ind w:left="1860"/>
              <w:spacing w:after="0" w:line="180" w:lineRule="exact"/>
              <w:rPr>
                <w:sz w:val="20"/>
                <w:szCs w:val="20"/>
                <w:color w:val="auto"/>
              </w:rPr>
            </w:pPr>
            <w:r>
              <w:rPr>
                <w:rFonts w:ascii="Times New Roman" w:cs="Times New Roman" w:eastAsia="Times New Roman" w:hAnsi="Times New Roman"/>
                <w:sz w:val="16"/>
                <w:szCs w:val="16"/>
                <w:color w:val="auto"/>
              </w:rPr>
              <w:t>Justin K. Bigham</w:t>
            </w:r>
          </w:p>
        </w:tc>
      </w:tr>
      <w:tr>
        <w:trPr>
          <w:trHeight w:val="203"/>
        </w:trPr>
        <w:tc>
          <w:tcPr>
            <w:tcW w:w="3360" w:type="dxa"/>
            <w:vAlign w:val="bottom"/>
          </w:tcPr>
          <w:p>
            <w:pPr>
              <w:spacing w:after="0"/>
              <w:rPr>
                <w:sz w:val="17"/>
                <w:szCs w:val="17"/>
                <w:color w:val="auto"/>
              </w:rPr>
            </w:pPr>
          </w:p>
        </w:tc>
        <w:tc>
          <w:tcPr>
            <w:tcW w:w="72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1586"/>
        </w:trPr>
        <w:tc>
          <w:tcPr>
            <w:tcW w:w="3360" w:type="dxa"/>
            <w:vAlign w:val="bottom"/>
            <w:tcBorders>
              <w:bottom w:val="single" w:sz="8" w:color="EEEEEE"/>
            </w:tcBorders>
          </w:tcPr>
          <w:p>
            <w:pPr>
              <w:spacing w:after="0"/>
              <w:rPr>
                <w:sz w:val="24"/>
                <w:szCs w:val="24"/>
                <w:color w:val="auto"/>
              </w:rPr>
            </w:pPr>
          </w:p>
        </w:tc>
        <w:tc>
          <w:tcPr>
            <w:tcW w:w="7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74" w:name="page75"/>
    <w:bookmarkEnd w:id="7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lvl w:ilvl="1">
      <w:lvlJc w:val="left"/>
      <w:lvlText w:val="-"/>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bullet"/>
      <w:start w:val="1"/>
    </w:lvl>
    <w:lvl w:ilvl="1">
      <w:lvlJc w:val="left"/>
      <w:lvlText w:val="-"/>
      <w:numFmt w:val="bullet"/>
      <w:start w:val="1"/>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01"/>
    </w:lvl>
  </w:abstractNum>
  <w:abstractNum w:abstractNumId="12">
    <w:nsid w:val="3352255A"/>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2025-11-14T11:18:29Z</dcterms:created>
  <dcterms:modified xsi:type="dcterms:W3CDTF">2025-11-14T11:18:29Z</dcterms:modified>
</cp:coreProperties>
</file>