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 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90170</wp:posOffset>
            </wp:positionV>
            <wp:extent cx="3566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6" w:lineRule="exact"/>
        <w:rPr>
          <w:sz w:val="24"/>
          <w:szCs w:val="24"/>
          <w:color w:val="auto"/>
        </w:rPr>
      </w:pPr>
    </w:p>
    <w:p>
      <w:pPr>
        <w:ind w:left="3000" w:hanging="407"/>
        <w:spacing w:after="0"/>
        <w:tabs>
          <w:tab w:leader="none" w:pos="30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QUARTERLY REPORT PURSUANT TO SECTION 13 OR 15(d) OF THE</w:t>
      </w:r>
    </w:p>
    <w:p>
      <w:pPr>
        <w:spacing w:after="0" w:line="29" w:lineRule="exact"/>
        <w:rPr>
          <w:rFonts w:ascii="MS PGothic" w:cs="MS PGothic" w:eastAsia="MS PGothic" w:hAnsi="MS PGothic"/>
          <w:sz w:val="18"/>
          <w:szCs w:val="18"/>
          <w:color w:val="auto"/>
          <w:highlight w:val="black"/>
        </w:rPr>
      </w:pPr>
    </w:p>
    <w:p>
      <w:pPr>
        <w:ind w:left="41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SECURITIES EXCHANGE ACT OF 1934</w:t>
      </w:r>
    </w:p>
    <w:p>
      <w:pPr>
        <w:spacing w:after="0" w:line="43"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For the quarterly period ended June 30, 2024</w:t>
      </w:r>
    </w:p>
    <w:p>
      <w:pPr>
        <w:spacing w:after="0" w:line="131"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8"/>
          <w:szCs w:val="18"/>
          <w:color w:val="auto"/>
        </w:rPr>
        <w:t>OR</w:t>
      </w:r>
    </w:p>
    <w:p>
      <w:pPr>
        <w:spacing w:after="0" w:line="131" w:lineRule="exact"/>
        <w:rPr>
          <w:sz w:val="24"/>
          <w:szCs w:val="24"/>
          <w:color w:val="auto"/>
        </w:rPr>
      </w:pPr>
    </w:p>
    <w:p>
      <w:pPr>
        <w:ind w:left="2980" w:hanging="387"/>
        <w:spacing w:after="0"/>
        <w:tabs>
          <w:tab w:leader="none" w:pos="2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w:t>
      </w:r>
    </w:p>
    <w:p>
      <w:pPr>
        <w:spacing w:after="0" w:line="29" w:lineRule="exact"/>
        <w:rPr>
          <w:rFonts w:ascii="MS PGothic" w:cs="MS PGothic" w:eastAsia="MS PGothic" w:hAnsi="MS PGothic"/>
          <w:sz w:val="18"/>
          <w:szCs w:val="18"/>
          <w:color w:val="auto"/>
        </w:rPr>
      </w:pPr>
    </w:p>
    <w:p>
      <w:pPr>
        <w:ind w:left="41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SECURITIES EXCHANGE ACT OF 1934</w:t>
      </w:r>
    </w:p>
    <w:p>
      <w:pPr>
        <w:spacing w:after="0" w:line="4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For the transition period from _______ to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128905</wp:posOffset>
            </wp:positionV>
            <wp:extent cx="3566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222885</wp:posOffset>
            </wp:positionV>
            <wp:extent cx="1825625"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562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113030</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p>
      <w:pPr>
        <w:spacing w:after="0" w:line="318"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i w:val="1"/>
          <w:iCs w:val="1"/>
          <w:color w:val="auto"/>
        </w:rPr>
        <w:t>(State of Other Jurisdiction of Incorporation)</w:t>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001-36695</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i w:val="1"/>
          <w:iCs w:val="1"/>
          <w:color w:val="auto"/>
        </w:rPr>
        <w:t>(Commission File No.)</w:t>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38-3941859</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p>
      <w:pPr>
        <w:spacing w:after="0" w:line="108" w:lineRule="exact"/>
        <w:rPr>
          <w:sz w:val="24"/>
          <w:szCs w:val="24"/>
          <w:color w:val="auto"/>
        </w:rPr>
      </w:pPr>
    </w:p>
    <w:p>
      <w:pPr>
        <w:sectPr>
          <w:pgSz w:w="11900" w:h="16838" w:orient="portrait"/>
          <w:cols w:equalWidth="0" w:num="3">
            <w:col w:w="4080" w:space="720"/>
            <w:col w:w="2180" w:space="720"/>
            <w:col w:w="3540"/>
          </w:cols>
          <w:pgMar w:left="320" w:top="1215" w:right="339" w:bottom="1440" w:gutter="0" w:footer="0" w:header="0"/>
          <w:type w:val="continuous"/>
        </w:sectPr>
      </w:pPr>
    </w:p>
    <w:p>
      <w:pPr>
        <w:ind w:left="4820"/>
        <w:spacing w:after="0"/>
        <w:rPr>
          <w:sz w:val="20"/>
          <w:szCs w:val="20"/>
          <w:color w:val="auto"/>
        </w:rPr>
      </w:pPr>
      <w:r>
        <w:rPr>
          <w:rFonts w:ascii="Times New Roman" w:cs="Times New Roman" w:eastAsia="Times New Roman" w:hAnsi="Times New Roman"/>
          <w:sz w:val="18"/>
          <w:szCs w:val="18"/>
          <w:b w:val="1"/>
          <w:bCs w:val="1"/>
          <w:color w:val="auto"/>
        </w:rPr>
        <w:t>214 West First Street</w:t>
      </w:r>
    </w:p>
    <w:p>
      <w:pPr>
        <w:spacing w:after="0" w:line="3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Oswego, NY 13126</w:t>
      </w:r>
    </w:p>
    <w:p>
      <w:pPr>
        <w:spacing w:after="0" w:line="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(315) 343-0057</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(Address, including zip code, and telephone number, including area code, of registrant’s principal executive offices)</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7" w:lineRule="exact"/>
        <w:rPr>
          <w:sz w:val="24"/>
          <w:szCs w:val="24"/>
          <w:color w:val="auto"/>
        </w:rPr>
      </w:pPr>
    </w:p>
    <w:tbl>
      <w:tblPr>
        <w:tblLayout w:type="fixed"/>
        <w:tblInd w:w="126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252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63"/>
        </w:trPr>
        <w:tc>
          <w:tcPr>
            <w:tcW w:w="306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600" w:type="dxa"/>
            <w:vAlign w:val="bottom"/>
          </w:tcPr>
          <w:p>
            <w:pPr>
              <w:spacing w:after="0"/>
              <w:rPr>
                <w:sz w:val="22"/>
                <w:szCs w:val="22"/>
                <w:color w:val="auto"/>
              </w:rPr>
            </w:pPr>
          </w:p>
        </w:tc>
        <w:tc>
          <w:tcPr>
            <w:tcW w:w="18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PBHC</w:t>
            </w:r>
          </w:p>
        </w:tc>
        <w:tc>
          <w:tcPr>
            <w:tcW w:w="38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p>
      <w:pPr>
        <w:ind w:left="180"/>
        <w:spacing w:after="0" w:line="207" w:lineRule="exact"/>
        <w:tabs>
          <w:tab w:leader="none" w:pos="2280" w:val="left"/>
          <w:tab w:leader="none" w:pos="4020" w:val="left"/>
          <w:tab w:leader="none" w:pos="6160" w:val="left"/>
          <w:tab w:leader="none" w:pos="88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tabs>
          <w:tab w:leader="none" w:pos="90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6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August 9, 2024, there were 4,719,788 shares outstanding of the registrant’s Voting common stock and 1,380,283 shares outstanding of the registrant’s Series A Non-Voting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jc w:val="center"/>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620" w:type="dxa"/>
            <w:vAlign w:val="bottom"/>
            <w:gridSpan w:val="22"/>
          </w:tcPr>
          <w:p>
            <w:pPr>
              <w:ind w:left="20"/>
              <w:spacing w:after="0"/>
              <w:rPr>
                <w:sz w:val="20"/>
                <w:szCs w:val="20"/>
                <w:color w:val="auto"/>
              </w:rPr>
            </w:pPr>
            <w:r>
              <w:rPr>
                <w:rFonts w:ascii="Times New Roman" w:cs="Times New Roman" w:eastAsia="Times New Roman" w:hAnsi="Times New Roman"/>
                <w:sz w:val="20"/>
                <w:szCs w:val="20"/>
                <w:color w:val="auto"/>
              </w:rPr>
              <w:t>PART I - FINANCIAL INFORMATION</w:t>
            </w:r>
          </w:p>
        </w:tc>
        <w:tc>
          <w:tcPr>
            <w:tcW w:w="16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PAGE NO.</w:t>
            </w:r>
          </w:p>
        </w:tc>
      </w:tr>
      <w:tr>
        <w:trPr>
          <w:trHeight w:val="763"/>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37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8"/>
              </w:rPr>
              <w:t>Consolidated Financial Statements (Unaudited)</w:t>
            </w:r>
          </w:p>
        </w:tc>
        <w:tc>
          <w:tcPr>
            <w:tcW w:w="4940" w:type="dxa"/>
            <w:vAlign w:val="bottom"/>
            <w:gridSpan w:val="7"/>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Consolidated Statements of Condition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rPr>
              <w:t>Consolidated Statements of Income</w:t>
            </w:r>
          </w:p>
        </w:tc>
        <w:tc>
          <w:tcPr>
            <w:tcW w:w="5680" w:type="dxa"/>
            <w:vAlign w:val="bottom"/>
            <w:gridSpan w:val="10"/>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w w:val="98"/>
              </w:rPr>
              <w:t>Consolidated Statements of Comprehensive Income (Loss)</w:t>
            </w:r>
          </w:p>
        </w:tc>
        <w:tc>
          <w:tcPr>
            <w:tcW w:w="20" w:type="dxa"/>
            <w:vAlign w:val="bottom"/>
            <w:tcBorders>
              <w:bottom w:val="single" w:sz="8" w:color="0000EE"/>
            </w:tcBorders>
          </w:tcPr>
          <w:p>
            <w:pPr>
              <w:spacing w:after="0"/>
              <w:rPr>
                <w:sz w:val="20"/>
                <w:szCs w:val="20"/>
                <w:color w:val="auto"/>
              </w:rPr>
            </w:pPr>
          </w:p>
        </w:tc>
        <w:tc>
          <w:tcPr>
            <w:tcW w:w="4000" w:type="dxa"/>
            <w:vAlign w:val="bottom"/>
            <w:gridSpan w:val="5"/>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w w:val="98"/>
              </w:rPr>
              <w:t>Consolidated Statements of Changes in Shareholders' Equity</w:t>
            </w:r>
          </w:p>
        </w:tc>
        <w:tc>
          <w:tcPr>
            <w:tcW w:w="3880" w:type="dxa"/>
            <w:vAlign w:val="bottom"/>
            <w:gridSpan w:val="2"/>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Consolidated Statements of Cash Flows</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gridSpan w:val="4"/>
            <w:shd w:val="clear" w:color="auto" w:fill="0000FF"/>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93"/>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81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w w:val="98"/>
              </w:rPr>
              <w:t>Management's Discussion and Analysis of Financial Condition and Results of Operations (Unaudited)</w:t>
            </w:r>
          </w:p>
        </w:tc>
        <w:tc>
          <w:tcPr>
            <w:tcW w:w="6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493"/>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3.</w:t>
            </w:r>
          </w:p>
        </w:tc>
        <w:tc>
          <w:tcPr>
            <w:tcW w:w="48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w w:val="98"/>
              </w:rPr>
              <w:t>Quantitative and Qualitative Disclosures About Market Risk</w:t>
            </w:r>
          </w:p>
        </w:tc>
        <w:tc>
          <w:tcPr>
            <w:tcW w:w="3900" w:type="dxa"/>
            <w:vAlign w:val="bottom"/>
            <w:gridSpan w:val="3"/>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493"/>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4.</w:t>
            </w:r>
          </w:p>
        </w:tc>
        <w:tc>
          <w:tcPr>
            <w:tcW w:w="1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8"/>
              </w:rPr>
              <w:t>Controls and Procedures</w:t>
            </w:r>
          </w:p>
        </w:tc>
        <w:tc>
          <w:tcPr>
            <w:tcW w:w="20" w:type="dxa"/>
            <w:vAlign w:val="bottom"/>
            <w:tcBorders>
              <w:bottom w:val="single" w:sz="8" w:color="0000EE"/>
            </w:tcBorders>
          </w:tcPr>
          <w:p>
            <w:pPr>
              <w:spacing w:after="0"/>
              <w:rPr>
                <w:sz w:val="24"/>
                <w:szCs w:val="24"/>
                <w:color w:val="auto"/>
              </w:rPr>
            </w:pPr>
          </w:p>
        </w:tc>
        <w:tc>
          <w:tcPr>
            <w:tcW w:w="6720" w:type="dxa"/>
            <w:vAlign w:val="bottom"/>
            <w:gridSpan w:val="13"/>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540"/>
        </w:trPr>
        <w:tc>
          <w:tcPr>
            <w:tcW w:w="9620" w:type="dxa"/>
            <w:vAlign w:val="bottom"/>
            <w:gridSpan w:val="22"/>
          </w:tcPr>
          <w:p>
            <w:pPr>
              <w:ind w:left="20"/>
              <w:spacing w:after="0"/>
              <w:rPr>
                <w:sz w:val="20"/>
                <w:szCs w:val="20"/>
                <w:color w:val="auto"/>
              </w:rPr>
            </w:pPr>
            <w:r>
              <w:rPr>
                <w:rFonts w:ascii="Times New Roman" w:cs="Times New Roman" w:eastAsia="Times New Roman" w:hAnsi="Times New Roman"/>
                <w:sz w:val="20"/>
                <w:szCs w:val="20"/>
                <w:color w:val="auto"/>
              </w:rPr>
              <w:t>PART II - OTHER INFORMATION</w:t>
            </w:r>
          </w:p>
        </w:tc>
        <w:tc>
          <w:tcPr>
            <w:tcW w:w="1620" w:type="dxa"/>
            <w:vAlign w:val="bottom"/>
          </w:tcPr>
          <w:p>
            <w:pPr>
              <w:spacing w:after="0"/>
              <w:rPr>
                <w:sz w:val="24"/>
                <w:szCs w:val="24"/>
                <w:color w:val="auto"/>
              </w:rPr>
            </w:pPr>
          </w:p>
        </w:tc>
      </w:tr>
      <w:tr>
        <w:trPr>
          <w:trHeight w:val="466"/>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14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8"/>
              </w:rPr>
              <w:t>Legal Proceedings</w:t>
            </w:r>
          </w:p>
        </w:tc>
        <w:tc>
          <w:tcPr>
            <w:tcW w:w="7220" w:type="dxa"/>
            <w:vAlign w:val="bottom"/>
            <w:gridSpan w:val="15"/>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3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1A.</w:t>
            </w: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Risk Factor</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6"/>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Unregistered Sales of Equity Securities and Use of Proceeds</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3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3.</w:t>
            </w:r>
          </w:p>
        </w:tc>
        <w:tc>
          <w:tcPr>
            <w:tcW w:w="25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8"/>
              </w:rPr>
              <w:t>Defaults upon Senior Securities</w:t>
            </w:r>
          </w:p>
        </w:tc>
        <w:tc>
          <w:tcPr>
            <w:tcW w:w="2260" w:type="dxa"/>
            <w:vAlign w:val="bottom"/>
            <w:tcBorders>
              <w:top w:val="single" w:sz="8" w:color="0000FF"/>
            </w:tcBorders>
            <w:gridSpan w:val="8"/>
          </w:tcPr>
          <w:p>
            <w:pPr>
              <w:spacing w:after="0"/>
              <w:rPr>
                <w:sz w:val="20"/>
                <w:szCs w:val="20"/>
                <w:color w:val="auto"/>
              </w:rPr>
            </w:pPr>
          </w:p>
        </w:tc>
        <w:tc>
          <w:tcPr>
            <w:tcW w:w="3920" w:type="dxa"/>
            <w:vAlign w:val="bottom"/>
            <w:gridSpan w:val="4"/>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36"/>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4.</w:t>
            </w:r>
          </w:p>
        </w:tc>
        <w:tc>
          <w:tcPr>
            <w:tcW w:w="1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8"/>
              </w:rPr>
              <w:t>Mine Safety Disclosures</w:t>
            </w:r>
          </w:p>
        </w:tc>
        <w:tc>
          <w:tcPr>
            <w:tcW w:w="6740" w:type="dxa"/>
            <w:vAlign w:val="bottom"/>
            <w:gridSpan w:val="14"/>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3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5.</w:t>
            </w: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36"/>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6.</w:t>
            </w:r>
          </w:p>
        </w:tc>
        <w:tc>
          <w:tcPr>
            <w:tcW w:w="14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Exhibits</w:t>
            </w:r>
          </w:p>
        </w:tc>
        <w:tc>
          <w:tcPr>
            <w:tcW w:w="7260" w:type="dxa"/>
            <w:vAlign w:val="bottom"/>
            <w:gridSpan w:val="16"/>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40" w:type="dxa"/>
            <w:vAlign w:val="bottom"/>
            <w:gridSpan w:val="18"/>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93"/>
        </w:trPr>
        <w:tc>
          <w:tcPr>
            <w:tcW w:w="9620" w:type="dxa"/>
            <w:vAlign w:val="bottom"/>
            <w:gridSpan w:val="22"/>
          </w:tcPr>
          <w:p>
            <w:pPr>
              <w:ind w:left="20"/>
              <w:spacing w:after="0"/>
              <w:rPr>
                <w:sz w:val="20"/>
                <w:szCs w:val="20"/>
                <w:color w:val="auto"/>
              </w:rPr>
            </w:pPr>
            <w:r>
              <w:rPr>
                <w:rFonts w:ascii="Times New Roman" w:cs="Times New Roman" w:eastAsia="Times New Roman" w:hAnsi="Times New Roman"/>
                <w:sz w:val="20"/>
                <w:szCs w:val="20"/>
                <w:color w:val="0000FF"/>
              </w:rPr>
              <w:t>SIGNATURES</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1256"/>
        </w:trPr>
        <w:tc>
          <w:tcPr>
            <w:tcW w:w="20" w:type="dxa"/>
            <w:vAlign w:val="bottom"/>
            <w:tcBorders>
              <w:bottom w:val="single" w:sz="8" w:color="9A9A9A"/>
            </w:tcBorders>
          </w:tcPr>
          <w:p>
            <w:pPr>
              <w:spacing w:after="0"/>
              <w:rPr>
                <w:sz w:val="24"/>
                <w:szCs w:val="24"/>
                <w:color w:val="auto"/>
              </w:rPr>
            </w:pPr>
          </w:p>
        </w:tc>
        <w:tc>
          <w:tcPr>
            <w:tcW w:w="90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 Consolidated Financial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Condition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June 30,</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December 31,</w:t>
            </w:r>
          </w:p>
        </w:tc>
      </w:tr>
      <w:tr>
        <w:trPr>
          <w:trHeight w:val="236"/>
        </w:trPr>
        <w:tc>
          <w:tcPr>
            <w:tcW w:w="76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2023</w:t>
            </w:r>
          </w:p>
        </w:tc>
      </w:tr>
      <w:tr>
        <w:trPr>
          <w:trHeight w:val="176"/>
        </w:trPr>
        <w:tc>
          <w:tcPr>
            <w:tcW w:w="762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ASSETS:</w:t>
            </w: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8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20" w:type="dxa"/>
            <w:vAlign w:val="bottom"/>
            <w:shd w:val="clear" w:color="auto" w:fill="CFF0FC"/>
          </w:tcPr>
          <w:p>
            <w:pPr>
              <w:spacing w:after="0"/>
              <w:rPr>
                <w:sz w:val="19"/>
                <w:szCs w:val="19"/>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Cash and due from banks</w:t>
            </w:r>
          </w:p>
        </w:tc>
        <w:tc>
          <w:tcPr>
            <w:tcW w:w="11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12,022</w:t>
            </w: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12,338</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Interest-earning deposits</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19,797</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36,394</w:t>
            </w:r>
          </w:p>
        </w:tc>
      </w:tr>
      <w:tr>
        <w:trPr>
          <w:trHeight w:val="223"/>
        </w:trPr>
        <w:tc>
          <w:tcPr>
            <w:tcW w:w="20" w:type="dxa"/>
            <w:vAlign w:val="bottom"/>
            <w:tcBorders>
              <w:bottom w:val="single" w:sz="8" w:color="auto"/>
            </w:tcBorders>
            <w:shd w:val="clear" w:color="auto" w:fill="CFF0FC"/>
          </w:tcPr>
          <w:p>
            <w:pPr>
              <w:spacing w:after="0"/>
              <w:rPr>
                <w:sz w:val="19"/>
                <w:szCs w:val="19"/>
                <w:color w:val="auto"/>
              </w:rPr>
            </w:pPr>
          </w:p>
        </w:tc>
        <w:tc>
          <w:tcPr>
            <w:tcW w:w="7600" w:type="dxa"/>
            <w:vAlign w:val="bottom"/>
            <w:tcBorders>
              <w:bottom w:val="single" w:sz="8" w:color="auto"/>
            </w:tcBorders>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1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31,819</w:t>
            </w: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48,732</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Available-for-sale securities, at fair value</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274,977</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258,716</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Held-to-maturity securities, at amortized cost (fair value of $156,280 and $168,034, respectively)</w:t>
            </w: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166,271</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179,286</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Marketable equity securities, at fair value</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3,793</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3,206</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Federal Home Loan Bank stock, at cost</w:t>
            </w: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8,702</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8,748</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Loans</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888,263</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897,207</w:t>
            </w:r>
          </w:p>
        </w:tc>
      </w:tr>
      <w:tr>
        <w:trPr>
          <w:trHeight w:val="233"/>
        </w:trPr>
        <w:tc>
          <w:tcPr>
            <w:tcW w:w="20" w:type="dxa"/>
            <w:vAlign w:val="bottom"/>
            <w:tcBorders>
              <w:bottom w:val="single" w:sz="8" w:color="auto"/>
            </w:tcBorders>
            <w:shd w:val="clear" w:color="auto" w:fill="CFF0FC"/>
          </w:tcPr>
          <w:p>
            <w:pPr>
              <w:spacing w:after="0"/>
              <w:rPr>
                <w:sz w:val="20"/>
                <w:szCs w:val="20"/>
                <w:color w:val="auto"/>
              </w:rPr>
            </w:pPr>
          </w:p>
        </w:tc>
        <w:tc>
          <w:tcPr>
            <w:tcW w:w="7600" w:type="dxa"/>
            <w:vAlign w:val="bottom"/>
            <w:tcBorders>
              <w:bottom w:val="single" w:sz="8" w:color="auto"/>
            </w:tcBorders>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1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16,892</w:t>
            </w:r>
          </w:p>
        </w:tc>
        <w:tc>
          <w:tcPr>
            <w:tcW w:w="2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15,975</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color w:val="auto"/>
              </w:rPr>
              <w:t>Loans receivable, net</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871,371</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881,232</w:t>
            </w:r>
          </w:p>
        </w:tc>
      </w:tr>
      <w:tr>
        <w:trPr>
          <w:trHeight w:val="230"/>
        </w:trPr>
        <w:tc>
          <w:tcPr>
            <w:tcW w:w="20" w:type="dxa"/>
            <w:vAlign w:val="bottom"/>
            <w:shd w:val="clear" w:color="auto" w:fill="CFF0FC"/>
          </w:tcPr>
          <w:p>
            <w:pPr>
              <w:spacing w:after="0"/>
              <w:rPr>
                <w:sz w:val="19"/>
                <w:szCs w:val="19"/>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18,878</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18,441</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Assets held-for-sale</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3,042</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3,042</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1,459</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1,526</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4,004</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4,073</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7,076</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7,286</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Foreclosed real estate</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Intangible assets, net</w:t>
            </w: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Goodwill</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4,536</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4,536</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Bank owned life insurance</w:t>
            </w: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24,967</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24,641</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Other assets</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25,180</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22,097</w:t>
            </w:r>
          </w:p>
        </w:tc>
      </w:tr>
      <w:tr>
        <w:trPr>
          <w:trHeight w:val="263"/>
        </w:trPr>
        <w:tc>
          <w:tcPr>
            <w:tcW w:w="20" w:type="dxa"/>
            <w:vAlign w:val="bottom"/>
            <w:tcBorders>
              <w:bottom w:val="single" w:sz="8" w:color="auto"/>
            </w:tcBorders>
            <w:shd w:val="clear" w:color="auto" w:fill="CFF0FC"/>
          </w:tcPr>
          <w:p>
            <w:pPr>
              <w:spacing w:after="0"/>
              <w:rPr>
                <w:sz w:val="22"/>
                <w:szCs w:val="22"/>
                <w:color w:val="auto"/>
              </w:rPr>
            </w:pPr>
          </w:p>
        </w:tc>
        <w:tc>
          <w:tcPr>
            <w:tcW w:w="7600" w:type="dxa"/>
            <w:vAlign w:val="bottom"/>
            <w:tcBorders>
              <w:bottom w:val="single" w:sz="8" w:color="auto"/>
            </w:tcBorders>
            <w:gridSpan w:val="3"/>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11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1,446,211</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1,465,798</w:t>
            </w:r>
          </w:p>
        </w:tc>
      </w:tr>
      <w:tr>
        <w:trPr>
          <w:trHeight w:val="217"/>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20" w:type="dxa"/>
            <w:vAlign w:val="bottom"/>
            <w:shd w:val="clear" w:color="auto" w:fill="CFF0FC"/>
          </w:tcPr>
          <w:p>
            <w:pPr>
              <w:spacing w:after="0"/>
              <w:rPr>
                <w:sz w:val="18"/>
                <w:szCs w:val="18"/>
                <w:color w:val="auto"/>
              </w:rPr>
            </w:pPr>
          </w:p>
        </w:tc>
        <w:tc>
          <w:tcPr>
            <w:tcW w:w="7600" w:type="dxa"/>
            <w:vAlign w:val="bottom"/>
            <w:gridSpan w:val="3"/>
            <w:shd w:val="clear" w:color="auto" w:fill="CFF0FC"/>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20"/>
        </w:trPr>
        <w:tc>
          <w:tcPr>
            <w:tcW w:w="20" w:type="dxa"/>
            <w:vAlign w:val="bottom"/>
            <w:tcBorders>
              <w:top w:val="single" w:sz="8" w:color="CFF0FC"/>
            </w:tcBorders>
          </w:tcPr>
          <w:p>
            <w:pPr>
              <w:spacing w:after="0"/>
              <w:rPr>
                <w:sz w:val="19"/>
                <w:szCs w:val="19"/>
                <w:color w:val="auto"/>
              </w:rPr>
            </w:pPr>
          </w:p>
        </w:tc>
        <w:tc>
          <w:tcPr>
            <w:tcW w:w="35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Deposits:</w:t>
            </w:r>
          </w:p>
        </w:tc>
        <w:tc>
          <w:tcPr>
            <w:tcW w:w="4060" w:type="dxa"/>
            <w:vAlign w:val="bottom"/>
            <w:tcBorders>
              <w:top w:val="single" w:sz="8" w:color="CFF0FC"/>
            </w:tcBorders>
          </w:tcPr>
          <w:p>
            <w:pPr>
              <w:spacing w:after="0"/>
              <w:rPr>
                <w:sz w:val="19"/>
                <w:szCs w:val="19"/>
                <w:color w:val="auto"/>
              </w:rPr>
            </w:pPr>
          </w:p>
        </w:tc>
        <w:tc>
          <w:tcPr>
            <w:tcW w:w="1140" w:type="dxa"/>
            <w:vAlign w:val="bottom"/>
            <w:tcBorders>
              <w:top w:val="single" w:sz="8" w:color="CFF0FC"/>
            </w:tcBorders>
          </w:tcPr>
          <w:p>
            <w:pPr>
              <w:spacing w:after="0"/>
              <w:rPr>
                <w:sz w:val="19"/>
                <w:szCs w:val="19"/>
                <w:color w:val="auto"/>
              </w:rPr>
            </w:pPr>
          </w:p>
        </w:tc>
        <w:tc>
          <w:tcPr>
            <w:tcW w:w="1080" w:type="dxa"/>
            <w:vAlign w:val="bottom"/>
            <w:tcBorders>
              <w:top w:val="single" w:sz="8" w:color="CFF0FC"/>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120" w:type="dxa"/>
            <w:vAlign w:val="bottom"/>
            <w:tcBorders>
              <w:top w:val="single" w:sz="8" w:color="CFF0FC"/>
            </w:tcBorders>
          </w:tcPr>
          <w:p>
            <w:pPr>
              <w:spacing w:after="0"/>
              <w:rPr>
                <w:sz w:val="19"/>
                <w:szCs w:val="19"/>
                <w:color w:val="auto"/>
              </w:rPr>
            </w:pP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Interest-bearing</w:t>
            </w:r>
          </w:p>
        </w:tc>
        <w:tc>
          <w:tcPr>
            <w:tcW w:w="11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932,132</w:t>
            </w: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949,898</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color w:val="auto"/>
              </w:rPr>
              <w:t>Noninterest-bearing</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169,145</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170,169</w:t>
            </w:r>
          </w:p>
        </w:tc>
      </w:tr>
      <w:tr>
        <w:trPr>
          <w:trHeight w:val="223"/>
        </w:trPr>
        <w:tc>
          <w:tcPr>
            <w:tcW w:w="20" w:type="dxa"/>
            <w:vAlign w:val="bottom"/>
            <w:tcBorders>
              <w:bottom w:val="single" w:sz="8" w:color="auto"/>
            </w:tcBorders>
            <w:shd w:val="clear" w:color="auto" w:fill="CFF0FC"/>
          </w:tcPr>
          <w:p>
            <w:pPr>
              <w:spacing w:after="0"/>
              <w:rPr>
                <w:sz w:val="19"/>
                <w:szCs w:val="19"/>
                <w:color w:val="auto"/>
              </w:rPr>
            </w:pPr>
          </w:p>
        </w:tc>
        <w:tc>
          <w:tcPr>
            <w:tcW w:w="7600" w:type="dxa"/>
            <w:vAlign w:val="bottom"/>
            <w:tcBorders>
              <w:bottom w:val="single" w:sz="8" w:color="auto"/>
            </w:tcBorders>
            <w:gridSpan w:val="3"/>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deposits</w:t>
            </w:r>
          </w:p>
        </w:tc>
        <w:tc>
          <w:tcPr>
            <w:tcW w:w="1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1,101,277</w:t>
            </w: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1,120,067</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Short-term borrowings</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127,577</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125,680</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Long-term borrowings</w:t>
            </w: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45,869</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49,919</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Subordinated debt</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30,008</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29,914</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2,092</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2,245</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1,652</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1,711</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4,359</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4,381</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Other liabilities</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9,203</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11,625</w:t>
            </w:r>
          </w:p>
        </w:tc>
      </w:tr>
      <w:tr>
        <w:trPr>
          <w:trHeight w:val="223"/>
        </w:trPr>
        <w:tc>
          <w:tcPr>
            <w:tcW w:w="20" w:type="dxa"/>
            <w:vAlign w:val="bottom"/>
            <w:tcBorders>
              <w:bottom w:val="single" w:sz="8" w:color="auto"/>
            </w:tcBorders>
            <w:shd w:val="clear" w:color="auto" w:fill="CFF0FC"/>
          </w:tcPr>
          <w:p>
            <w:pPr>
              <w:spacing w:after="0"/>
              <w:rPr>
                <w:sz w:val="19"/>
                <w:szCs w:val="19"/>
                <w:color w:val="auto"/>
              </w:rPr>
            </w:pPr>
          </w:p>
        </w:tc>
        <w:tc>
          <w:tcPr>
            <w:tcW w:w="7600" w:type="dxa"/>
            <w:vAlign w:val="bottom"/>
            <w:tcBorders>
              <w:bottom w:val="single" w:sz="8" w:color="auto"/>
            </w:tcBorders>
            <w:gridSpan w:val="3"/>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1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1,322,037</w:t>
            </w: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1,345,542</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Shareholders' equity:</w:t>
            </w: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2"/>
        </w:trPr>
        <w:tc>
          <w:tcPr>
            <w:tcW w:w="20" w:type="dxa"/>
            <w:vAlign w:val="bottom"/>
            <w:shd w:val="clear" w:color="auto" w:fill="CFF0FC"/>
          </w:tcPr>
          <w:p>
            <w:pPr>
              <w:spacing w:after="0"/>
              <w:rPr>
                <w:sz w:val="18"/>
                <w:szCs w:val="18"/>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Voting common stock, par value $0.01; 25,000,000 authorized shares; 4,719,788 and 4,719,288 shares</w:t>
            </w:r>
          </w:p>
        </w:tc>
        <w:tc>
          <w:tcPr>
            <w:tcW w:w="1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30"/>
        </w:trPr>
        <w:tc>
          <w:tcPr>
            <w:tcW w:w="20" w:type="dxa"/>
            <w:vAlign w:val="bottom"/>
            <w:shd w:val="clear" w:color="auto" w:fill="CFF0FC"/>
          </w:tcPr>
          <w:p>
            <w:pPr>
              <w:spacing w:after="0"/>
              <w:rPr>
                <w:sz w:val="19"/>
                <w:szCs w:val="19"/>
                <w:color w:val="auto"/>
              </w:rPr>
            </w:pPr>
          </w:p>
        </w:tc>
        <w:tc>
          <w:tcPr>
            <w:tcW w:w="76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issued and outstanding, respectively</w:t>
            </w:r>
          </w:p>
        </w:tc>
        <w:tc>
          <w:tcPr>
            <w:tcW w:w="1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r>
      <w:tr>
        <w:trPr>
          <w:trHeight w:val="202"/>
        </w:trPr>
        <w:tc>
          <w:tcPr>
            <w:tcW w:w="20" w:type="dxa"/>
            <w:vAlign w:val="bottom"/>
          </w:tcPr>
          <w:p>
            <w:pPr>
              <w:spacing w:after="0"/>
              <w:rPr>
                <w:sz w:val="17"/>
                <w:szCs w:val="17"/>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Non-Voting common stock, par value $0.01; 1,505,283 authorized shares; 1,380,283 shares</w:t>
            </w: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7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issued and outstanding, respectively</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53,182</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53,114</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Retained earnings</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78,936</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76,060</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(8,786 )</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(9,605 )</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Unearned ESOP shares</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(45 )</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(135 )</w:t>
            </w:r>
          </w:p>
        </w:tc>
      </w:tr>
      <w:tr>
        <w:trPr>
          <w:trHeight w:val="223"/>
        </w:trPr>
        <w:tc>
          <w:tcPr>
            <w:tcW w:w="20" w:type="dxa"/>
            <w:vAlign w:val="bottom"/>
            <w:tcBorders>
              <w:bottom w:val="single" w:sz="8" w:color="auto"/>
            </w:tcBorders>
            <w:shd w:val="clear" w:color="auto" w:fill="CFF0FC"/>
          </w:tcPr>
          <w:p>
            <w:pPr>
              <w:spacing w:after="0"/>
              <w:rPr>
                <w:sz w:val="19"/>
                <w:szCs w:val="19"/>
                <w:color w:val="auto"/>
              </w:rPr>
            </w:pPr>
          </w:p>
        </w:tc>
        <w:tc>
          <w:tcPr>
            <w:tcW w:w="7600" w:type="dxa"/>
            <w:vAlign w:val="bottom"/>
            <w:tcBorders>
              <w:bottom w:val="single" w:sz="8" w:color="auto"/>
            </w:tcBorders>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Pathfinder Bancorp, Inc. shareholders' equity</w:t>
            </w:r>
          </w:p>
        </w:tc>
        <w:tc>
          <w:tcPr>
            <w:tcW w:w="1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123,348</w:t>
            </w: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119,495</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Noncontrolling interest</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826</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761</w:t>
            </w:r>
          </w:p>
        </w:tc>
      </w:tr>
      <w:tr>
        <w:trPr>
          <w:trHeight w:val="223"/>
        </w:trPr>
        <w:tc>
          <w:tcPr>
            <w:tcW w:w="20" w:type="dxa"/>
            <w:vAlign w:val="bottom"/>
            <w:tcBorders>
              <w:bottom w:val="single" w:sz="8" w:color="auto"/>
            </w:tcBorders>
            <w:shd w:val="clear" w:color="auto" w:fill="CFF0FC"/>
          </w:tcPr>
          <w:p>
            <w:pPr>
              <w:spacing w:after="0"/>
              <w:rPr>
                <w:sz w:val="19"/>
                <w:szCs w:val="19"/>
                <w:color w:val="auto"/>
              </w:rPr>
            </w:pPr>
          </w:p>
        </w:tc>
        <w:tc>
          <w:tcPr>
            <w:tcW w:w="7600" w:type="dxa"/>
            <w:vAlign w:val="bottom"/>
            <w:tcBorders>
              <w:bottom w:val="single" w:sz="8" w:color="auto"/>
            </w:tcBorders>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equity</w:t>
            </w:r>
          </w:p>
        </w:tc>
        <w:tc>
          <w:tcPr>
            <w:tcW w:w="1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124,174</w:t>
            </w: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120,256</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1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1,446,211</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1,465,798</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23"/>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June 30, 2024</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June 30, 2023</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June 30, 2024</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June 30, 2023</w:t>
            </w:r>
          </w:p>
        </w:tc>
      </w:tr>
      <w:tr>
        <w:trPr>
          <w:trHeight w:val="23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and dividend income:</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2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including fees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12,489</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11,791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24,757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22,449</w:t>
            </w:r>
          </w:p>
        </w:tc>
      </w:tr>
      <w:tr>
        <w:trPr>
          <w:trHeight w:val="23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Debt securities: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20"/>
        </w:trPr>
        <w:tc>
          <w:tcPr>
            <w:tcW w:w="5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Taxable</w:t>
            </w:r>
          </w:p>
        </w:tc>
        <w:tc>
          <w:tcPr>
            <w:tcW w:w="18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5,736</w:t>
            </w:r>
          </w:p>
        </w:tc>
        <w:tc>
          <w:tcPr>
            <w:tcW w:w="280" w:type="dxa"/>
            <w:vAlign w:val="bottom"/>
          </w:tcPr>
          <w:p>
            <w:pPr>
              <w:spacing w:after="0"/>
              <w:rPr>
                <w:sz w:val="19"/>
                <w:szCs w:val="19"/>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4,173</w:t>
            </w:r>
          </w:p>
        </w:tc>
        <w:tc>
          <w:tcPr>
            <w:tcW w:w="24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11,343</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7,920</w:t>
            </w:r>
          </w:p>
        </w:tc>
      </w:tr>
      <w:tr>
        <w:trPr>
          <w:trHeight w:val="239"/>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Tax-exempt</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498</w:t>
            </w: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479</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1,006</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934</w:t>
            </w:r>
          </w:p>
        </w:tc>
      </w:tr>
      <w:tr>
        <w:trPr>
          <w:trHeight w:val="22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w:t>
            </w:r>
          </w:p>
        </w:tc>
        <w:tc>
          <w:tcPr>
            <w:tcW w:w="18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178</w:t>
            </w:r>
          </w:p>
        </w:tc>
        <w:tc>
          <w:tcPr>
            <w:tcW w:w="280" w:type="dxa"/>
            <w:vAlign w:val="bottom"/>
          </w:tcPr>
          <w:p>
            <w:pPr>
              <w:spacing w:after="0"/>
              <w:rPr>
                <w:sz w:val="19"/>
                <w:szCs w:val="19"/>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123</w:t>
            </w:r>
          </w:p>
        </w:tc>
        <w:tc>
          <w:tcPr>
            <w:tcW w:w="24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307</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201</w:t>
            </w:r>
          </w:p>
        </w:tc>
      </w:tr>
      <w:tr>
        <w:trPr>
          <w:trHeight w:val="233"/>
        </w:trPr>
        <w:tc>
          <w:tcPr>
            <w:tcW w:w="57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Federal funds sold and interest earning deposits</w:t>
            </w: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121</w:t>
            </w:r>
          </w:p>
        </w:tc>
        <w:tc>
          <w:tcPr>
            <w:tcW w:w="2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219</w:t>
            </w:r>
          </w:p>
        </w:tc>
        <w:tc>
          <w:tcPr>
            <w:tcW w:w="2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160</w:t>
            </w:r>
          </w:p>
        </w:tc>
      </w:tr>
      <w:tr>
        <w:trPr>
          <w:trHeight w:val="223"/>
        </w:trPr>
        <w:tc>
          <w:tcPr>
            <w:tcW w:w="5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Total interest and dividend income</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19,022</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16,621</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37,632</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31,664</w:t>
            </w:r>
          </w:p>
        </w:tc>
      </w:tr>
      <w:tr>
        <w:trPr>
          <w:trHeight w:val="22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2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deposits</w:t>
            </w:r>
          </w:p>
        </w:tc>
        <w:tc>
          <w:tcPr>
            <w:tcW w:w="18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7,626</w:t>
            </w:r>
          </w:p>
        </w:tc>
        <w:tc>
          <w:tcPr>
            <w:tcW w:w="280" w:type="dxa"/>
            <w:vAlign w:val="bottom"/>
          </w:tcPr>
          <w:p>
            <w:pPr>
              <w:spacing w:after="0"/>
              <w:rPr>
                <w:sz w:val="19"/>
                <w:szCs w:val="19"/>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5,625</w:t>
            </w:r>
          </w:p>
        </w:tc>
        <w:tc>
          <w:tcPr>
            <w:tcW w:w="24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15,037</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9,662</w:t>
            </w:r>
          </w:p>
        </w:tc>
      </w:tr>
      <w:tr>
        <w:trPr>
          <w:trHeight w:val="23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on short-term borrowings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1,226</w:t>
            </w: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578</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2,340</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950</w:t>
            </w:r>
          </w:p>
        </w:tc>
      </w:tr>
      <w:tr>
        <w:trPr>
          <w:trHeight w:val="22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long-term borrowings</w:t>
            </w:r>
          </w:p>
        </w:tc>
        <w:tc>
          <w:tcPr>
            <w:tcW w:w="18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201</w:t>
            </w:r>
          </w:p>
        </w:tc>
        <w:tc>
          <w:tcPr>
            <w:tcW w:w="280" w:type="dxa"/>
            <w:vAlign w:val="bottom"/>
          </w:tcPr>
          <w:p>
            <w:pPr>
              <w:spacing w:after="0"/>
              <w:rPr>
                <w:sz w:val="19"/>
                <w:szCs w:val="19"/>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203</w:t>
            </w:r>
          </w:p>
        </w:tc>
        <w:tc>
          <w:tcPr>
            <w:tcW w:w="24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395</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397</w:t>
            </w:r>
          </w:p>
        </w:tc>
      </w:tr>
      <w:tr>
        <w:trPr>
          <w:trHeight w:val="233"/>
        </w:trPr>
        <w:tc>
          <w:tcPr>
            <w:tcW w:w="57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on subordinated debt</w:t>
            </w: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489</w:t>
            </w:r>
          </w:p>
        </w:tc>
        <w:tc>
          <w:tcPr>
            <w:tcW w:w="2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483</w:t>
            </w:r>
          </w:p>
        </w:tc>
        <w:tc>
          <w:tcPr>
            <w:tcW w:w="2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980</w:t>
            </w:r>
          </w:p>
        </w:tc>
        <w:tc>
          <w:tcPr>
            <w:tcW w:w="2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955</w:t>
            </w:r>
          </w:p>
        </w:tc>
      </w:tr>
      <w:tr>
        <w:trPr>
          <w:trHeight w:val="223"/>
        </w:trPr>
        <w:tc>
          <w:tcPr>
            <w:tcW w:w="5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Total interest expense</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9,542</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6,889</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18,752</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11,964</w:t>
            </w:r>
          </w:p>
        </w:tc>
      </w:tr>
      <w:tr>
        <w:trPr>
          <w:trHeight w:val="230"/>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interest income</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9,480</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9,732</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18,880</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19,700</w:t>
            </w:r>
          </w:p>
        </w:tc>
      </w:tr>
      <w:tr>
        <w:trPr>
          <w:trHeight w:val="22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for (benefit from) credit losses:</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8"/>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Loans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304</w:t>
            </w: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1,185</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1,014</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1,877</w:t>
            </w:r>
          </w:p>
        </w:tc>
      </w:tr>
      <w:tr>
        <w:trPr>
          <w:trHeight w:val="220"/>
        </w:trPr>
        <w:tc>
          <w:tcPr>
            <w:tcW w:w="5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1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(74 )</w:t>
            </w:r>
          </w:p>
        </w:tc>
        <w:tc>
          <w:tcPr>
            <w:tcW w:w="2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(29 )</w:t>
            </w:r>
          </w:p>
        </w:tc>
        <w:tc>
          <w:tcPr>
            <w:tcW w:w="2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(59 )</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33"/>
        </w:trPr>
        <w:tc>
          <w:tcPr>
            <w:tcW w:w="57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Unfunded commitments</w:t>
            </w: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(16 )</w:t>
            </w:r>
          </w:p>
        </w:tc>
        <w:tc>
          <w:tcPr>
            <w:tcW w:w="2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61</w:t>
            </w:r>
          </w:p>
        </w:tc>
        <w:tc>
          <w:tcPr>
            <w:tcW w:w="2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23"/>
        </w:trPr>
        <w:tc>
          <w:tcPr>
            <w:tcW w:w="5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Total provision for credit losses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290</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1,140</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1,016</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1,832</w:t>
            </w:r>
          </w:p>
        </w:tc>
      </w:tr>
      <w:tr>
        <w:trPr>
          <w:trHeight w:val="223"/>
        </w:trPr>
        <w:tc>
          <w:tcPr>
            <w:tcW w:w="570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9,190</w:t>
            </w: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8,592</w:t>
            </w: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17,864</w:t>
            </w: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17,868</w:t>
            </w:r>
          </w:p>
        </w:tc>
      </w:tr>
      <w:tr>
        <w:trPr>
          <w:trHeight w:val="22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8"/>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330</w:t>
            </w: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303</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639</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570</w:t>
            </w:r>
          </w:p>
        </w:tc>
      </w:tr>
      <w:tr>
        <w:trPr>
          <w:trHeight w:val="22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and gain on bank owned life insurance</w:t>
            </w:r>
          </w:p>
        </w:tc>
        <w:tc>
          <w:tcPr>
            <w:tcW w:w="18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167</w:t>
            </w:r>
          </w:p>
        </w:tc>
        <w:tc>
          <w:tcPr>
            <w:tcW w:w="280" w:type="dxa"/>
            <w:vAlign w:val="bottom"/>
          </w:tcPr>
          <w:p>
            <w:pPr>
              <w:spacing w:after="0"/>
              <w:rPr>
                <w:sz w:val="19"/>
                <w:szCs w:val="19"/>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143</w:t>
            </w:r>
          </w:p>
        </w:tc>
        <w:tc>
          <w:tcPr>
            <w:tcW w:w="24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324</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301</w:t>
            </w:r>
          </w:p>
        </w:tc>
      </w:tr>
      <w:tr>
        <w:trPr>
          <w:trHeight w:val="23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Loan servicing fees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112</w:t>
            </w: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67</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200</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139</w:t>
            </w:r>
          </w:p>
        </w:tc>
      </w:tr>
      <w:tr>
        <w:trPr>
          <w:trHeight w:val="22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realized gains (losses) on sales and redemptions of investment securities</w:t>
            </w:r>
          </w:p>
        </w:tc>
        <w:tc>
          <w:tcPr>
            <w:tcW w:w="18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w:t>
            </w:r>
          </w:p>
        </w:tc>
        <w:tc>
          <w:tcPr>
            <w:tcW w:w="280" w:type="dxa"/>
            <w:vAlign w:val="bottom"/>
          </w:tcPr>
          <w:p>
            <w:pPr>
              <w:spacing w:after="0"/>
              <w:rPr>
                <w:sz w:val="19"/>
                <w:szCs w:val="19"/>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(132 )</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r>
      <w:tr>
        <w:trPr>
          <w:trHeight w:val="23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realized losses on sales of marketable equity securities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(139 )</w:t>
            </w: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(169 )</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(31 )</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(169 )</w:t>
            </w:r>
          </w:p>
        </w:tc>
      </w:tr>
      <w:tr>
        <w:trPr>
          <w:trHeight w:val="22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Gains on sales of loans and foreclosed real estate</w:t>
            </w:r>
          </w:p>
        </w:tc>
        <w:tc>
          <w:tcPr>
            <w:tcW w:w="18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40</w:t>
            </w:r>
          </w:p>
        </w:tc>
        <w:tc>
          <w:tcPr>
            <w:tcW w:w="280" w:type="dxa"/>
            <w:vAlign w:val="bottom"/>
          </w:tcPr>
          <w:p>
            <w:pPr>
              <w:spacing w:after="0"/>
              <w:rPr>
                <w:sz w:val="19"/>
                <w:szCs w:val="19"/>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117</w:t>
            </w:r>
          </w:p>
        </w:tc>
        <w:tc>
          <w:tcPr>
            <w:tcW w:w="24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58</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w:t>
            </w:r>
          </w:p>
        </w:tc>
      </w:tr>
      <w:tr>
        <w:trPr>
          <w:trHeight w:val="23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Debit card interchange fees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191</w:t>
            </w: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112</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310</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433</w:t>
            </w:r>
          </w:p>
        </w:tc>
      </w:tr>
      <w:tr>
        <w:trPr>
          <w:trHeight w:val="22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Insurance agency revenue</w:t>
            </w:r>
          </w:p>
        </w:tc>
        <w:tc>
          <w:tcPr>
            <w:tcW w:w="18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260</w:t>
            </w:r>
          </w:p>
        </w:tc>
        <w:tc>
          <w:tcPr>
            <w:tcW w:w="280" w:type="dxa"/>
            <w:vAlign w:val="bottom"/>
          </w:tcPr>
          <w:p>
            <w:pPr>
              <w:spacing w:after="0"/>
              <w:rPr>
                <w:sz w:val="19"/>
                <w:szCs w:val="19"/>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271</w:t>
            </w:r>
          </w:p>
        </w:tc>
        <w:tc>
          <w:tcPr>
            <w:tcW w:w="24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657</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691</w:t>
            </w:r>
          </w:p>
        </w:tc>
      </w:tr>
      <w:tr>
        <w:trPr>
          <w:trHeight w:val="233"/>
        </w:trPr>
        <w:tc>
          <w:tcPr>
            <w:tcW w:w="57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charges, commissions &amp; fees</w:t>
            </w: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234</w:t>
            </w:r>
          </w:p>
        </w:tc>
        <w:tc>
          <w:tcPr>
            <w:tcW w:w="2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243</w:t>
            </w:r>
          </w:p>
        </w:tc>
        <w:tc>
          <w:tcPr>
            <w:tcW w:w="2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923</w:t>
            </w:r>
          </w:p>
        </w:tc>
        <w:tc>
          <w:tcPr>
            <w:tcW w:w="2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499</w:t>
            </w:r>
          </w:p>
        </w:tc>
      </w:tr>
      <w:tr>
        <w:trPr>
          <w:trHeight w:val="223"/>
        </w:trPr>
        <w:tc>
          <w:tcPr>
            <w:tcW w:w="57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Total noninterest income</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1,211</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1,087</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2,948</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2,679</w:t>
            </w:r>
          </w:p>
        </w:tc>
      </w:tr>
      <w:tr>
        <w:trPr>
          <w:trHeight w:val="22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2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18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4,399</w:t>
            </w:r>
          </w:p>
        </w:tc>
        <w:tc>
          <w:tcPr>
            <w:tcW w:w="280" w:type="dxa"/>
            <w:vAlign w:val="bottom"/>
          </w:tcPr>
          <w:p>
            <w:pPr>
              <w:spacing w:after="0"/>
              <w:rPr>
                <w:sz w:val="19"/>
                <w:szCs w:val="19"/>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3,906</w:t>
            </w:r>
          </w:p>
        </w:tc>
        <w:tc>
          <w:tcPr>
            <w:tcW w:w="24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8,728</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8,089</w:t>
            </w:r>
          </w:p>
        </w:tc>
      </w:tr>
      <w:tr>
        <w:trPr>
          <w:trHeight w:val="23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Building and occupancy</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914</w:t>
            </w: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979</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1,730</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1,831</w:t>
            </w:r>
          </w:p>
        </w:tc>
      </w:tr>
      <w:tr>
        <w:trPr>
          <w:trHeight w:val="22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Data processing</w:t>
            </w:r>
          </w:p>
        </w:tc>
        <w:tc>
          <w:tcPr>
            <w:tcW w:w="18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550</w:t>
            </w:r>
          </w:p>
        </w:tc>
        <w:tc>
          <w:tcPr>
            <w:tcW w:w="280" w:type="dxa"/>
            <w:vAlign w:val="bottom"/>
          </w:tcPr>
          <w:p>
            <w:pPr>
              <w:spacing w:after="0"/>
              <w:rPr>
                <w:sz w:val="19"/>
                <w:szCs w:val="19"/>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483</w:t>
            </w:r>
          </w:p>
        </w:tc>
        <w:tc>
          <w:tcPr>
            <w:tcW w:w="24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1,078</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1,036</w:t>
            </w:r>
          </w:p>
        </w:tc>
      </w:tr>
      <w:tr>
        <w:trPr>
          <w:trHeight w:val="23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Professional and other services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696</w:t>
            </w: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503</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1,258</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1,039</w:t>
            </w:r>
          </w:p>
        </w:tc>
      </w:tr>
      <w:tr>
        <w:trPr>
          <w:trHeight w:val="22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Advertising</w:t>
            </w:r>
          </w:p>
        </w:tc>
        <w:tc>
          <w:tcPr>
            <w:tcW w:w="18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116</w:t>
            </w:r>
          </w:p>
        </w:tc>
        <w:tc>
          <w:tcPr>
            <w:tcW w:w="280" w:type="dxa"/>
            <w:vAlign w:val="bottom"/>
          </w:tcPr>
          <w:p>
            <w:pPr>
              <w:spacing w:after="0"/>
              <w:rPr>
                <w:sz w:val="19"/>
                <w:szCs w:val="19"/>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166</w:t>
            </w:r>
          </w:p>
        </w:tc>
        <w:tc>
          <w:tcPr>
            <w:tcW w:w="24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221</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372</w:t>
            </w:r>
          </w:p>
        </w:tc>
      </w:tr>
      <w:tr>
        <w:trPr>
          <w:trHeight w:val="23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FDIC assessments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228</w:t>
            </w: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222</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457</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441</w:t>
            </w:r>
          </w:p>
        </w:tc>
      </w:tr>
      <w:tr>
        <w:trPr>
          <w:trHeight w:val="22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Audits and exams</w:t>
            </w:r>
          </w:p>
        </w:tc>
        <w:tc>
          <w:tcPr>
            <w:tcW w:w="18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123</w:t>
            </w:r>
          </w:p>
        </w:tc>
        <w:tc>
          <w:tcPr>
            <w:tcW w:w="280" w:type="dxa"/>
            <w:vAlign w:val="bottom"/>
          </w:tcPr>
          <w:p>
            <w:pPr>
              <w:spacing w:after="0"/>
              <w:rPr>
                <w:sz w:val="19"/>
                <w:szCs w:val="19"/>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158</w:t>
            </w:r>
          </w:p>
        </w:tc>
        <w:tc>
          <w:tcPr>
            <w:tcW w:w="24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293</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317</w:t>
            </w:r>
          </w:p>
        </w:tc>
      </w:tr>
      <w:tr>
        <w:trPr>
          <w:trHeight w:val="23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Insurance agency expense</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232</w:t>
            </w: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283</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517</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544</w:t>
            </w:r>
          </w:p>
        </w:tc>
      </w:tr>
      <w:tr>
        <w:trPr>
          <w:trHeight w:val="22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Community service activities</w:t>
            </w:r>
          </w:p>
        </w:tc>
        <w:tc>
          <w:tcPr>
            <w:tcW w:w="18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39</w:t>
            </w:r>
          </w:p>
        </w:tc>
        <w:tc>
          <w:tcPr>
            <w:tcW w:w="280" w:type="dxa"/>
            <w:vAlign w:val="bottom"/>
          </w:tcPr>
          <w:p>
            <w:pPr>
              <w:spacing w:after="0"/>
              <w:rPr>
                <w:sz w:val="19"/>
                <w:szCs w:val="19"/>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66</w:t>
            </w:r>
          </w:p>
        </w:tc>
        <w:tc>
          <w:tcPr>
            <w:tcW w:w="24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91</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w:t>
            </w:r>
          </w:p>
        </w:tc>
      </w:tr>
      <w:tr>
        <w:trPr>
          <w:trHeight w:val="23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Foreclosed real estate expenses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r>
      <w:tr>
        <w:trPr>
          <w:trHeight w:val="223"/>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581</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390</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1,186</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901</w:t>
            </w:r>
          </w:p>
        </w:tc>
      </w:tr>
      <w:tr>
        <w:trPr>
          <w:trHeight w:val="223"/>
        </w:trPr>
        <w:tc>
          <w:tcPr>
            <w:tcW w:w="570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7,908</w:t>
            </w: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7,174</w:t>
            </w: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15,614</w:t>
            </w: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14,698</w:t>
            </w:r>
          </w:p>
        </w:tc>
      </w:tr>
      <w:tr>
        <w:trPr>
          <w:trHeight w:val="22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18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2,493</w:t>
            </w:r>
          </w:p>
        </w:tc>
        <w:tc>
          <w:tcPr>
            <w:tcW w:w="280" w:type="dxa"/>
            <w:vAlign w:val="bottom"/>
          </w:tcPr>
          <w:p>
            <w:pPr>
              <w:spacing w:after="0"/>
              <w:rPr>
                <w:sz w:val="19"/>
                <w:szCs w:val="19"/>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2,505</w:t>
            </w:r>
          </w:p>
        </w:tc>
        <w:tc>
          <w:tcPr>
            <w:tcW w:w="24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5,198</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5,849</w:t>
            </w:r>
          </w:p>
        </w:tc>
      </w:tr>
      <w:tr>
        <w:trPr>
          <w:trHeight w:val="233"/>
        </w:trPr>
        <w:tc>
          <w:tcPr>
            <w:tcW w:w="57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481</w:t>
            </w:r>
          </w:p>
        </w:tc>
        <w:tc>
          <w:tcPr>
            <w:tcW w:w="2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530</w:t>
            </w:r>
          </w:p>
        </w:tc>
        <w:tc>
          <w:tcPr>
            <w:tcW w:w="2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1,013</w:t>
            </w:r>
          </w:p>
        </w:tc>
        <w:tc>
          <w:tcPr>
            <w:tcW w:w="2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1,199</w:t>
            </w:r>
          </w:p>
        </w:tc>
      </w:tr>
      <w:tr>
        <w:trPr>
          <w:trHeight w:val="20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noncontrolling interest and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5"/>
        </w:trPr>
        <w:tc>
          <w:tcPr>
            <w:tcW w:w="5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Pathfinder Bancorp, Inc.</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2,012</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1,975</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4,185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4,650</w:t>
            </w:r>
          </w:p>
        </w:tc>
      </w:tr>
      <w:tr>
        <w:trPr>
          <w:trHeight w:val="223"/>
        </w:trPr>
        <w:tc>
          <w:tcPr>
            <w:tcW w:w="57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w:t>
            </w: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(7 )</w:t>
            </w: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65</w:t>
            </w: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w:t>
            </w:r>
          </w:p>
        </w:tc>
      </w:tr>
      <w:tr>
        <w:trPr>
          <w:trHeight w:val="223"/>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Pathfinder Bancorp Inc.</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2,000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1,982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4,120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4,581</w:t>
            </w: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57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r>
      <w:tr>
        <w:trPr>
          <w:trHeight w:val="216"/>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Voting Earnings per common share - basic and diluted</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0.32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0.32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0.66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0.75</w:t>
            </w: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0"/>
        </w:trPr>
        <w:tc>
          <w:tcPr>
            <w:tcW w:w="57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Series A Non-Voting Earnings per common share- basic and diluted</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0.32</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0.32</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0.66</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0.75</w:t>
            </w:r>
          </w:p>
        </w:tc>
      </w:tr>
      <w:tr>
        <w:trPr>
          <w:trHeight w:val="210"/>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Dividends per common share (Voting and Series A Non-Voting)</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0.10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0.09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0.18</w:t>
            </w: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w:t>
      </w:r>
    </w:p>
    <w:p>
      <w:pPr>
        <w:sectPr>
          <w:pgSz w:w="11900" w:h="16838" w:orient="portrait"/>
          <w:cols w:equalWidth="0" w:num="1">
            <w:col w:w="11240"/>
          </w:cols>
          <w:pgMar w:left="320" w:top="1112" w:right="339" w:bottom="181"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179070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23"/>
        </w:trPr>
        <w:tc>
          <w:tcPr>
            <w:tcW w:w="56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June 30, 2024</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June 30, 2023</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June 30, 2024</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June 30, 2023</w:t>
            </w:r>
          </w:p>
        </w:tc>
      </w:tr>
      <w:tr>
        <w:trPr>
          <w:trHeight w:val="229"/>
        </w:trPr>
        <w:tc>
          <w:tcPr>
            <w:tcW w:w="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17"/>
        </w:trPr>
        <w:tc>
          <w:tcPr>
            <w:tcW w:w="5660" w:type="dxa"/>
            <w:vAlign w:val="bottom"/>
            <w:tcBorders>
              <w:bottom w:val="single" w:sz="8" w:color="auto"/>
            </w:tcBorders>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2,012</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1,975</w:t>
            </w:r>
          </w:p>
        </w:tc>
        <w:tc>
          <w:tcPr>
            <w:tcW w:w="38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4,185</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4,650</w:t>
            </w:r>
          </w:p>
        </w:tc>
      </w:tr>
      <w:tr>
        <w:trPr>
          <w:trHeight w:val="229"/>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66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Other Comprehensive Income (Loss)</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175"/>
        </w:trPr>
        <w:tc>
          <w:tcPr>
            <w:tcW w:w="5660" w:type="dxa"/>
            <w:vAlign w:val="bottom"/>
            <w:gridSpan w:val="6"/>
          </w:tcPr>
          <w:p>
            <w:pPr>
              <w:ind w:left="20"/>
              <w:spacing w:after="0" w:line="175" w:lineRule="exact"/>
              <w:rPr>
                <w:sz w:val="20"/>
                <w:szCs w:val="20"/>
                <w:color w:val="auto"/>
              </w:rPr>
            </w:pPr>
            <w:r>
              <w:rPr>
                <w:rFonts w:ascii="Times New Roman" w:cs="Times New Roman" w:eastAsia="Times New Roman" w:hAnsi="Times New Roman"/>
                <w:sz w:val="16"/>
                <w:szCs w:val="16"/>
                <w:color w:val="auto"/>
              </w:rPr>
              <w:t>Retirement Plans:</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20" w:type="dxa"/>
            <w:vAlign w:val="bottom"/>
            <w:tcBorders>
              <w:bottom w:val="single" w:sz="8" w:color="auto"/>
            </w:tcBorders>
            <w:shd w:val="clear" w:color="auto" w:fill="CFF0FC"/>
          </w:tcPr>
          <w:p>
            <w:pPr>
              <w:spacing w:after="0"/>
              <w:rPr>
                <w:sz w:val="19"/>
                <w:szCs w:val="19"/>
                <w:color w:val="auto"/>
              </w:rPr>
            </w:pPr>
          </w:p>
        </w:tc>
        <w:tc>
          <w:tcPr>
            <w:tcW w:w="5640" w:type="dxa"/>
            <w:vAlign w:val="bottom"/>
            <w:tcBorders>
              <w:bottom w:val="single" w:sz="8" w:color="auto"/>
            </w:tcBorders>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Retirement plan net gains recognized in plan expenses</w:t>
            </w: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38</w:t>
            </w: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111</w:t>
            </w:r>
          </w:p>
        </w:tc>
      </w:tr>
      <w:tr>
        <w:trPr>
          <w:trHeight w:val="223"/>
        </w:trPr>
        <w:tc>
          <w:tcPr>
            <w:tcW w:w="56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Net unrealized gain on retirement plans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38</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111</w:t>
            </w:r>
          </w:p>
        </w:tc>
      </w:tr>
      <w:tr>
        <w:trPr>
          <w:trHeight w:val="229"/>
        </w:trPr>
        <w:tc>
          <w:tcPr>
            <w:tcW w:w="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176"/>
        </w:trPr>
        <w:tc>
          <w:tcPr>
            <w:tcW w:w="5660" w:type="dxa"/>
            <w:vAlign w:val="bottom"/>
            <w:gridSpan w:val="6"/>
          </w:tcPr>
          <w:p>
            <w:pPr>
              <w:ind w:left="20"/>
              <w:spacing w:after="0" w:line="175" w:lineRule="exact"/>
              <w:rPr>
                <w:sz w:val="20"/>
                <w:szCs w:val="20"/>
                <w:color w:val="auto"/>
              </w:rPr>
            </w:pPr>
            <w:r>
              <w:rPr>
                <w:rFonts w:ascii="Times New Roman" w:cs="Times New Roman" w:eastAsia="Times New Roman" w:hAnsi="Times New Roman"/>
                <w:sz w:val="16"/>
                <w:szCs w:val="16"/>
                <w:color w:val="auto"/>
              </w:rPr>
              <w:t>Unrealized holding gains on available-for-sale securities:</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20" w:type="dxa"/>
            <w:vAlign w:val="bottom"/>
            <w:shd w:val="clear" w:color="auto" w:fill="CFF0FC"/>
          </w:tcPr>
          <w:p>
            <w:pPr>
              <w:spacing w:after="0"/>
              <w:rPr>
                <w:sz w:val="19"/>
                <w:szCs w:val="19"/>
                <w:color w:val="auto"/>
              </w:rPr>
            </w:pPr>
          </w:p>
        </w:tc>
        <w:tc>
          <w:tcPr>
            <w:tcW w:w="564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Unrealized holding (losses) gains arising during the period</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(64 )</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(569 )</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238</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(1,077 )</w:t>
            </w:r>
          </w:p>
        </w:tc>
      </w:tr>
      <w:tr>
        <w:trPr>
          <w:trHeight w:val="223"/>
        </w:trPr>
        <w:tc>
          <w:tcPr>
            <w:tcW w:w="20" w:type="dxa"/>
            <w:vAlign w:val="bottom"/>
            <w:tcBorders>
              <w:bottom w:val="single" w:sz="8" w:color="auto"/>
            </w:tcBorders>
          </w:tcPr>
          <w:p>
            <w:pPr>
              <w:spacing w:after="0"/>
              <w:rPr>
                <w:sz w:val="19"/>
                <w:szCs w:val="19"/>
                <w:color w:val="auto"/>
              </w:rPr>
            </w:pPr>
          </w:p>
        </w:tc>
        <w:tc>
          <w:tcPr>
            <w:tcW w:w="56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color w:val="auto"/>
              </w:rPr>
              <w:t>Reclassification adjustment for net (gains) losses included in net income</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(15 )</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139</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1,933</w:t>
            </w:r>
          </w:p>
        </w:tc>
      </w:tr>
      <w:tr>
        <w:trPr>
          <w:trHeight w:val="223"/>
        </w:trPr>
        <w:tc>
          <w:tcPr>
            <w:tcW w:w="5660" w:type="dxa"/>
            <w:vAlign w:val="bottom"/>
            <w:tcBorders>
              <w:bottom w:val="single" w:sz="8" w:color="auto"/>
            </w:tcBorders>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unrealized (losses) gains on available-for-sale securities</w:t>
            </w: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(79 )</w:t>
            </w: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(569 )</w:t>
            </w:r>
          </w:p>
        </w:tc>
        <w:tc>
          <w:tcPr>
            <w:tcW w:w="2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377</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856</w:t>
            </w:r>
          </w:p>
        </w:tc>
      </w:tr>
      <w:tr>
        <w:trPr>
          <w:trHeight w:val="230"/>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2260" w:type="dxa"/>
            <w:vAlign w:val="bottom"/>
            <w:tcBorders>
              <w:bottom w:val="single" w:sz="8" w:color="auto"/>
            </w:tcBorders>
            <w:gridSpan w:val="2"/>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Derivatives and hedging activities:</w:t>
            </w:r>
          </w:p>
        </w:tc>
        <w:tc>
          <w:tcPr>
            <w:tcW w:w="3380" w:type="dxa"/>
            <w:vAlign w:val="bottom"/>
            <w:tcBorders>
              <w:bottom w:val="single" w:sz="8" w:color="CFF0FC"/>
            </w:tcBorders>
            <w:gridSpan w:val="3"/>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color w:val="auto"/>
              </w:rPr>
              <w:t>Unrealized holding gains arising during the period</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144</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735</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656</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119</w:t>
            </w:r>
          </w:p>
        </w:tc>
      </w:tr>
      <w:tr>
        <w:trPr>
          <w:trHeight w:val="223"/>
        </w:trPr>
        <w:tc>
          <w:tcPr>
            <w:tcW w:w="5660" w:type="dxa"/>
            <w:vAlign w:val="bottom"/>
            <w:tcBorders>
              <w:bottom w:val="single" w:sz="8" w:color="auto"/>
            </w:tcBorders>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unrealized gains (losses) on derivatives and hedging activities</w:t>
            </w: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144</w:t>
            </w: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735</w:t>
            </w:r>
          </w:p>
        </w:tc>
        <w:tc>
          <w:tcPr>
            <w:tcW w:w="2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656</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119</w:t>
            </w:r>
          </w:p>
        </w:tc>
      </w:tr>
      <w:tr>
        <w:trPr>
          <w:trHeight w:val="230"/>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66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tax</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103</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1,108</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1,086</w:t>
            </w:r>
          </w:p>
        </w:tc>
      </w:tr>
      <w:tr>
        <w:trPr>
          <w:trHeight w:val="223"/>
        </w:trPr>
        <w:tc>
          <w:tcPr>
            <w:tcW w:w="56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Tax effect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(27 )</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(289 )</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(284 )</w:t>
            </w:r>
          </w:p>
        </w:tc>
      </w:tr>
      <w:tr>
        <w:trPr>
          <w:trHeight w:val="223"/>
        </w:trPr>
        <w:tc>
          <w:tcPr>
            <w:tcW w:w="5660" w:type="dxa"/>
            <w:vAlign w:val="bottom"/>
            <w:tcBorders>
              <w:bottom w:val="single" w:sz="8" w:color="auto"/>
            </w:tcBorders>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76</w:t>
            </w: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164</w:t>
            </w:r>
          </w:p>
        </w:tc>
        <w:tc>
          <w:tcPr>
            <w:tcW w:w="2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819</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802</w:t>
            </w:r>
          </w:p>
        </w:tc>
      </w:tr>
      <w:tr>
        <w:trPr>
          <w:trHeight w:val="223"/>
        </w:trPr>
        <w:tc>
          <w:tcPr>
            <w:tcW w:w="56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2,088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2,139</w:t>
            </w:r>
          </w:p>
        </w:tc>
        <w:tc>
          <w:tcPr>
            <w:tcW w:w="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5,004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5,452</w:t>
            </w:r>
          </w:p>
        </w:tc>
      </w:tr>
      <w:tr>
        <w:trPr>
          <w:trHeight w:val="223"/>
        </w:trPr>
        <w:tc>
          <w:tcPr>
            <w:tcW w:w="5660" w:type="dxa"/>
            <w:vAlign w:val="bottom"/>
            <w:tcBorders>
              <w:bottom w:val="single" w:sz="8" w:color="auto"/>
            </w:tcBorders>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noncontrolling interest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38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w:t>
            </w:r>
          </w:p>
        </w:tc>
      </w:tr>
      <w:tr>
        <w:trPr>
          <w:trHeight w:val="223"/>
        </w:trPr>
        <w:tc>
          <w:tcPr>
            <w:tcW w:w="56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Pathfinder Bancorp, Inc.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2,076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2,146</w:t>
            </w:r>
          </w:p>
        </w:tc>
        <w:tc>
          <w:tcPr>
            <w:tcW w:w="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4,939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5,383</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176"/>
        </w:trPr>
        <w:tc>
          <w:tcPr>
            <w:tcW w:w="5660" w:type="dxa"/>
            <w:vAlign w:val="bottom"/>
            <w:gridSpan w:val="6"/>
          </w:tcPr>
          <w:p>
            <w:pPr>
              <w:ind w:left="20"/>
              <w:spacing w:after="0" w:line="175" w:lineRule="exact"/>
              <w:rPr>
                <w:sz w:val="20"/>
                <w:szCs w:val="20"/>
                <w:color w:val="auto"/>
              </w:rPr>
            </w:pPr>
            <w:r>
              <w:rPr>
                <w:rFonts w:ascii="Times New Roman" w:cs="Times New Roman" w:eastAsia="Times New Roman" w:hAnsi="Times New Roman"/>
                <w:sz w:val="16"/>
                <w:szCs w:val="16"/>
                <w:color w:val="auto"/>
              </w:rPr>
              <w:t>Tax Effect Allocated to Each Component of Other Comprehensive (Loss) Income</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5660" w:type="dxa"/>
            <w:vAlign w:val="bottom"/>
            <w:tcBorders>
              <w:bottom w:val="single" w:sz="8" w:color="auto"/>
            </w:tcBorders>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Retirement plan net gains recognized in plan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(10 )</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38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(20 )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02"/>
        </w:trPr>
        <w:tc>
          <w:tcPr>
            <w:tcW w:w="566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Unrealized holding losses (gains) on available-for-sale securities arising during the</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3"/>
        </w:trPr>
        <w:tc>
          <w:tcPr>
            <w:tcW w:w="56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149</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(62 )</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281</w:t>
            </w:r>
          </w:p>
        </w:tc>
      </w:tr>
      <w:tr>
        <w:trPr>
          <w:trHeight w:val="202"/>
        </w:trPr>
        <w:tc>
          <w:tcPr>
            <w:tcW w:w="566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Reclassification adjustment for net losses on available-for-sale securities</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23"/>
        </w:trPr>
        <w:tc>
          <w:tcPr>
            <w:tcW w:w="20" w:type="dxa"/>
            <w:vAlign w:val="bottom"/>
            <w:tcBorders>
              <w:bottom w:val="single" w:sz="8" w:color="auto"/>
            </w:tcBorders>
            <w:shd w:val="clear" w:color="auto" w:fill="CFF0FC"/>
          </w:tcPr>
          <w:p>
            <w:pPr>
              <w:spacing w:after="0"/>
              <w:rPr>
                <w:sz w:val="19"/>
                <w:szCs w:val="19"/>
                <w:color w:val="auto"/>
              </w:rPr>
            </w:pPr>
          </w:p>
        </w:tc>
        <w:tc>
          <w:tcPr>
            <w:tcW w:w="5640" w:type="dxa"/>
            <w:vAlign w:val="bottom"/>
            <w:tcBorders>
              <w:bottom w:val="single" w:sz="8" w:color="auto"/>
            </w:tcBorders>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included in net income</w:t>
            </w: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(36 )</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(505 )</w:t>
            </w:r>
          </w:p>
        </w:tc>
      </w:tr>
      <w:tr>
        <w:trPr>
          <w:trHeight w:val="223"/>
        </w:trPr>
        <w:tc>
          <w:tcPr>
            <w:tcW w:w="56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Unrealized gains on derivatives and hedging arising during the period</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(38 )</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(171 )</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63"/>
        </w:trPr>
        <w:tc>
          <w:tcPr>
            <w:tcW w:w="5660" w:type="dxa"/>
            <w:vAlign w:val="bottom"/>
            <w:tcBorders>
              <w:bottom w:val="single" w:sz="8" w:color="auto"/>
            </w:tcBorders>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effect related to other comprehensive income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(27 )</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38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(289 )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(284 )</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6" w:name="page7"/>
    <w:bookmarkEnd w:id="6"/>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Shareholders' Equity</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Three months ended June 30, 2024 and June 30, 2023</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Accumul</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ated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Non-</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w w:val="94"/>
              </w:rPr>
              <w:t>Voting</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Additiona</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Compreh</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Unearned</w:t>
            </w:r>
          </w:p>
        </w:tc>
        <w:tc>
          <w:tcPr>
            <w:tcW w:w="200" w:type="dxa"/>
            <w:vAlign w:val="bottom"/>
          </w:tcPr>
          <w:p>
            <w:pPr>
              <w:spacing w:after="0"/>
              <w:rPr>
                <w:sz w:val="17"/>
                <w:szCs w:val="17"/>
                <w:color w:val="auto"/>
              </w:rPr>
            </w:pPr>
          </w:p>
        </w:tc>
        <w:tc>
          <w:tcPr>
            <w:tcW w:w="7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Non-</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Common</w:t>
            </w:r>
          </w:p>
        </w:tc>
        <w:tc>
          <w:tcPr>
            <w:tcW w:w="9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Common</w:t>
            </w:r>
          </w:p>
        </w:tc>
        <w:tc>
          <w:tcPr>
            <w:tcW w:w="9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l Paid in</w:t>
            </w: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Retained</w:t>
            </w:r>
          </w:p>
        </w:tc>
        <w:tc>
          <w:tcPr>
            <w:tcW w:w="180" w:type="dxa"/>
            <w:vAlign w:val="bottom"/>
          </w:tcPr>
          <w:p>
            <w:pPr>
              <w:spacing w:after="0"/>
              <w:rPr>
                <w:sz w:val="17"/>
                <w:szCs w:val="17"/>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ensive</w:t>
            </w:r>
          </w:p>
        </w:tc>
        <w:tc>
          <w:tcPr>
            <w:tcW w:w="18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ESOP</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controllin</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Stock</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Stock</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Capital</w:t>
            </w:r>
          </w:p>
        </w:tc>
        <w:tc>
          <w:tcPr>
            <w:tcW w:w="100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Earnings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w w:val="99"/>
              </w:rPr>
              <w:t>Loss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shares</w:t>
            </w:r>
          </w:p>
        </w:tc>
        <w:tc>
          <w:tcPr>
            <w:tcW w:w="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g Interest</w:t>
            </w:r>
          </w:p>
        </w:tc>
        <w:tc>
          <w:tcPr>
            <w:tcW w:w="8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2024</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53,151</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77,558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(8,862 )</w:t>
            </w:r>
          </w:p>
        </w:tc>
        <w:tc>
          <w:tcPr>
            <w:tcW w:w="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814</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$ 122,632</w:t>
            </w: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2,000</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2,012</w:t>
            </w:r>
          </w:p>
        </w:tc>
        <w:tc>
          <w:tcPr>
            <w:tcW w:w="0" w:type="dxa"/>
            <w:vAlign w:val="bottom"/>
          </w:tcPr>
          <w:p>
            <w:pPr>
              <w:spacing w:after="0"/>
              <w:rPr>
                <w:sz w:val="1"/>
                <w:szCs w:val="1"/>
                <w:color w:val="auto"/>
              </w:rPr>
            </w:pPr>
          </w:p>
        </w:tc>
      </w:tr>
      <w:tr>
        <w:trPr>
          <w:trHeight w:val="239"/>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76</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ESOP shares earned (6,111 shares)</w:t>
            </w:r>
          </w:p>
        </w:tc>
        <w:tc>
          <w:tcPr>
            <w:tcW w:w="3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w:t>
            </w:r>
          </w:p>
        </w:tc>
        <w:tc>
          <w:tcPr>
            <w:tcW w:w="3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39"/>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 options exercised</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dividends declared ($0.10 per share)</w:t>
            </w:r>
          </w:p>
        </w:tc>
        <w:tc>
          <w:tcPr>
            <w:tcW w:w="3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(471 )</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(471 )</w:t>
            </w:r>
          </w:p>
        </w:tc>
        <w:tc>
          <w:tcPr>
            <w:tcW w:w="0" w:type="dxa"/>
            <w:vAlign w:val="bottom"/>
          </w:tcPr>
          <w:p>
            <w:pPr>
              <w:spacing w:after="0"/>
              <w:rPr>
                <w:sz w:val="1"/>
                <w:szCs w:val="1"/>
                <w:color w:val="auto"/>
              </w:rPr>
            </w:pPr>
          </w:p>
        </w:tc>
      </w:tr>
      <w:tr>
        <w:trPr>
          <w:trHeight w:val="212"/>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Non-Voting common stock dividends declared</w:t>
            </w: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($0.10 per share)</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Warrant dividends declared ($0.10 per share)</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63"/>
        </w:trPr>
        <w:tc>
          <w:tcPr>
            <w:tcW w:w="37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2024</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53,182</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78,936</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(8,786 )</w:t>
            </w:r>
          </w:p>
        </w:tc>
        <w:tc>
          <w:tcPr>
            <w:tcW w:w="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20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826</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$ 124,174</w:t>
            </w:r>
          </w:p>
        </w:tc>
        <w:tc>
          <w:tcPr>
            <w:tcW w:w="0" w:type="dxa"/>
            <w:vAlign w:val="bottom"/>
          </w:tcPr>
          <w:p>
            <w:pPr>
              <w:spacing w:after="0"/>
              <w:rPr>
                <w:sz w:val="1"/>
                <w:szCs w:val="1"/>
                <w:color w:val="auto"/>
              </w:rPr>
            </w:pPr>
          </w:p>
        </w:tc>
      </w:tr>
      <w:tr>
        <w:trPr>
          <w:trHeight w:val="436"/>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2023</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52,207</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71,236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(11,534 )</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(270 )</w:t>
            </w:r>
          </w:p>
        </w:tc>
        <w:tc>
          <w:tcPr>
            <w:tcW w:w="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661</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$ 112,361</w:t>
            </w:r>
          </w:p>
        </w:tc>
        <w:tc>
          <w:tcPr>
            <w:tcW w:w="0" w:type="dxa"/>
            <w:vAlign w:val="bottom"/>
          </w:tcPr>
          <w:p>
            <w:pPr>
              <w:spacing w:after="0"/>
              <w:rPr>
                <w:sz w:val="1"/>
                <w:szCs w:val="1"/>
                <w:color w:val="auto"/>
              </w:rPr>
            </w:pPr>
          </w:p>
        </w:tc>
      </w:tr>
      <w:tr>
        <w:trPr>
          <w:trHeight w:val="239"/>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1,982</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1,975</w:t>
            </w: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3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164</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39"/>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ESOP shares earned (6,111 shares)</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42</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3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w:t>
            </w:r>
          </w:p>
        </w:tc>
        <w:tc>
          <w:tcPr>
            <w:tcW w:w="3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39"/>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dividends declared ($0.09 per share)</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(419 )</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(419 )</w:t>
            </w:r>
          </w:p>
        </w:tc>
        <w:tc>
          <w:tcPr>
            <w:tcW w:w="0" w:type="dxa"/>
            <w:vAlign w:val="bottom"/>
          </w:tcPr>
          <w:p>
            <w:pPr>
              <w:spacing w:after="0"/>
              <w:rPr>
                <w:sz w:val="1"/>
                <w:szCs w:val="1"/>
                <w:color w:val="auto"/>
              </w:rPr>
            </w:pPr>
          </w:p>
        </w:tc>
      </w:tr>
      <w:tr>
        <w:trPr>
          <w:trHeight w:val="202"/>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Non-Voting common stock dividends declared</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($0.09 per share)</w:t>
            </w:r>
          </w:p>
        </w:tc>
        <w:tc>
          <w:tcPr>
            <w:tcW w:w="3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0" w:type="dxa"/>
            <w:vAlign w:val="bottom"/>
          </w:tcPr>
          <w:p>
            <w:pPr>
              <w:spacing w:after="0"/>
              <w:rPr>
                <w:sz w:val="1"/>
                <w:szCs w:val="1"/>
                <w:color w:val="auto"/>
              </w:rPr>
            </w:pPr>
          </w:p>
        </w:tc>
      </w:tr>
      <w:tr>
        <w:trPr>
          <w:trHeight w:val="239"/>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Warrant dividends declared ($0.09 per share)</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02"/>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Adoption of ASU 2016-13 Current Expected Credit</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Losses</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3"/>
        </w:trPr>
        <w:tc>
          <w:tcPr>
            <w:tcW w:w="37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2023</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52,645</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72,664</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(11,370 )</w:t>
            </w:r>
          </w:p>
        </w:tc>
        <w:tc>
          <w:tcPr>
            <w:tcW w:w="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20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654</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$ 114,429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7" w:name="page8"/>
    <w:bookmarkEnd w:id="7"/>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Shareholders' Equity</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Six months ended June 30, 2024 and June 30, 2023</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Accumul</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ated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Non-</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w w:val="94"/>
              </w:rPr>
              <w:t>Voting</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Additiona</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Compreh</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Unearned</w:t>
            </w:r>
          </w:p>
        </w:tc>
        <w:tc>
          <w:tcPr>
            <w:tcW w:w="200" w:type="dxa"/>
            <w:vAlign w:val="bottom"/>
          </w:tcPr>
          <w:p>
            <w:pPr>
              <w:spacing w:after="0"/>
              <w:rPr>
                <w:sz w:val="17"/>
                <w:szCs w:val="17"/>
                <w:color w:val="auto"/>
              </w:rPr>
            </w:pPr>
          </w:p>
        </w:tc>
        <w:tc>
          <w:tcPr>
            <w:tcW w:w="6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Non-</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Common</w:t>
            </w:r>
          </w:p>
        </w:tc>
        <w:tc>
          <w:tcPr>
            <w:tcW w:w="9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Common</w:t>
            </w:r>
          </w:p>
        </w:tc>
        <w:tc>
          <w:tcPr>
            <w:tcW w:w="9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l Paid in</w:t>
            </w: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Retained</w:t>
            </w:r>
          </w:p>
        </w:tc>
        <w:tc>
          <w:tcPr>
            <w:tcW w:w="180" w:type="dxa"/>
            <w:vAlign w:val="bottom"/>
          </w:tcPr>
          <w:p>
            <w:pPr>
              <w:spacing w:after="0"/>
              <w:rPr>
                <w:sz w:val="17"/>
                <w:szCs w:val="17"/>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ensive</w:t>
            </w:r>
          </w:p>
        </w:tc>
        <w:tc>
          <w:tcPr>
            <w:tcW w:w="18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ESOP</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controllin</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Stock</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Stock</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Capital</w:t>
            </w:r>
          </w:p>
        </w:tc>
        <w:tc>
          <w:tcPr>
            <w:tcW w:w="100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Earnings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w w:val="99"/>
              </w:rPr>
              <w:t>Loss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shares</w:t>
            </w:r>
          </w:p>
        </w:tc>
        <w:tc>
          <w:tcPr>
            <w:tcW w:w="8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g Interest</w:t>
            </w:r>
          </w:p>
        </w:tc>
        <w:tc>
          <w:tcPr>
            <w:tcW w:w="9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January 1, 2024</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53,114</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76,060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(9,605 )</w:t>
            </w:r>
          </w:p>
        </w:tc>
        <w:tc>
          <w:tcPr>
            <w:tcW w:w="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761</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$ 120,256</w:t>
            </w: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4,120</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4,185</w:t>
            </w:r>
          </w:p>
        </w:tc>
        <w:tc>
          <w:tcPr>
            <w:tcW w:w="0" w:type="dxa"/>
            <w:vAlign w:val="bottom"/>
          </w:tcPr>
          <w:p>
            <w:pPr>
              <w:spacing w:after="0"/>
              <w:rPr>
                <w:sz w:val="1"/>
                <w:szCs w:val="1"/>
                <w:color w:val="auto"/>
              </w:rPr>
            </w:pPr>
          </w:p>
        </w:tc>
      </w:tr>
      <w:tr>
        <w:trPr>
          <w:trHeight w:val="239"/>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819</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819</w:t>
            </w: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ESOP shares earned (12,221 shares)</w:t>
            </w:r>
          </w:p>
        </w:tc>
        <w:tc>
          <w:tcPr>
            <w:tcW w:w="3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63</w:t>
            </w:r>
          </w:p>
        </w:tc>
        <w:tc>
          <w:tcPr>
            <w:tcW w:w="3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90</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39"/>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options exercised</w:t>
            </w:r>
          </w:p>
        </w:tc>
        <w:tc>
          <w:tcPr>
            <w:tcW w:w="3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9"/>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dividends declared ($0.20 per share)</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(943 )</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(943 )</w:t>
            </w:r>
          </w:p>
        </w:tc>
        <w:tc>
          <w:tcPr>
            <w:tcW w:w="0" w:type="dxa"/>
            <w:vAlign w:val="bottom"/>
          </w:tcPr>
          <w:p>
            <w:pPr>
              <w:spacing w:after="0"/>
              <w:rPr>
                <w:sz w:val="1"/>
                <w:szCs w:val="1"/>
                <w:color w:val="auto"/>
              </w:rPr>
            </w:pPr>
          </w:p>
        </w:tc>
      </w:tr>
      <w:tr>
        <w:trPr>
          <w:trHeight w:val="202"/>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Non-Voting common stock dividends declared</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($0.20 per share)</w:t>
            </w:r>
          </w:p>
        </w:tc>
        <w:tc>
          <w:tcPr>
            <w:tcW w:w="3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(276 )</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(276 )</w:t>
            </w:r>
          </w:p>
        </w:tc>
        <w:tc>
          <w:tcPr>
            <w:tcW w:w="0" w:type="dxa"/>
            <w:vAlign w:val="bottom"/>
          </w:tcPr>
          <w:p>
            <w:pPr>
              <w:spacing w:after="0"/>
              <w:rPr>
                <w:sz w:val="1"/>
                <w:szCs w:val="1"/>
                <w:color w:val="auto"/>
              </w:rPr>
            </w:pPr>
          </w:p>
        </w:tc>
      </w:tr>
      <w:tr>
        <w:trPr>
          <w:trHeight w:val="239"/>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Warrant dividends declared ($0.20 per share)</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Cumulative effect of affiliate capital allocation</w:t>
            </w:r>
          </w:p>
        </w:tc>
        <w:tc>
          <w:tcPr>
            <w:tcW w:w="3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37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Distributions from affiliates</w:t>
            </w:r>
          </w:p>
        </w:tc>
        <w:tc>
          <w:tcPr>
            <w:tcW w:w="3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2024</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53,182</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78,936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(8,786 )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826</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$ 124,174</w:t>
            </w:r>
          </w:p>
        </w:tc>
        <w:tc>
          <w:tcPr>
            <w:tcW w:w="0" w:type="dxa"/>
            <w:vAlign w:val="bottom"/>
          </w:tcPr>
          <w:p>
            <w:pPr>
              <w:spacing w:after="0"/>
              <w:rPr>
                <w:sz w:val="1"/>
                <w:szCs w:val="1"/>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January 1, 2023</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52,101</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71,322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(12,172 )</w:t>
            </w:r>
          </w:p>
        </w:tc>
        <w:tc>
          <w:tcPr>
            <w:tcW w:w="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(315 )</w:t>
            </w:r>
          </w:p>
        </w:tc>
        <w:tc>
          <w:tcPr>
            <w:tcW w:w="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585</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$ 111,582</w:t>
            </w: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4,581</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4,650</w:t>
            </w:r>
          </w:p>
        </w:tc>
        <w:tc>
          <w:tcPr>
            <w:tcW w:w="0" w:type="dxa"/>
            <w:vAlign w:val="bottom"/>
          </w:tcPr>
          <w:p>
            <w:pPr>
              <w:spacing w:after="0"/>
              <w:rPr>
                <w:sz w:val="1"/>
                <w:szCs w:val="1"/>
                <w:color w:val="auto"/>
              </w:rPr>
            </w:pPr>
          </w:p>
        </w:tc>
      </w:tr>
      <w:tr>
        <w:trPr>
          <w:trHeight w:val="239"/>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802</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802</w:t>
            </w: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ESOP shares earned (12,221 shares)</w:t>
            </w:r>
          </w:p>
        </w:tc>
        <w:tc>
          <w:tcPr>
            <w:tcW w:w="3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112</w:t>
            </w:r>
          </w:p>
        </w:tc>
        <w:tc>
          <w:tcPr>
            <w:tcW w:w="3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90</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239"/>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64</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options exercised</w:t>
            </w:r>
          </w:p>
        </w:tc>
        <w:tc>
          <w:tcPr>
            <w:tcW w:w="3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368</w:t>
            </w:r>
          </w:p>
        </w:tc>
        <w:tc>
          <w:tcPr>
            <w:tcW w:w="3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39"/>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dividends declared ($0.18 per share)</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(834 )</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(834 )</w:t>
            </w:r>
          </w:p>
        </w:tc>
        <w:tc>
          <w:tcPr>
            <w:tcW w:w="0" w:type="dxa"/>
            <w:vAlign w:val="bottom"/>
          </w:tcPr>
          <w:p>
            <w:pPr>
              <w:spacing w:after="0"/>
              <w:rPr>
                <w:sz w:val="1"/>
                <w:szCs w:val="1"/>
                <w:color w:val="auto"/>
              </w:rPr>
            </w:pPr>
          </w:p>
        </w:tc>
      </w:tr>
      <w:tr>
        <w:trPr>
          <w:trHeight w:val="202"/>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Non-Voting common stock dividends declared</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($0.18 per share)</w:t>
            </w:r>
          </w:p>
        </w:tc>
        <w:tc>
          <w:tcPr>
            <w:tcW w:w="3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0" w:type="dxa"/>
            <w:vAlign w:val="bottom"/>
          </w:tcPr>
          <w:p>
            <w:pPr>
              <w:spacing w:after="0"/>
              <w:rPr>
                <w:sz w:val="1"/>
                <w:szCs w:val="1"/>
                <w:color w:val="auto"/>
              </w:rPr>
            </w:pPr>
          </w:p>
        </w:tc>
      </w:tr>
      <w:tr>
        <w:trPr>
          <w:trHeight w:val="239"/>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Warrant dividends declared ($0.18 per share)</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02"/>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Adoption of ASU 2016-13 Current Expected Credit</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Losses</w:t>
            </w:r>
          </w:p>
        </w:tc>
        <w:tc>
          <w:tcPr>
            <w:tcW w:w="3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(2,134 )</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(2,134 )</w:t>
            </w:r>
          </w:p>
        </w:tc>
        <w:tc>
          <w:tcPr>
            <w:tcW w:w="0" w:type="dxa"/>
            <w:vAlign w:val="bottom"/>
          </w:tcPr>
          <w:p>
            <w:pPr>
              <w:spacing w:after="0"/>
              <w:rPr>
                <w:sz w:val="1"/>
                <w:szCs w:val="1"/>
                <w:color w:val="auto"/>
              </w:rPr>
            </w:pPr>
          </w:p>
        </w:tc>
      </w:tr>
      <w:tr>
        <w:trPr>
          <w:trHeight w:val="239"/>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Cumulative effect of affiliate capital allocation</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Distributions from affiliates</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3"/>
        </w:trPr>
        <w:tc>
          <w:tcPr>
            <w:tcW w:w="37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2023</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52,645</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72,664</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(11,370 )</w:t>
            </w:r>
          </w:p>
        </w:tc>
        <w:tc>
          <w:tcPr>
            <w:tcW w:w="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20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654</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$ 114,429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Pathfinder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For the six months ended June 30,</w:t>
            </w:r>
          </w:p>
        </w:tc>
        <w:tc>
          <w:tcPr>
            <w:tcW w:w="660" w:type="dxa"/>
            <w:vAlign w:val="bottom"/>
            <w:tcBorders>
              <w:bottom w:val="single" w:sz="8" w:color="auto"/>
            </w:tcBorders>
          </w:tcPr>
          <w:p>
            <w:pPr>
              <w:spacing w:after="0"/>
              <w:rPr>
                <w:sz w:val="20"/>
                <w:szCs w:val="20"/>
                <w:color w:val="auto"/>
              </w:rPr>
            </w:pPr>
          </w:p>
        </w:tc>
      </w:tr>
      <w:tr>
        <w:trPr>
          <w:trHeight w:val="226"/>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2024</w:t>
            </w: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2023</w:t>
            </w:r>
          </w:p>
        </w:tc>
      </w:tr>
      <w:tr>
        <w:trPr>
          <w:trHeight w:val="22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Pathfinder Bancorp, Inc.</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4,120</w:t>
            </w:r>
          </w:p>
        </w:tc>
        <w:tc>
          <w:tcPr>
            <w:tcW w:w="1140" w:type="dxa"/>
            <w:vAlign w:val="bottom"/>
          </w:tcPr>
          <w:p>
            <w:pPr>
              <w:jc w:val="right"/>
              <w:ind w:right="855"/>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4,581</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flows from operating activities:</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26"/>
        </w:trPr>
        <w:tc>
          <w:tcPr>
            <w:tcW w:w="7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340" w:type="dxa"/>
            <w:vAlign w:val="bottom"/>
          </w:tcPr>
          <w:p>
            <w:pPr>
              <w:spacing w:after="0"/>
              <w:rPr>
                <w:sz w:val="19"/>
                <w:szCs w:val="19"/>
                <w:color w:val="auto"/>
              </w:rPr>
            </w:pP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1,016</w:t>
            </w:r>
          </w:p>
        </w:tc>
        <w:tc>
          <w:tcPr>
            <w:tcW w:w="1140" w:type="dxa"/>
            <w:vAlign w:val="bottom"/>
          </w:tcPr>
          <w:p>
            <w:pPr>
              <w:spacing w:after="0"/>
              <w:rPr>
                <w:sz w:val="19"/>
                <w:szCs w:val="19"/>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1,832</w:t>
            </w:r>
          </w:p>
        </w:tc>
      </w:tr>
      <w:tr>
        <w:trPr>
          <w:trHeight w:val="233"/>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Proceeds from sales of loans held-for-sale</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2,534</w:t>
            </w: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2,798</w:t>
            </w:r>
          </w:p>
        </w:tc>
      </w:tr>
      <w:tr>
        <w:trPr>
          <w:trHeight w:val="226"/>
        </w:trPr>
        <w:tc>
          <w:tcPr>
            <w:tcW w:w="7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Originations of loans held-for-sale</w:t>
            </w:r>
          </w:p>
        </w:tc>
        <w:tc>
          <w:tcPr>
            <w:tcW w:w="34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(2,592 )</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(2,609 )</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Realized (gains) losses on sales, redemptions and calls of:</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26"/>
        </w:trPr>
        <w:tc>
          <w:tcPr>
            <w:tcW w:w="76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Foreclosed real estate</w:t>
            </w:r>
          </w:p>
        </w:tc>
        <w:tc>
          <w:tcPr>
            <w:tcW w:w="340" w:type="dxa"/>
            <w:vAlign w:val="bottom"/>
          </w:tcPr>
          <w:p>
            <w:pPr>
              <w:spacing w:after="0"/>
              <w:rPr>
                <w:sz w:val="19"/>
                <w:szCs w:val="19"/>
                <w:color w:val="auto"/>
              </w:rPr>
            </w:pP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spacing w:after="0"/>
              <w:rPr>
                <w:sz w:val="19"/>
                <w:szCs w:val="19"/>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w:t>
            </w:r>
          </w:p>
        </w:tc>
      </w:tr>
      <w:tr>
        <w:trPr>
          <w:trHeight w:val="233"/>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Loans</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58</w:t>
            </w: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(170 )</w:t>
            </w:r>
          </w:p>
        </w:tc>
      </w:tr>
      <w:tr>
        <w:trPr>
          <w:trHeight w:val="226"/>
        </w:trPr>
        <w:tc>
          <w:tcPr>
            <w:tcW w:w="76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Available-for-sale investment securities</w:t>
            </w:r>
          </w:p>
        </w:tc>
        <w:tc>
          <w:tcPr>
            <w:tcW w:w="340" w:type="dxa"/>
            <w:vAlign w:val="bottom"/>
          </w:tcPr>
          <w:p>
            <w:pPr>
              <w:spacing w:after="0"/>
              <w:rPr>
                <w:sz w:val="19"/>
                <w:szCs w:val="19"/>
                <w:color w:val="auto"/>
              </w:rPr>
            </w:pP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127</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(79 )</w:t>
            </w:r>
          </w:p>
        </w:tc>
      </w:tr>
      <w:tr>
        <w:trPr>
          <w:trHeight w:val="233"/>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Held-to-maturity investment securities</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5</w:t>
            </w: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w:t>
            </w:r>
          </w:p>
        </w:tc>
      </w:tr>
      <w:tr>
        <w:trPr>
          <w:trHeight w:val="226"/>
        </w:trPr>
        <w:tc>
          <w:tcPr>
            <w:tcW w:w="76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Marketable securities</w:t>
            </w:r>
          </w:p>
        </w:tc>
        <w:tc>
          <w:tcPr>
            <w:tcW w:w="340" w:type="dxa"/>
            <w:vAlign w:val="bottom"/>
          </w:tcPr>
          <w:p>
            <w:pPr>
              <w:spacing w:after="0"/>
              <w:rPr>
                <w:sz w:val="19"/>
                <w:szCs w:val="19"/>
                <w:color w:val="auto"/>
              </w:rPr>
            </w:pP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31</w:t>
            </w:r>
          </w:p>
        </w:tc>
        <w:tc>
          <w:tcPr>
            <w:tcW w:w="1140" w:type="dxa"/>
            <w:vAlign w:val="bottom"/>
          </w:tcPr>
          <w:p>
            <w:pPr>
              <w:spacing w:after="0"/>
              <w:rPr>
                <w:sz w:val="19"/>
                <w:szCs w:val="19"/>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674</w:t>
            </w: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706</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mortgage servicing rights</w:t>
            </w:r>
          </w:p>
        </w:tc>
        <w:tc>
          <w:tcPr>
            <w:tcW w:w="34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(24 )</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Amortization of deferred loan fees and costs</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(154 )</w:t>
            </w: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(68 )</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expense</w:t>
            </w:r>
          </w:p>
        </w:tc>
        <w:tc>
          <w:tcPr>
            <w:tcW w:w="340" w:type="dxa"/>
            <w:vAlign w:val="bottom"/>
          </w:tcPr>
          <w:p>
            <w:pPr>
              <w:spacing w:after="0"/>
              <w:rPr>
                <w:sz w:val="19"/>
                <w:szCs w:val="19"/>
                <w:color w:val="auto"/>
              </w:rPr>
            </w:pP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55</w:t>
            </w:r>
          </w:p>
        </w:tc>
        <w:tc>
          <w:tcPr>
            <w:tcW w:w="1140" w:type="dxa"/>
            <w:vAlign w:val="bottom"/>
          </w:tcPr>
          <w:p>
            <w:pPr>
              <w:spacing w:after="0"/>
              <w:rPr>
                <w:sz w:val="19"/>
                <w:szCs w:val="19"/>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58</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Amortization of deferred financing fees from subordinated debt</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94</w:t>
            </w: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88</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on bank owned life insurance</w:t>
            </w:r>
          </w:p>
        </w:tc>
        <w:tc>
          <w:tcPr>
            <w:tcW w:w="34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(324 )</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(301 )</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amortization of premiums and discounts on investment securities</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(17 )</w:t>
            </w: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1,201</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340" w:type="dxa"/>
            <w:vAlign w:val="bottom"/>
          </w:tcPr>
          <w:p>
            <w:pPr>
              <w:spacing w:after="0"/>
              <w:rPr>
                <w:sz w:val="19"/>
                <w:szCs w:val="19"/>
                <w:color w:val="auto"/>
              </w:rPr>
            </w:pP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9</w:t>
            </w:r>
          </w:p>
        </w:tc>
        <w:tc>
          <w:tcPr>
            <w:tcW w:w="1140" w:type="dxa"/>
            <w:vAlign w:val="bottom"/>
          </w:tcPr>
          <w:p>
            <w:pPr>
              <w:spacing w:after="0"/>
              <w:rPr>
                <w:sz w:val="19"/>
                <w:szCs w:val="19"/>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 based compensation and ESOP expense</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153</w:t>
            </w: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266</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change in accrued interest receivable</w:t>
            </w:r>
          </w:p>
        </w:tc>
        <w:tc>
          <w:tcPr>
            <w:tcW w:w="340" w:type="dxa"/>
            <w:vAlign w:val="bottom"/>
          </w:tcPr>
          <w:p>
            <w:pPr>
              <w:spacing w:after="0"/>
              <w:rPr>
                <w:sz w:val="19"/>
                <w:szCs w:val="19"/>
                <w:color w:val="auto"/>
              </w:rPr>
            </w:pP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210</w:t>
            </w:r>
          </w:p>
        </w:tc>
        <w:tc>
          <w:tcPr>
            <w:tcW w:w="1140" w:type="dxa"/>
            <w:vAlign w:val="bottom"/>
          </w:tcPr>
          <w:p>
            <w:pPr>
              <w:spacing w:after="0"/>
              <w:rPr>
                <w:sz w:val="19"/>
                <w:szCs w:val="19"/>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w:t>
            </w:r>
          </w:p>
        </w:tc>
      </w:tr>
      <w:tr>
        <w:trPr>
          <w:trHeight w:val="230"/>
        </w:trPr>
        <w:tc>
          <w:tcPr>
            <w:tcW w:w="76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change in other assets and liabilities</w:t>
            </w:r>
          </w:p>
        </w:tc>
        <w:tc>
          <w:tcPr>
            <w:tcW w:w="3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(3,953 )</w:t>
            </w:r>
          </w:p>
        </w:tc>
        <w:tc>
          <w:tcPr>
            <w:tcW w:w="1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(6,447 )</w:t>
            </w:r>
          </w:p>
        </w:tc>
      </w:tr>
      <w:tr>
        <w:trPr>
          <w:trHeight w:val="225"/>
        </w:trPr>
        <w:tc>
          <w:tcPr>
            <w:tcW w:w="76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b w:val="1"/>
                <w:bCs w:val="1"/>
                <w:color w:val="auto"/>
              </w:rPr>
              <w:t>Net cash inflows from operating activities</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2,022</w:t>
            </w: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1,903</w:t>
            </w:r>
          </w:p>
        </w:tc>
      </w:tr>
      <w:tr>
        <w:trPr>
          <w:trHeight w:val="225"/>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available-for-sale securities</w:t>
            </w:r>
          </w:p>
        </w:tc>
        <w:tc>
          <w:tcPr>
            <w:tcW w:w="34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(59,740 )</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(17,809 )</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 of held-to-maturity securities</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(3,517 )</w:t>
            </w: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6"/>
              </w:rPr>
              <w:t>(12,787 )</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marketable securities</w:t>
            </w:r>
          </w:p>
        </w:tc>
        <w:tc>
          <w:tcPr>
            <w:tcW w:w="34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(618 )</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(491 )</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 of Federal Home Loan Bank stock</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(6,812 )</w:t>
            </w: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(8,214 )</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redemption of Federal Home Loan Bank stock</w:t>
            </w:r>
          </w:p>
        </w:tc>
        <w:tc>
          <w:tcPr>
            <w:tcW w:w="340" w:type="dxa"/>
            <w:vAlign w:val="bottom"/>
          </w:tcPr>
          <w:p>
            <w:pPr>
              <w:spacing w:after="0"/>
              <w:rPr>
                <w:sz w:val="19"/>
                <w:szCs w:val="19"/>
                <w:color w:val="auto"/>
              </w:rPr>
            </w:pP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6,858</w:t>
            </w:r>
          </w:p>
        </w:tc>
        <w:tc>
          <w:tcPr>
            <w:tcW w:w="1140" w:type="dxa"/>
            <w:vAlign w:val="bottom"/>
          </w:tcPr>
          <w:p>
            <w:pPr>
              <w:spacing w:after="0"/>
              <w:rPr>
                <w:sz w:val="19"/>
                <w:szCs w:val="19"/>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7,660</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maturities and principal reductions of available-for-sale securities</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38,964</w:t>
            </w: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6,564</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maturities and principal reductions of held-to-maturity securities</w:t>
            </w:r>
          </w:p>
        </w:tc>
        <w:tc>
          <w:tcPr>
            <w:tcW w:w="340" w:type="dxa"/>
            <w:vAlign w:val="bottom"/>
          </w:tcPr>
          <w:p>
            <w:pPr>
              <w:spacing w:after="0"/>
              <w:rPr>
                <w:sz w:val="19"/>
                <w:szCs w:val="19"/>
                <w:color w:val="auto"/>
              </w:rPr>
            </w:pP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15,876</w:t>
            </w:r>
          </w:p>
        </w:tc>
        <w:tc>
          <w:tcPr>
            <w:tcW w:w="1140" w:type="dxa"/>
            <w:vAlign w:val="bottom"/>
          </w:tcPr>
          <w:p>
            <w:pPr>
              <w:spacing w:after="0"/>
              <w:rPr>
                <w:sz w:val="19"/>
                <w:szCs w:val="19"/>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11,225</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sales, redemptions and calls of:</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26"/>
        </w:trPr>
        <w:tc>
          <w:tcPr>
            <w:tcW w:w="7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Available-for-sale securities</w:t>
            </w:r>
          </w:p>
        </w:tc>
        <w:tc>
          <w:tcPr>
            <w:tcW w:w="340" w:type="dxa"/>
            <w:vAlign w:val="bottom"/>
          </w:tcPr>
          <w:p>
            <w:pPr>
              <w:spacing w:after="0"/>
              <w:rPr>
                <w:sz w:val="19"/>
                <w:szCs w:val="19"/>
                <w:color w:val="auto"/>
              </w:rPr>
            </w:pP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3,449</w:t>
            </w:r>
          </w:p>
        </w:tc>
        <w:tc>
          <w:tcPr>
            <w:tcW w:w="1140" w:type="dxa"/>
            <w:vAlign w:val="bottom"/>
          </w:tcPr>
          <w:p>
            <w:pPr>
              <w:spacing w:after="0"/>
              <w:rPr>
                <w:sz w:val="19"/>
                <w:szCs w:val="19"/>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17,396</w:t>
            </w:r>
          </w:p>
        </w:tc>
      </w:tr>
      <w:tr>
        <w:trPr>
          <w:trHeight w:val="233"/>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Held-to-maturity securities</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706</w:t>
            </w: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49</w:t>
            </w:r>
          </w:p>
        </w:tc>
      </w:tr>
      <w:tr>
        <w:trPr>
          <w:trHeight w:val="226"/>
        </w:trPr>
        <w:tc>
          <w:tcPr>
            <w:tcW w:w="7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Real estate acquired through foreclosure</w:t>
            </w:r>
          </w:p>
        </w:tc>
        <w:tc>
          <w:tcPr>
            <w:tcW w:w="340" w:type="dxa"/>
            <w:vAlign w:val="bottom"/>
          </w:tcPr>
          <w:p>
            <w:pPr>
              <w:spacing w:after="0"/>
              <w:rPr>
                <w:sz w:val="19"/>
                <w:szCs w:val="19"/>
                <w:color w:val="auto"/>
              </w:rPr>
            </w:pP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68</w:t>
            </w:r>
          </w:p>
        </w:tc>
        <w:tc>
          <w:tcPr>
            <w:tcW w:w="1140" w:type="dxa"/>
            <w:vAlign w:val="bottom"/>
          </w:tcPr>
          <w:p>
            <w:pPr>
              <w:spacing w:after="0"/>
              <w:rPr>
                <w:sz w:val="19"/>
                <w:szCs w:val="19"/>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227</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change in loans</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8,999</w:t>
            </w: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8,023</w:t>
            </w:r>
          </w:p>
        </w:tc>
      </w:tr>
      <w:tr>
        <w:trPr>
          <w:trHeight w:val="226"/>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Purchase of premises and equipment</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(1,111 )</w:t>
            </w: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(662 )</w:t>
            </w:r>
          </w:p>
        </w:tc>
      </w:tr>
      <w:tr>
        <w:trPr>
          <w:trHeight w:val="225"/>
        </w:trPr>
        <w:tc>
          <w:tcPr>
            <w:tcW w:w="764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7"/>
                <w:szCs w:val="17"/>
                <w:b w:val="1"/>
                <w:bCs w:val="1"/>
                <w:color w:val="auto"/>
              </w:rPr>
              <w:t>Net cash inflows from investing activities</w:t>
            </w:r>
          </w:p>
        </w:tc>
        <w:tc>
          <w:tcPr>
            <w:tcW w:w="3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3,122</w:t>
            </w:r>
          </w:p>
        </w:tc>
        <w:tc>
          <w:tcPr>
            <w:tcW w:w="1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11,181</w:t>
            </w:r>
          </w:p>
        </w:tc>
      </w:tr>
      <w:tr>
        <w:trPr>
          <w:trHeight w:val="427"/>
        </w:trPr>
        <w:tc>
          <w:tcPr>
            <w:tcW w:w="764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w:t>
            </w: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63"/>
        </w:trPr>
        <w:tc>
          <w:tcPr>
            <w:tcW w:w="7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4"/>
        </w:trPr>
        <w:tc>
          <w:tcPr>
            <w:tcW w:w="6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13"/>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demand deposits, NOW accounts, savings accounts, money management</w:t>
            </w:r>
          </w:p>
        </w:tc>
        <w:tc>
          <w:tcPr>
            <w:tcW w:w="1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48"/>
        </w:trPr>
        <w:tc>
          <w:tcPr>
            <w:tcW w:w="6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deposit accounts, MMDA accounts and escrow deposits</w:t>
            </w:r>
          </w:p>
        </w:tc>
        <w:tc>
          <w:tcPr>
            <w:tcW w:w="1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(38,565 )</w:t>
            </w:r>
          </w:p>
        </w:tc>
        <w:tc>
          <w:tcPr>
            <w:tcW w:w="6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(71,567 )</w:t>
            </w: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time deposits</w:t>
            </w:r>
          </w:p>
        </w:tc>
        <w:tc>
          <w:tcPr>
            <w:tcW w:w="12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23,657</w:t>
            </w:r>
          </w:p>
        </w:tc>
        <w:tc>
          <w:tcPr>
            <w:tcW w:w="6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59,337</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brokered deposits</w:t>
            </w:r>
          </w:p>
        </w:tc>
        <w:tc>
          <w:tcPr>
            <w:tcW w:w="1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(3,882 )</w:t>
            </w:r>
          </w:p>
        </w:tc>
        <w:tc>
          <w:tcPr>
            <w:tcW w:w="6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(12,100 )</w:t>
            </w: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12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1,897</w:t>
            </w:r>
          </w:p>
        </w:tc>
        <w:tc>
          <w:tcPr>
            <w:tcW w:w="6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9,203</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on long-term borrowings</w:t>
            </w:r>
          </w:p>
        </w:tc>
        <w:tc>
          <w:tcPr>
            <w:tcW w:w="1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(4,050 )</w:t>
            </w:r>
          </w:p>
        </w:tc>
        <w:tc>
          <w:tcPr>
            <w:tcW w:w="6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(3,525 )</w:t>
            </w: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12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7,776</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368</w:t>
            </w: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 to common voting shareholders</w:t>
            </w:r>
          </w:p>
        </w:tc>
        <w:tc>
          <w:tcPr>
            <w:tcW w:w="1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(897 )</w:t>
            </w:r>
          </w:p>
        </w:tc>
        <w:tc>
          <w:tcPr>
            <w:tcW w:w="6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(841 )</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dividends paid to common non-voting shareholders</w:t>
            </w:r>
          </w:p>
        </w:tc>
        <w:tc>
          <w:tcPr>
            <w:tcW w:w="1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(262 )</w:t>
            </w:r>
          </w:p>
        </w:tc>
        <w:tc>
          <w:tcPr>
            <w:tcW w:w="6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(248 )</w:t>
            </w: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 on warrants</w:t>
            </w:r>
          </w:p>
        </w:tc>
        <w:tc>
          <w:tcPr>
            <w:tcW w:w="1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(25 )</w:t>
            </w:r>
          </w:p>
        </w:tc>
        <w:tc>
          <w:tcPr>
            <w:tcW w:w="6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43"/>
        </w:trPr>
        <w:tc>
          <w:tcPr>
            <w:tcW w:w="69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noncontrolling interest, net</w:t>
            </w:r>
          </w:p>
        </w:tc>
        <w:tc>
          <w:tcPr>
            <w:tcW w:w="12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c>
          <w:tcPr>
            <w:tcW w:w="6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r>
      <w:tr>
        <w:trPr>
          <w:trHeight w:val="238"/>
        </w:trPr>
        <w:tc>
          <w:tcPr>
            <w:tcW w:w="69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Net cash outflows from financing activities</w:t>
            </w:r>
          </w:p>
        </w:tc>
        <w:tc>
          <w:tcPr>
            <w:tcW w:w="1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(22,057 )</w:t>
            </w: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(11,551 )</w:t>
            </w:r>
          </w:p>
        </w:tc>
      </w:tr>
      <w:tr>
        <w:trPr>
          <w:trHeight w:val="23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1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(16,913 )</w:t>
            </w:r>
          </w:p>
        </w:tc>
        <w:tc>
          <w:tcPr>
            <w:tcW w:w="66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1,533</w:t>
            </w:r>
          </w:p>
        </w:tc>
      </w:tr>
      <w:tr>
        <w:trPr>
          <w:trHeight w:val="239"/>
        </w:trPr>
        <w:tc>
          <w:tcPr>
            <w:tcW w:w="6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48,732</w:t>
            </w: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35,282</w:t>
            </w:r>
          </w:p>
        </w:tc>
      </w:tr>
      <w:tr>
        <w:trPr>
          <w:trHeight w:val="279"/>
        </w:trPr>
        <w:tc>
          <w:tcPr>
            <w:tcW w:w="69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24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31,819</w:t>
            </w:r>
          </w:p>
        </w:tc>
        <w:tc>
          <w:tcPr>
            <w:tcW w:w="6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36,815</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DURING THE PERIOD FOR:</w:t>
            </w:r>
          </w:p>
        </w:tc>
        <w:tc>
          <w:tcPr>
            <w:tcW w:w="1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5"/>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124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18,905</w:t>
            </w:r>
          </w:p>
        </w:tc>
        <w:tc>
          <w:tcPr>
            <w:tcW w:w="6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11,380</w:t>
            </w:r>
          </w:p>
        </w:tc>
      </w:tr>
      <w:tr>
        <w:trPr>
          <w:trHeight w:val="239"/>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12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600</w:t>
            </w:r>
          </w:p>
        </w:tc>
        <w:tc>
          <w:tcPr>
            <w:tcW w:w="6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ACTIVITY</w:t>
            </w:r>
          </w:p>
        </w:tc>
        <w:tc>
          <w:tcPr>
            <w:tcW w:w="1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34"/>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estate acquired in exchange for loans</w:t>
            </w:r>
          </w:p>
        </w:tc>
        <w:tc>
          <w:tcPr>
            <w:tcW w:w="12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color w:val="auto"/>
        </w:rPr>
        <w:t>Notes to Consolidated Financial Statements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Basis of Presentation</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accompanying unaudited consolidated financial statements of Pathfinder Bancorp, Inc., (the “Company”), Pathfinder Bank (the “Bank”) and its other wholly owned subsidiaries have been prepared in accordance with accounting principles generally accepted in the United States of America for interim financial information, the instructions for Form 10-Q and Article 8 of Regulation S-X. Accordingly, they do not include all of the information and footnotes necessary for a complete presentation of consolidated financial condition, results of operations and cash flows in conformity with generally accepted accounting principles. In the opinion of management, all adjustments, consisting of normal recurring accruals considered necessary for a fair presentation, have been included. Certain amounts in the 2023 consolidated financial statements may have been reclassified to conform to the current period presentation. These reclassifications had no effect on net income or comprehensive income as previously reported. Operating results for the three and six months ended June 30, 2024 are not necessarily indicative of the results that may be expected for the full year ending December 31, 2024 or any other interim period.</w:t>
      </w:r>
    </w:p>
    <w:p>
      <w:pPr>
        <w:spacing w:after="0" w:line="19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Company's consolidated financial statements are prepared in accordance with accounting principles generally accepted in the United States and follow practices within the banking industry. Application of these principles requires management to make estimates, assumptions, and judgments that affect the amounts reported in the consolidated financial statements and accompanying notes. These estimates, assumptions, and judgments are based on information available as of the date of the consolidated financial statements; accordingly, as this information changes, the consolidated financial statements could reflect different estimates, assumptions, and judgments. Certain accounting policies inherently have a greater reliance on the use of estimates, assumptions, and judgments and as such, have a greater possibility of producing results that could be materially different than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 financial statement volatility. The fair values and information used to record valuation adjustments for certain assets and liabilities are based on quoted market prices or are provided by unaffiliated third-party sources, when available. When third party information is not available, valuation adjustments are estimated in good faith by management.</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Although the Company owns, through its wholly owned subsidiary Pathfinder Risk Management Company, Inc., 51% of the membership interest in FitzGibbons Agency, LLC (“Agency”), the Company is required to consolidate 100% of the Agency within the consolidated financial statements. The 49% of which the Company does not own is accounted for separately as noncontrolling interests within the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Note 2:  New Accounting Pronouncements</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Financial Accounting Standards Board (“FASB”) and, to a lesser extent, other authoritative rulemaking bodies promulgate generally accepted accounting principles (“GAAP”) to regulate the standards of accounting in the United States. From time to time, the FASB issues new GAAP standards, known as Accounting Standards Updates (“ASUs”) some of which, upon adoption, may have the potential to change the way in which the Company recognizes or reports within its consolidated financial statements. The following table provides a description of the accounting standards that are not currently effective, but could have an impact on the Company's consolidated financial statements upon adoption.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Standards Not Yet Adopted as of June 30, 2024</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760" w:type="dxa"/>
            <w:vAlign w:val="bottom"/>
            <w:tcBorders>
              <w:top w:val="single" w:sz="8" w:color="auto"/>
              <w:left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4860" w:type="dxa"/>
            <w:vAlign w:val="bottom"/>
            <w:tcBorders>
              <w:top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900" w:type="dxa"/>
            <w:vAlign w:val="bottom"/>
            <w:tcBorders>
              <w:top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Required Date</w:t>
            </w:r>
          </w:p>
        </w:tc>
        <w:tc>
          <w:tcPr>
            <w:tcW w:w="2720" w:type="dxa"/>
            <w:vAlign w:val="bottom"/>
            <w:tcBorders>
              <w:top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Effect on Consolidated Financial</w:t>
            </w:r>
          </w:p>
        </w:tc>
      </w:tr>
      <w:tr>
        <w:trPr>
          <w:trHeight w:val="245"/>
        </w:trPr>
        <w:tc>
          <w:tcPr>
            <w:tcW w:w="1760" w:type="dxa"/>
            <w:vAlign w:val="bottom"/>
            <w:tcBorders>
              <w:left w:val="single" w:sz="8" w:color="auto"/>
              <w:bottom w:val="single" w:sz="8" w:color="auto"/>
              <w:right w:val="single" w:sz="8" w:color="auto"/>
            </w:tcBorders>
            <w:shd w:val="clear" w:color="auto" w:fill="CFF0FC"/>
          </w:tcPr>
          <w:p>
            <w:pPr>
              <w:spacing w:after="0"/>
              <w:rPr>
                <w:sz w:val="21"/>
                <w:szCs w:val="21"/>
                <w:color w:val="auto"/>
              </w:rPr>
            </w:pPr>
          </w:p>
        </w:tc>
        <w:tc>
          <w:tcPr>
            <w:tcW w:w="4860" w:type="dxa"/>
            <w:vAlign w:val="bottom"/>
            <w:tcBorders>
              <w:bottom w:val="single" w:sz="8" w:color="auto"/>
              <w:right w:val="single" w:sz="8" w:color="auto"/>
            </w:tcBorders>
            <w:shd w:val="clear" w:color="auto" w:fill="CFF0FC"/>
          </w:tcPr>
          <w:p>
            <w:pPr>
              <w:spacing w:after="0"/>
              <w:rPr>
                <w:sz w:val="21"/>
                <w:szCs w:val="21"/>
                <w:color w:val="auto"/>
              </w:rPr>
            </w:pPr>
          </w:p>
        </w:tc>
        <w:tc>
          <w:tcPr>
            <w:tcW w:w="1900" w:type="dxa"/>
            <w:vAlign w:val="bottom"/>
            <w:tcBorders>
              <w:bottom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of Implementation</w:t>
            </w:r>
          </w:p>
        </w:tc>
        <w:tc>
          <w:tcPr>
            <w:tcW w:w="2720" w:type="dxa"/>
            <w:vAlign w:val="bottom"/>
            <w:tcBorders>
              <w:bottom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Statements</w:t>
            </w:r>
          </w:p>
        </w:tc>
      </w:tr>
      <w:tr>
        <w:trPr>
          <w:trHeight w:val="154"/>
        </w:trPr>
        <w:tc>
          <w:tcPr>
            <w:tcW w:w="1760" w:type="dxa"/>
            <w:vAlign w:val="bottom"/>
            <w:tcBorders>
              <w:left w:val="single" w:sz="8" w:color="auto"/>
              <w:right w:val="single" w:sz="8" w:color="auto"/>
            </w:tcBorders>
          </w:tcPr>
          <w:p>
            <w:pPr>
              <w:ind w:left="40"/>
              <w:spacing w:after="0" w:line="154" w:lineRule="exact"/>
              <w:rPr>
                <w:sz w:val="20"/>
                <w:szCs w:val="20"/>
                <w:color w:val="auto"/>
              </w:rPr>
            </w:pPr>
            <w:r>
              <w:rPr>
                <w:rFonts w:ascii="Times New Roman" w:cs="Times New Roman" w:eastAsia="Times New Roman" w:hAnsi="Times New Roman"/>
                <w:sz w:val="15"/>
                <w:szCs w:val="15"/>
                <w:color w:val="auto"/>
              </w:rPr>
              <w:t>Reference Rate Reform</w:t>
            </w:r>
          </w:p>
        </w:tc>
        <w:tc>
          <w:tcPr>
            <w:tcW w:w="4860" w:type="dxa"/>
            <w:vAlign w:val="bottom"/>
            <w:tcBorders>
              <w:right w:val="single" w:sz="8" w:color="auto"/>
            </w:tcBorders>
          </w:tcPr>
          <w:p>
            <w:pPr>
              <w:ind w:left="20"/>
              <w:spacing w:after="0" w:line="154" w:lineRule="exact"/>
              <w:rPr>
                <w:sz w:val="20"/>
                <w:szCs w:val="20"/>
                <w:color w:val="auto"/>
              </w:rPr>
            </w:pPr>
            <w:r>
              <w:rPr>
                <w:rFonts w:ascii="Times New Roman" w:cs="Times New Roman" w:eastAsia="Times New Roman" w:hAnsi="Times New Roman"/>
                <w:sz w:val="15"/>
                <w:szCs w:val="15"/>
                <w:color w:val="auto"/>
              </w:rPr>
              <w:t>The amendments provide optional expedients and exceptions for applying</w:t>
            </w:r>
          </w:p>
        </w:tc>
        <w:tc>
          <w:tcPr>
            <w:tcW w:w="1900" w:type="dxa"/>
            <w:vAlign w:val="bottom"/>
            <w:tcBorders>
              <w:right w:val="single" w:sz="8" w:color="auto"/>
            </w:tcBorders>
          </w:tcPr>
          <w:p>
            <w:pPr>
              <w:spacing w:after="0" w:line="154" w:lineRule="exact"/>
              <w:rPr>
                <w:sz w:val="20"/>
                <w:szCs w:val="20"/>
                <w:color w:val="auto"/>
              </w:rPr>
            </w:pPr>
            <w:r>
              <w:rPr>
                <w:rFonts w:ascii="Times New Roman" w:cs="Times New Roman" w:eastAsia="Times New Roman" w:hAnsi="Times New Roman"/>
                <w:sz w:val="15"/>
                <w:szCs w:val="15"/>
                <w:color w:val="auto"/>
              </w:rPr>
              <w:t>Upon issuance, January 7,</w:t>
            </w:r>
          </w:p>
        </w:tc>
        <w:tc>
          <w:tcPr>
            <w:tcW w:w="2720" w:type="dxa"/>
            <w:vAlign w:val="bottom"/>
            <w:tcBorders>
              <w:right w:val="single" w:sz="8" w:color="auto"/>
            </w:tcBorders>
          </w:tcPr>
          <w:p>
            <w:pPr>
              <w:spacing w:after="0" w:line="154" w:lineRule="exact"/>
              <w:rPr>
                <w:sz w:val="20"/>
                <w:szCs w:val="20"/>
                <w:color w:val="auto"/>
              </w:rPr>
            </w:pPr>
            <w:r>
              <w:rPr>
                <w:rFonts w:ascii="Times New Roman" w:cs="Times New Roman" w:eastAsia="Times New Roman" w:hAnsi="Times New Roman"/>
                <w:sz w:val="15"/>
                <w:szCs w:val="15"/>
                <w:color w:val="auto"/>
              </w:rPr>
              <w:t>The adoption of this ASU did not have a</w:t>
            </w: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(ASU 2020-04:</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generally accepted accounting principles (GAAP) to contracts, hedging</w:t>
            </w:r>
          </w:p>
        </w:tc>
        <w:tc>
          <w:tcPr>
            <w:tcW w:w="190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2021, through December 31,</w:t>
            </w:r>
          </w:p>
        </w:tc>
        <w:tc>
          <w:tcPr>
            <w:tcW w:w="272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material impact to the Company's</w:t>
            </w: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Facilitation of the Effects</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relationships, and other transactions affected by reference rate reform. The</w:t>
            </w:r>
          </w:p>
        </w:tc>
        <w:tc>
          <w:tcPr>
            <w:tcW w:w="190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2024, as amended by ASU</w:t>
            </w:r>
          </w:p>
        </w:tc>
        <w:tc>
          <w:tcPr>
            <w:tcW w:w="272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consolidated statements of condition or</w:t>
            </w: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of Reference Rate Reform</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amendments apply only to contracts, hedging relationships, and other</w:t>
            </w:r>
          </w:p>
        </w:tc>
        <w:tc>
          <w:tcPr>
            <w:tcW w:w="190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2022-06.</w:t>
            </w:r>
          </w:p>
        </w:tc>
        <w:tc>
          <w:tcPr>
            <w:tcW w:w="272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income.</w:t>
            </w: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on Financial Reporting</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transactions that reference LIBOR or another reference rate expected to be</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[Topic 848]: Deferral of</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discontinued because of reference rate reform. The amendments (1) apply to</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the Sunset Date of Topic</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contract modifications that replace a reference rate affected by reference rate</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6"/>
        </w:trPr>
        <w:tc>
          <w:tcPr>
            <w:tcW w:w="1760" w:type="dxa"/>
            <w:vAlign w:val="bottom"/>
            <w:tcBorders>
              <w:left w:val="single" w:sz="8" w:color="auto"/>
              <w:right w:val="single" w:sz="8" w:color="auto"/>
            </w:tcBorders>
          </w:tcPr>
          <w:p>
            <w:pPr>
              <w:ind w:left="40"/>
              <w:spacing w:after="0" w:line="166" w:lineRule="exact"/>
              <w:rPr>
                <w:sz w:val="20"/>
                <w:szCs w:val="20"/>
                <w:color w:val="auto"/>
              </w:rPr>
            </w:pPr>
            <w:r>
              <w:rPr>
                <w:rFonts w:ascii="Times New Roman" w:cs="Times New Roman" w:eastAsia="Times New Roman" w:hAnsi="Times New Roman"/>
                <w:sz w:val="15"/>
                <w:szCs w:val="15"/>
                <w:i w:val="1"/>
                <w:iCs w:val="1"/>
                <w:color w:val="auto"/>
              </w:rPr>
              <w:t>848)</w:t>
            </w:r>
          </w:p>
        </w:tc>
        <w:tc>
          <w:tcPr>
            <w:tcW w:w="4860" w:type="dxa"/>
            <w:vAlign w:val="bottom"/>
            <w:tcBorders>
              <w:right w:val="single" w:sz="8" w:color="auto"/>
            </w:tcBorders>
          </w:tcPr>
          <w:p>
            <w:pPr>
              <w:ind w:left="20"/>
              <w:spacing w:after="0" w:line="166" w:lineRule="exact"/>
              <w:rPr>
                <w:sz w:val="20"/>
                <w:szCs w:val="20"/>
                <w:color w:val="auto"/>
              </w:rPr>
            </w:pPr>
            <w:r>
              <w:rPr>
                <w:rFonts w:ascii="Times New Roman" w:cs="Times New Roman" w:eastAsia="Times New Roman" w:hAnsi="Times New Roman"/>
                <w:sz w:val="15"/>
                <w:szCs w:val="15"/>
                <w:color w:val="auto"/>
              </w:rPr>
              <w:t>reform, (2) provide exceptions to existing guidance related to changes to the</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critical terms of a hedging relationship due to reference rate reform (3)</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provide optional expedients for fair value hedging relationships, cash flow</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hedging relationships, and net investment hedging relationships, and (4)</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provide a onetime election to sell, transfer, or both sell and transfer debt</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securities classified as held-to-maturity that reference a rate affected by</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reference rate reform and that are classified as held-to-maturity before</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January 1, 2020. In January 2021, the FASB issued ASU 2021-01,</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Reference Rate Reform (Topic 848): Scope. ASU 2021-01 clarifies that</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certain optional expedients and exceptions in ASC 848 for contract</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modifications and hedge accounting apply to derivatives that are affected by</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the discounting transition. ASU 2021-01 also amends the expedients and</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exceptions in ASC 848 to capture the incremental consequences of the scope</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clarification and to tailor the existing guidance to derivative instruments</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93"/>
        </w:trPr>
        <w:tc>
          <w:tcPr>
            <w:tcW w:w="1760" w:type="dxa"/>
            <w:vAlign w:val="bottom"/>
            <w:tcBorders>
              <w:left w:val="single" w:sz="8" w:color="auto"/>
              <w:bottom w:val="single" w:sz="8" w:color="auto"/>
              <w:right w:val="single" w:sz="8" w:color="auto"/>
            </w:tcBorders>
          </w:tcPr>
          <w:p>
            <w:pPr>
              <w:spacing w:after="0"/>
              <w:rPr>
                <w:sz w:val="16"/>
                <w:szCs w:val="16"/>
                <w:color w:val="auto"/>
              </w:rPr>
            </w:pPr>
          </w:p>
        </w:tc>
        <w:tc>
          <w:tcPr>
            <w:tcW w:w="4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affected by the discounting transition.</w:t>
            </w:r>
          </w:p>
        </w:tc>
        <w:tc>
          <w:tcPr>
            <w:tcW w:w="190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201"/>
        </w:trPr>
        <w:tc>
          <w:tcPr>
            <w:tcW w:w="1760" w:type="dxa"/>
            <w:vAlign w:val="bottom"/>
            <w:tcBorders>
              <w:left w:val="single" w:sz="8" w:color="auto"/>
              <w:right w:val="single" w:sz="8" w:color="auto"/>
            </w:tcBorders>
            <w:shd w:val="clear" w:color="auto" w:fill="CFF0FC"/>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Standard</w:t>
            </w:r>
          </w:p>
        </w:tc>
        <w:tc>
          <w:tcPr>
            <w:tcW w:w="4860" w:type="dxa"/>
            <w:vAlign w:val="bottom"/>
            <w:tcBorders>
              <w:right w:val="single" w:sz="8" w:color="auto"/>
            </w:tcBorders>
            <w:shd w:val="clear" w:color="auto" w:fill="CFF0FC"/>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1900" w:type="dxa"/>
            <w:vAlign w:val="bottom"/>
            <w:tcBorders>
              <w:right w:val="single" w:sz="8" w:color="auto"/>
            </w:tcBorders>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Required Date</w:t>
            </w:r>
          </w:p>
        </w:tc>
        <w:tc>
          <w:tcPr>
            <w:tcW w:w="2720" w:type="dxa"/>
            <w:vAlign w:val="bottom"/>
            <w:tcBorders>
              <w:right w:val="single" w:sz="8" w:color="auto"/>
            </w:tcBorders>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Effect on Consolidated Financial</w:t>
            </w:r>
          </w:p>
        </w:tc>
      </w:tr>
      <w:tr>
        <w:trPr>
          <w:trHeight w:val="245"/>
        </w:trPr>
        <w:tc>
          <w:tcPr>
            <w:tcW w:w="1760" w:type="dxa"/>
            <w:vAlign w:val="bottom"/>
            <w:tcBorders>
              <w:left w:val="single" w:sz="8" w:color="auto"/>
              <w:bottom w:val="single" w:sz="8" w:color="auto"/>
              <w:right w:val="single" w:sz="8" w:color="auto"/>
            </w:tcBorders>
            <w:shd w:val="clear" w:color="auto" w:fill="CFF0FC"/>
          </w:tcPr>
          <w:p>
            <w:pPr>
              <w:spacing w:after="0"/>
              <w:rPr>
                <w:sz w:val="21"/>
                <w:szCs w:val="21"/>
                <w:color w:val="auto"/>
              </w:rPr>
            </w:pPr>
          </w:p>
        </w:tc>
        <w:tc>
          <w:tcPr>
            <w:tcW w:w="4860" w:type="dxa"/>
            <w:vAlign w:val="bottom"/>
            <w:tcBorders>
              <w:bottom w:val="single" w:sz="8" w:color="auto"/>
              <w:right w:val="single" w:sz="8" w:color="auto"/>
            </w:tcBorders>
            <w:shd w:val="clear" w:color="auto" w:fill="CFF0FC"/>
          </w:tcPr>
          <w:p>
            <w:pPr>
              <w:spacing w:after="0"/>
              <w:rPr>
                <w:sz w:val="21"/>
                <w:szCs w:val="21"/>
                <w:color w:val="auto"/>
              </w:rPr>
            </w:pPr>
          </w:p>
        </w:tc>
        <w:tc>
          <w:tcPr>
            <w:tcW w:w="1900" w:type="dxa"/>
            <w:vAlign w:val="bottom"/>
            <w:tcBorders>
              <w:bottom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of Implementation</w:t>
            </w:r>
          </w:p>
        </w:tc>
        <w:tc>
          <w:tcPr>
            <w:tcW w:w="2720" w:type="dxa"/>
            <w:vAlign w:val="bottom"/>
            <w:tcBorders>
              <w:bottom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Statements</w:t>
            </w:r>
          </w:p>
        </w:tc>
      </w:tr>
      <w:tr>
        <w:trPr>
          <w:trHeight w:val="154"/>
        </w:trPr>
        <w:tc>
          <w:tcPr>
            <w:tcW w:w="1760" w:type="dxa"/>
            <w:vAlign w:val="bottom"/>
            <w:tcBorders>
              <w:left w:val="single" w:sz="8" w:color="auto"/>
              <w:right w:val="single" w:sz="8" w:color="auto"/>
            </w:tcBorders>
          </w:tcPr>
          <w:p>
            <w:pPr>
              <w:ind w:left="40"/>
              <w:spacing w:after="0" w:line="154" w:lineRule="exact"/>
              <w:rPr>
                <w:sz w:val="20"/>
                <w:szCs w:val="20"/>
                <w:color w:val="auto"/>
              </w:rPr>
            </w:pPr>
            <w:r>
              <w:rPr>
                <w:rFonts w:ascii="Times New Roman" w:cs="Times New Roman" w:eastAsia="Times New Roman" w:hAnsi="Times New Roman"/>
                <w:sz w:val="15"/>
                <w:szCs w:val="15"/>
                <w:color w:val="auto"/>
              </w:rPr>
              <w:t xml:space="preserve">Income taxes </w:t>
            </w:r>
            <w:r>
              <w:rPr>
                <w:rFonts w:ascii="Times New Roman" w:cs="Times New Roman" w:eastAsia="Times New Roman" w:hAnsi="Times New Roman"/>
                <w:sz w:val="15"/>
                <w:szCs w:val="15"/>
                <w:i w:val="1"/>
                <w:iCs w:val="1"/>
                <w:color w:val="auto"/>
              </w:rPr>
              <w:t>(Topic</w:t>
            </w:r>
          </w:p>
        </w:tc>
        <w:tc>
          <w:tcPr>
            <w:tcW w:w="4860" w:type="dxa"/>
            <w:vAlign w:val="bottom"/>
            <w:tcBorders>
              <w:right w:val="single" w:sz="8" w:color="auto"/>
            </w:tcBorders>
          </w:tcPr>
          <w:p>
            <w:pPr>
              <w:ind w:left="20"/>
              <w:spacing w:after="0" w:line="154" w:lineRule="exact"/>
              <w:rPr>
                <w:sz w:val="20"/>
                <w:szCs w:val="20"/>
                <w:color w:val="auto"/>
              </w:rPr>
            </w:pPr>
            <w:r>
              <w:rPr>
                <w:rFonts w:ascii="Times New Roman" w:cs="Times New Roman" w:eastAsia="Times New Roman" w:hAnsi="Times New Roman"/>
                <w:sz w:val="15"/>
                <w:szCs w:val="15"/>
                <w:color w:val="auto"/>
              </w:rPr>
              <w:t>Amendments to ASC740 are being made to enhance the transparency and</w:t>
            </w:r>
          </w:p>
        </w:tc>
        <w:tc>
          <w:tcPr>
            <w:tcW w:w="1900" w:type="dxa"/>
            <w:vAlign w:val="bottom"/>
            <w:tcBorders>
              <w:right w:val="single" w:sz="8" w:color="auto"/>
            </w:tcBorders>
          </w:tcPr>
          <w:p>
            <w:pPr>
              <w:spacing w:after="0" w:line="154" w:lineRule="exact"/>
              <w:rPr>
                <w:sz w:val="20"/>
                <w:szCs w:val="20"/>
                <w:color w:val="auto"/>
              </w:rPr>
            </w:pPr>
            <w:r>
              <w:rPr>
                <w:rFonts w:ascii="Times New Roman" w:cs="Times New Roman" w:eastAsia="Times New Roman" w:hAnsi="Times New Roman"/>
                <w:sz w:val="15"/>
                <w:szCs w:val="15"/>
                <w:color w:val="auto"/>
              </w:rPr>
              <w:t>Public business entities are</w:t>
            </w:r>
          </w:p>
        </w:tc>
        <w:tc>
          <w:tcPr>
            <w:tcW w:w="2720" w:type="dxa"/>
            <w:vAlign w:val="bottom"/>
            <w:tcBorders>
              <w:right w:val="single" w:sz="8" w:color="auto"/>
            </w:tcBorders>
          </w:tcPr>
          <w:p>
            <w:pPr>
              <w:spacing w:after="0" w:line="154" w:lineRule="exact"/>
              <w:rPr>
                <w:sz w:val="20"/>
                <w:szCs w:val="20"/>
                <w:color w:val="auto"/>
              </w:rPr>
            </w:pPr>
            <w:r>
              <w:rPr>
                <w:rFonts w:ascii="Times New Roman" w:cs="Times New Roman" w:eastAsia="Times New Roman" w:hAnsi="Times New Roman"/>
                <w:sz w:val="15"/>
                <w:szCs w:val="15"/>
                <w:color w:val="auto"/>
              </w:rPr>
              <w:t>The adoption of this ASU is not expected</w:t>
            </w: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740): Improvements to</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decision usefulness of income tax disclosures. The enhancements are made</w:t>
            </w:r>
          </w:p>
        </w:tc>
        <w:tc>
          <w:tcPr>
            <w:tcW w:w="190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required to apply this</w:t>
            </w:r>
          </w:p>
        </w:tc>
        <w:tc>
          <w:tcPr>
            <w:tcW w:w="272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to have a material impact to the Company's</w:t>
            </w: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Income Tax Disclosures</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to provide information to better assess how an entity's operations and related</w:t>
            </w:r>
          </w:p>
        </w:tc>
        <w:tc>
          <w:tcPr>
            <w:tcW w:w="190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guidance to annual periods</w:t>
            </w:r>
          </w:p>
        </w:tc>
        <w:tc>
          <w:tcPr>
            <w:tcW w:w="272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consolidated statements of condition or</w:t>
            </w:r>
          </w:p>
        </w:tc>
      </w:tr>
      <w:tr>
        <w:trPr>
          <w:trHeight w:val="166"/>
        </w:trPr>
        <w:tc>
          <w:tcPr>
            <w:tcW w:w="1760" w:type="dxa"/>
            <w:vAlign w:val="bottom"/>
            <w:tcBorders>
              <w:left w:val="single" w:sz="8" w:color="auto"/>
              <w:right w:val="single" w:sz="8" w:color="auto"/>
            </w:tcBorders>
          </w:tcPr>
          <w:p>
            <w:pPr>
              <w:ind w:left="40"/>
              <w:spacing w:after="0" w:line="166" w:lineRule="exact"/>
              <w:rPr>
                <w:sz w:val="20"/>
                <w:szCs w:val="20"/>
                <w:color w:val="auto"/>
              </w:rPr>
            </w:pPr>
            <w:r>
              <w:rPr>
                <w:rFonts w:ascii="Times New Roman" w:cs="Times New Roman" w:eastAsia="Times New Roman" w:hAnsi="Times New Roman"/>
                <w:sz w:val="15"/>
                <w:szCs w:val="15"/>
                <w:i w:val="1"/>
                <w:iCs w:val="1"/>
                <w:color w:val="auto"/>
              </w:rPr>
              <w:t>2023-09</w:t>
            </w:r>
          </w:p>
        </w:tc>
        <w:tc>
          <w:tcPr>
            <w:tcW w:w="4860" w:type="dxa"/>
            <w:vAlign w:val="bottom"/>
            <w:tcBorders>
              <w:right w:val="single" w:sz="8" w:color="auto"/>
            </w:tcBorders>
          </w:tcPr>
          <w:p>
            <w:pPr>
              <w:ind w:left="20"/>
              <w:spacing w:after="0" w:line="166" w:lineRule="exact"/>
              <w:rPr>
                <w:sz w:val="20"/>
                <w:szCs w:val="20"/>
                <w:color w:val="auto"/>
              </w:rPr>
            </w:pPr>
            <w:r>
              <w:rPr>
                <w:rFonts w:ascii="Times New Roman" w:cs="Times New Roman" w:eastAsia="Times New Roman" w:hAnsi="Times New Roman"/>
                <w:sz w:val="15"/>
                <w:szCs w:val="15"/>
                <w:color w:val="auto"/>
              </w:rPr>
              <w:t>tax risks and tax planning and operational opportunities affect its tax rate</w:t>
            </w:r>
          </w:p>
        </w:tc>
        <w:tc>
          <w:tcPr>
            <w:tcW w:w="1900" w:type="dxa"/>
            <w:vAlign w:val="bottom"/>
            <w:tcBorders>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color w:val="auto"/>
              </w:rPr>
              <w:t>beginning after December 15,</w:t>
            </w:r>
          </w:p>
        </w:tc>
        <w:tc>
          <w:tcPr>
            <w:tcW w:w="2720" w:type="dxa"/>
            <w:vAlign w:val="bottom"/>
            <w:tcBorders>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color w:val="auto"/>
              </w:rPr>
              <w:t>income.</w:t>
            </w: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and prospects for future cash flows. The objective of these disclosure</w:t>
            </w:r>
          </w:p>
        </w:tc>
        <w:tc>
          <w:tcPr>
            <w:tcW w:w="190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2024.</w:t>
            </w: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requirements is for an entity, particularly an entity operating in multiple</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jurisdictions, to disclose sufficient information to enable users of financial</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statements to understand the nature and magnitude of factors contributing to</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93"/>
        </w:trPr>
        <w:tc>
          <w:tcPr>
            <w:tcW w:w="1760" w:type="dxa"/>
            <w:vAlign w:val="bottom"/>
            <w:tcBorders>
              <w:left w:val="single" w:sz="8" w:color="auto"/>
              <w:bottom w:val="single" w:sz="8" w:color="auto"/>
              <w:right w:val="single" w:sz="8" w:color="auto"/>
            </w:tcBorders>
          </w:tcPr>
          <w:p>
            <w:pPr>
              <w:spacing w:after="0"/>
              <w:rPr>
                <w:sz w:val="16"/>
                <w:szCs w:val="16"/>
                <w:color w:val="auto"/>
              </w:rPr>
            </w:pPr>
          </w:p>
        </w:tc>
        <w:tc>
          <w:tcPr>
            <w:tcW w:w="4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the difference between the effective tax rate and the statutory tax rate.</w:t>
            </w:r>
          </w:p>
        </w:tc>
        <w:tc>
          <w:tcPr>
            <w:tcW w:w="190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642"/>
        </w:trPr>
        <w:tc>
          <w:tcPr>
            <w:tcW w:w="1760" w:type="dxa"/>
            <w:vAlign w:val="bottom"/>
          </w:tcPr>
          <w:p>
            <w:pPr>
              <w:spacing w:after="0"/>
              <w:rPr>
                <w:sz w:val="24"/>
                <w:szCs w:val="24"/>
                <w:color w:val="auto"/>
              </w:rPr>
            </w:pPr>
          </w:p>
        </w:tc>
        <w:tc>
          <w:tcPr>
            <w:tcW w:w="486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w:t>
            </w:r>
          </w:p>
        </w:tc>
        <w:tc>
          <w:tcPr>
            <w:tcW w:w="19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763"/>
        </w:trPr>
        <w:tc>
          <w:tcPr>
            <w:tcW w:w="17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Note 3:  Earnings per Common Share</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Following shareholder approval received on June 4, 2021, the Company converted 1,380,283 shares of its Series B Convertible Perpetual Preferred Stock ("Convertible Perpetual Preferred Stock") to an equal number of shares of its newly-created Series A Non-Voting Common Stock. The conversion, which was effective on June 28, 2021, represented 100% of the Company's Convertible Perpetual Preferred Stock outstanding at the time of the conversion and retired the Convertible Perpetual Preferred Stock in perpetuity.</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has voting common stock, non-voting common stock and a warrant that are all eligible to participate in dividends equal to the voting common stock dividends on a per share basis. Securities that participate in dividends, such as the Company’s non-voting common stock and warrant, are considered “participating securities”. The Company calculates net income available to voting common shareholders using the two-class method required for capital structures that include participating securities.</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applying the two-class method, basic net income per share was calculated by dividing net income (less any dividends on participating securities) by the weighted average number of shares of voting common stock and participating securities outstanding for the period. Diluted earnings per share may include the additional effect of other securities, if dilutive, in which case the dilutive effect of such securities is calculated by applying either the two-class method or the Treasury Stock method to the assumed exercise or vesting of potentially dilutive common shares. The method yielding the more dilutive result is ultimately reported for the applicable period. Potentially dilutive common stock equivalents primarily consist of employee stock options and restricted stock units. Unallocated common shares held by the ESOP are not included in the weighted average number of common shares outstanding for purposes of calculating earnings per common share until they are committed to be released to plan participants.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Anti-dilutive shares are common stock equivalents with average exercise prices in excess of the weighted average market price for the period presented. Anti-dilutive stock options, not included in the computation below, were -0- for the three and six months ended June 30, 2024, and June 30, 2023,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calculation of basic and diluted earnings per share.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Three months ended</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Six months ended</w:t>
            </w:r>
          </w:p>
        </w:tc>
        <w:tc>
          <w:tcPr>
            <w:tcW w:w="700" w:type="dxa"/>
            <w:vAlign w:val="bottom"/>
          </w:tcPr>
          <w:p>
            <w:pPr>
              <w:spacing w:after="0"/>
              <w:rPr>
                <w:sz w:val="18"/>
                <w:szCs w:val="18"/>
                <w:color w:val="auto"/>
              </w:rPr>
            </w:pPr>
          </w:p>
        </w:tc>
      </w:tr>
      <w:tr>
        <w:trPr>
          <w:trHeight w:val="243"/>
        </w:trPr>
        <w:tc>
          <w:tcPr>
            <w:tcW w:w="50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5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7"/>
              </w:rPr>
              <w:t>June 30,</w:t>
            </w:r>
          </w:p>
        </w:tc>
        <w:tc>
          <w:tcPr>
            <w:tcW w:w="700" w:type="dxa"/>
            <w:vAlign w:val="bottom"/>
            <w:tcBorders>
              <w:bottom w:val="single" w:sz="8" w:color="auto"/>
            </w:tcBorders>
          </w:tcPr>
          <w:p>
            <w:pPr>
              <w:spacing w:after="0"/>
              <w:rPr>
                <w:sz w:val="21"/>
                <w:szCs w:val="21"/>
                <w:color w:val="auto"/>
              </w:rPr>
            </w:pPr>
          </w:p>
        </w:tc>
      </w:tr>
      <w:tr>
        <w:trPr>
          <w:trHeight w:val="223"/>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2023</w:t>
            </w:r>
          </w:p>
        </w:tc>
        <w:tc>
          <w:tcPr>
            <w:tcW w:w="4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2023</w:t>
            </w:r>
          </w:p>
        </w:tc>
      </w:tr>
      <w:tr>
        <w:trPr>
          <w:trHeight w:val="229"/>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attributable to Pathfinder Bancorp, Inc.</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2,000</w:t>
            </w:r>
          </w:p>
        </w:tc>
        <w:tc>
          <w:tcPr>
            <w:tcW w:w="54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1,982</w:t>
            </w:r>
          </w:p>
        </w:tc>
        <w:tc>
          <w:tcPr>
            <w:tcW w:w="8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06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4,581</w:t>
            </w:r>
          </w:p>
        </w:tc>
      </w:tr>
      <w:tr>
        <w:trPr>
          <w:trHeight w:val="220"/>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A Non-Voting Common Stock dividends</w:t>
            </w:r>
          </w:p>
        </w:tc>
        <w:tc>
          <w:tcPr>
            <w:tcW w:w="240" w:type="dxa"/>
            <w:vAlign w:val="bottom"/>
          </w:tcPr>
          <w:p>
            <w:pPr>
              <w:spacing w:after="0"/>
              <w:rPr>
                <w:sz w:val="19"/>
                <w:szCs w:val="19"/>
                <w:color w:val="auto"/>
              </w:rPr>
            </w:pP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138</w:t>
            </w:r>
          </w:p>
        </w:tc>
        <w:tc>
          <w:tcPr>
            <w:tcW w:w="54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6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248</w:t>
            </w:r>
          </w:p>
        </w:tc>
      </w:tr>
      <w:tr>
        <w:trPr>
          <w:trHeight w:val="239"/>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Warrant dividends</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13</w:t>
            </w:r>
          </w:p>
        </w:tc>
        <w:tc>
          <w:tcPr>
            <w:tcW w:w="54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4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r>
      <w:tr>
        <w:trPr>
          <w:trHeight w:val="223"/>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Undistributed earnings allocated to participating securities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334</w:t>
            </w: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350</w:t>
            </w:r>
          </w:p>
        </w:tc>
        <w:tc>
          <w:tcPr>
            <w:tcW w:w="4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854</w:t>
            </w:r>
          </w:p>
        </w:tc>
      </w:tr>
      <w:tr>
        <w:trPr>
          <w:trHeight w:val="263"/>
        </w:trPr>
        <w:tc>
          <w:tcPr>
            <w:tcW w:w="50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shareholders-Voting</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1,515</w:t>
            </w:r>
          </w:p>
        </w:tc>
        <w:tc>
          <w:tcPr>
            <w:tcW w:w="540" w:type="dxa"/>
            <w:vAlign w:val="bottom"/>
            <w:tcBorders>
              <w:bottom w:val="single" w:sz="8" w:color="auto"/>
            </w:tcBorders>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1,497</w:t>
            </w:r>
          </w:p>
        </w:tc>
        <w:tc>
          <w:tcPr>
            <w:tcW w:w="840" w:type="dxa"/>
            <w:vAlign w:val="bottom"/>
            <w:tcBorders>
              <w:bottom w:val="single" w:sz="8" w:color="auto"/>
            </w:tcBorders>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1060" w:type="dxa"/>
            <w:vAlign w:val="bottom"/>
            <w:tcBorders>
              <w:bottom w:val="single" w:sz="8" w:color="auto"/>
            </w:tcBorders>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3,456</w:t>
            </w:r>
          </w:p>
        </w:tc>
      </w:tr>
      <w:tr>
        <w:trPr>
          <w:trHeight w:val="217"/>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attributable to Pathfinder Bancorp, Inc.</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2,000</w:t>
            </w:r>
          </w:p>
        </w:tc>
        <w:tc>
          <w:tcPr>
            <w:tcW w:w="54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1,982</w:t>
            </w:r>
          </w:p>
        </w:tc>
        <w:tc>
          <w:tcPr>
            <w:tcW w:w="8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06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4,581</w:t>
            </w:r>
          </w:p>
        </w:tc>
      </w:tr>
      <w:tr>
        <w:trPr>
          <w:trHeight w:val="220"/>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Voting Common Stock dividends</w:t>
            </w:r>
          </w:p>
        </w:tc>
        <w:tc>
          <w:tcPr>
            <w:tcW w:w="240" w:type="dxa"/>
            <w:vAlign w:val="bottom"/>
          </w:tcPr>
          <w:p>
            <w:pPr>
              <w:spacing w:after="0"/>
              <w:rPr>
                <w:sz w:val="19"/>
                <w:szCs w:val="19"/>
                <w:color w:val="auto"/>
              </w:rPr>
            </w:pP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471</w:t>
            </w:r>
          </w:p>
        </w:tc>
        <w:tc>
          <w:tcPr>
            <w:tcW w:w="54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419</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06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834</w:t>
            </w:r>
          </w:p>
        </w:tc>
      </w:tr>
      <w:tr>
        <w:trPr>
          <w:trHeight w:val="239"/>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Warrant dividends</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13</w:t>
            </w:r>
          </w:p>
        </w:tc>
        <w:tc>
          <w:tcPr>
            <w:tcW w:w="54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4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r>
      <w:tr>
        <w:trPr>
          <w:trHeight w:val="223"/>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Undistributed earnings allocated to participating securities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1,072</w:t>
            </w: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1,107</w:t>
            </w:r>
          </w:p>
        </w:tc>
        <w:tc>
          <w:tcPr>
            <w:tcW w:w="4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2,693</w:t>
            </w:r>
          </w:p>
        </w:tc>
      </w:tr>
      <w:tr>
        <w:trPr>
          <w:trHeight w:val="263"/>
        </w:trPr>
        <w:tc>
          <w:tcPr>
            <w:tcW w:w="50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shareholders-Series A Non-Voting</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444</w:t>
            </w:r>
          </w:p>
        </w:tc>
        <w:tc>
          <w:tcPr>
            <w:tcW w:w="540" w:type="dxa"/>
            <w:vAlign w:val="bottom"/>
            <w:tcBorders>
              <w:bottom w:val="single" w:sz="8" w:color="auto"/>
            </w:tcBorders>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445</w:t>
            </w:r>
          </w:p>
        </w:tc>
        <w:tc>
          <w:tcPr>
            <w:tcW w:w="840" w:type="dxa"/>
            <w:vAlign w:val="bottom"/>
            <w:tcBorders>
              <w:bottom w:val="single" w:sz="8" w:color="auto"/>
            </w:tcBorders>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060" w:type="dxa"/>
            <w:vAlign w:val="bottom"/>
            <w:tcBorders>
              <w:bottom w:val="single" w:sz="8" w:color="auto"/>
            </w:tcBorders>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1,031</w:t>
            </w:r>
          </w:p>
        </w:tc>
      </w:tr>
      <w:tr>
        <w:trPr>
          <w:trHeight w:val="217"/>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2"/>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and diluted weighted average common shares outstanding-</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r>
      <w:tr>
        <w:trPr>
          <w:trHeight w:val="23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Voting</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4,708</w:t>
            </w:r>
          </w:p>
        </w:tc>
        <w:tc>
          <w:tcPr>
            <w:tcW w:w="5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4,639</w:t>
            </w:r>
          </w:p>
        </w:tc>
        <w:tc>
          <w:tcPr>
            <w:tcW w:w="4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4,704</w:t>
            </w:r>
          </w:p>
        </w:tc>
        <w:tc>
          <w:tcPr>
            <w:tcW w:w="10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4,624</w:t>
            </w:r>
          </w:p>
        </w:tc>
      </w:tr>
      <w:tr>
        <w:trPr>
          <w:trHeight w:val="202"/>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and diluted weighted average common shares outstanding-</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0"/>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A Non-Voting</w:t>
            </w:r>
          </w:p>
        </w:tc>
        <w:tc>
          <w:tcPr>
            <w:tcW w:w="240" w:type="dxa"/>
            <w:vAlign w:val="bottom"/>
          </w:tcPr>
          <w:p>
            <w:pPr>
              <w:spacing w:after="0"/>
              <w:rPr>
                <w:sz w:val="19"/>
                <w:szCs w:val="19"/>
                <w:color w:val="auto"/>
              </w:rPr>
            </w:pP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1,380</w:t>
            </w:r>
          </w:p>
        </w:tc>
        <w:tc>
          <w:tcPr>
            <w:tcW w:w="54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1,380</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06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1,380</w:t>
            </w:r>
          </w:p>
        </w:tc>
      </w:tr>
      <w:tr>
        <w:trPr>
          <w:trHeight w:val="239"/>
        </w:trPr>
        <w:tc>
          <w:tcPr>
            <w:tcW w:w="5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r>
      <w:tr>
        <w:trPr>
          <w:trHeight w:val="220"/>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and diluted earnings per common share-Voting</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0.32</w:t>
            </w: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0.32</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0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0.75</w:t>
            </w:r>
          </w:p>
        </w:tc>
      </w:tr>
      <w:tr>
        <w:trPr>
          <w:trHeight w:val="239"/>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and diluted earnings per common share-Series A Non-Voting</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0.32</w:t>
            </w:r>
          </w:p>
        </w:tc>
        <w:tc>
          <w:tcPr>
            <w:tcW w:w="54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0.32</w:t>
            </w:r>
          </w:p>
        </w:tc>
        <w:tc>
          <w:tcPr>
            <w:tcW w:w="8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06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0.75</w:t>
            </w:r>
          </w:p>
        </w:tc>
      </w:tr>
      <w:tr>
        <w:trPr>
          <w:trHeight w:val="432"/>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763"/>
        </w:trPr>
        <w:tc>
          <w:tcPr>
            <w:tcW w:w="5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Note 4:  Investment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amortized cost and estimated fair value of available-for-sale and held-to-maturity investment securities are summarized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June 30, 2024</w:t>
            </w:r>
          </w:p>
        </w:tc>
        <w:tc>
          <w:tcPr>
            <w:tcW w:w="1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Gross</w:t>
            </w:r>
          </w:p>
        </w:tc>
        <w:tc>
          <w:tcPr>
            <w:tcW w:w="62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Gross</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Estimated</w:t>
            </w:r>
          </w:p>
        </w:tc>
      </w:tr>
      <w:tr>
        <w:trPr>
          <w:trHeight w:val="238"/>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Amortized</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Unrealized</w:t>
            </w:r>
          </w:p>
        </w:tc>
        <w:tc>
          <w:tcPr>
            <w:tcW w:w="62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Unrealized</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Fair</w:t>
            </w:r>
          </w:p>
        </w:tc>
      </w:tr>
      <w:tr>
        <w:trPr>
          <w:trHeight w:val="250"/>
        </w:trPr>
        <w:tc>
          <w:tcPr>
            <w:tcW w:w="4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Cost</w:t>
            </w:r>
          </w:p>
        </w:tc>
        <w:tc>
          <w:tcPr>
            <w:tcW w:w="5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Gains</w:t>
            </w:r>
          </w:p>
        </w:tc>
        <w:tc>
          <w:tcPr>
            <w:tcW w:w="6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Losses</w:t>
            </w:r>
          </w:p>
        </w:tc>
        <w:tc>
          <w:tcPr>
            <w:tcW w:w="5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r>
      <w:tr>
        <w:trPr>
          <w:trHeight w:val="243"/>
        </w:trPr>
        <w:tc>
          <w:tcPr>
            <w:tcW w:w="44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Portfolio</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189"/>
        </w:trPr>
        <w:tc>
          <w:tcPr>
            <w:tcW w:w="444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Debt investment securities:</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9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88,074</w:t>
            </w:r>
          </w:p>
        </w:tc>
        <w:tc>
          <w:tcPr>
            <w:tcW w:w="5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530</w:t>
            </w:r>
          </w:p>
        </w:tc>
        <w:tc>
          <w:tcPr>
            <w:tcW w:w="6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(3,795 )</w:t>
            </w:r>
          </w:p>
        </w:tc>
        <w:tc>
          <w:tcPr>
            <w:tcW w:w="5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84,809</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30,189</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111</w:t>
            </w:r>
          </w:p>
        </w:tc>
        <w:tc>
          <w:tcPr>
            <w:tcW w:w="6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(1,724 )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28,576</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10,985</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259</w:t>
            </w:r>
          </w:p>
        </w:tc>
        <w:tc>
          <w:tcPr>
            <w:tcW w:w="6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(353 )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10,891</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 backed securities</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18,031</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w:t>
            </w:r>
          </w:p>
        </w:tc>
        <w:tc>
          <w:tcPr>
            <w:tcW w:w="6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17,890</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33,036</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6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(1,089 )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31,984</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15,550</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w:t>
            </w:r>
          </w:p>
        </w:tc>
        <w:tc>
          <w:tcPr>
            <w:tcW w:w="6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(966 )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14,650</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4420" w:type="dxa"/>
            <w:vAlign w:val="bottom"/>
            <w:tcBorders>
              <w:bottom w:val="single" w:sz="8" w:color="auto"/>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4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88,770</w:t>
            </w:r>
          </w:p>
        </w:tc>
        <w:tc>
          <w:tcPr>
            <w:tcW w:w="5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92</w:t>
            </w:r>
          </w:p>
        </w:tc>
        <w:tc>
          <w:tcPr>
            <w:tcW w:w="6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(2,891 )</w:t>
            </w:r>
          </w:p>
        </w:tc>
        <w:tc>
          <w:tcPr>
            <w:tcW w:w="5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85,971</w:t>
            </w:r>
          </w:p>
        </w:tc>
      </w:tr>
      <w:tr>
        <w:trPr>
          <w:trHeight w:val="236"/>
        </w:trPr>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284,635</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1,133</w:t>
            </w:r>
          </w:p>
        </w:tc>
        <w:tc>
          <w:tcPr>
            <w:tcW w:w="6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(10,997 )</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274,771</w:t>
            </w:r>
          </w:p>
        </w:tc>
      </w:tr>
      <w:tr>
        <w:trPr>
          <w:trHeight w:val="221"/>
        </w:trPr>
        <w:tc>
          <w:tcPr>
            <w:tcW w:w="20" w:type="dxa"/>
            <w:vAlign w:val="bottom"/>
            <w:tcBorders>
              <w:bottom w:val="single" w:sz="8" w:color="CFF0FC"/>
            </w:tcBorders>
            <w:shd w:val="clear" w:color="auto" w:fill="CFF0FC"/>
          </w:tcPr>
          <w:p>
            <w:pPr>
              <w:spacing w:after="0"/>
              <w:rPr>
                <w:sz w:val="19"/>
                <w:szCs w:val="19"/>
                <w:color w:val="auto"/>
              </w:rPr>
            </w:pPr>
          </w:p>
        </w:tc>
        <w:tc>
          <w:tcPr>
            <w:tcW w:w="2100" w:type="dxa"/>
            <w:vAlign w:val="bottom"/>
            <w:tcBorders>
              <w:bottom w:val="single" w:sz="8" w:color="auto"/>
            </w:tcBorders>
            <w:gridSpan w:val="2"/>
            <w:shd w:val="clear" w:color="auto" w:fill="CFF0FC"/>
          </w:tcPr>
          <w:p>
            <w:pPr>
              <w:spacing w:after="0" w:line="187" w:lineRule="exact"/>
              <w:rPr>
                <w:sz w:val="20"/>
                <w:szCs w:val="20"/>
                <w:color w:val="auto"/>
              </w:rPr>
            </w:pPr>
            <w:r>
              <w:rPr>
                <w:rFonts w:ascii="Times New Roman" w:cs="Times New Roman" w:eastAsia="Times New Roman" w:hAnsi="Times New Roman"/>
                <w:sz w:val="18"/>
                <w:szCs w:val="18"/>
                <w:color w:val="auto"/>
                <w:w w:val="99"/>
              </w:rPr>
              <w:t>Equity investment securities:</w:t>
            </w:r>
          </w:p>
        </w:tc>
        <w:tc>
          <w:tcPr>
            <w:tcW w:w="23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color w:val="auto"/>
              </w:rPr>
              <w:t>Common stock - financial services industry</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r>
      <w:tr>
        <w:trPr>
          <w:trHeight w:val="237"/>
        </w:trPr>
        <w:tc>
          <w:tcPr>
            <w:tcW w:w="20" w:type="dxa"/>
            <w:vAlign w:val="bottom"/>
            <w:tcBorders>
              <w:bottom w:val="single" w:sz="8" w:color="auto"/>
            </w:tcBorders>
            <w:shd w:val="clear" w:color="auto" w:fill="CFF0FC"/>
          </w:tcPr>
          <w:p>
            <w:pPr>
              <w:spacing w:after="0"/>
              <w:rPr>
                <w:sz w:val="20"/>
                <w:szCs w:val="20"/>
                <w:color w:val="auto"/>
              </w:rPr>
            </w:pPr>
          </w:p>
        </w:tc>
        <w:tc>
          <w:tcPr>
            <w:tcW w:w="4420" w:type="dxa"/>
            <w:vAlign w:val="bottom"/>
            <w:tcBorders>
              <w:bottom w:val="single" w:sz="8" w:color="auto"/>
            </w:tcBorders>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5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r>
      <w:tr>
        <w:trPr>
          <w:trHeight w:val="236"/>
        </w:trPr>
        <w:tc>
          <w:tcPr>
            <w:tcW w:w="4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Total available-for-sale</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284,841</w:t>
            </w:r>
          </w:p>
        </w:tc>
        <w:tc>
          <w:tcPr>
            <w:tcW w:w="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1,133</w:t>
            </w:r>
          </w:p>
        </w:tc>
        <w:tc>
          <w:tcPr>
            <w:tcW w:w="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(10,997 )</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274,977</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44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Held-to-Maturity Portfolio</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189"/>
        </w:trPr>
        <w:tc>
          <w:tcPr>
            <w:tcW w:w="444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Debt investment securities:</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9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3,670</w:t>
            </w:r>
          </w:p>
        </w:tc>
        <w:tc>
          <w:tcPr>
            <w:tcW w:w="5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(319 )</w:t>
            </w:r>
          </w:p>
        </w:tc>
        <w:tc>
          <w:tcPr>
            <w:tcW w:w="5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3,351</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17,496</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(1,997 )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15,509</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44,410</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(2,709 )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41,733</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 backed securities</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16,390</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(1,047 )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15,343</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6,823</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(668 )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6,177</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12,762</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(1,406 )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11,357</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4420" w:type="dxa"/>
            <w:vAlign w:val="bottom"/>
            <w:tcBorders>
              <w:bottom w:val="single" w:sz="8" w:color="auto"/>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4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65,013</w:t>
            </w:r>
          </w:p>
        </w:tc>
        <w:tc>
          <w:tcPr>
            <w:tcW w:w="5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181</w:t>
            </w:r>
          </w:p>
        </w:tc>
        <w:tc>
          <w:tcPr>
            <w:tcW w:w="6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(2,384 )</w:t>
            </w:r>
          </w:p>
        </w:tc>
        <w:tc>
          <w:tcPr>
            <w:tcW w:w="5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62,810</w:t>
            </w:r>
          </w:p>
        </w:tc>
      </w:tr>
      <w:tr>
        <w:trPr>
          <w:trHeight w:val="237"/>
        </w:trPr>
        <w:tc>
          <w:tcPr>
            <w:tcW w:w="20" w:type="dxa"/>
            <w:vAlign w:val="bottom"/>
          </w:tcPr>
          <w:p>
            <w:pPr>
              <w:spacing w:after="0"/>
              <w:rPr>
                <w:sz w:val="20"/>
                <w:szCs w:val="20"/>
                <w:color w:val="auto"/>
              </w:rPr>
            </w:pPr>
          </w:p>
        </w:tc>
        <w:tc>
          <w:tcPr>
            <w:tcW w:w="44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166,564</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246</w:t>
            </w:r>
          </w:p>
        </w:tc>
        <w:tc>
          <w:tcPr>
            <w:tcW w:w="6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(10,530 )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156,280</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4420" w:type="dxa"/>
            <w:vAlign w:val="bottom"/>
            <w:tcBorders>
              <w:bottom w:val="single" w:sz="8" w:color="auto"/>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4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293</w:t>
            </w:r>
          </w:p>
        </w:tc>
        <w:tc>
          <w:tcPr>
            <w:tcW w:w="5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Total held-to-maturity</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166,271</w:t>
            </w:r>
          </w:p>
        </w:tc>
        <w:tc>
          <w:tcPr>
            <w:tcW w:w="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246</w:t>
            </w:r>
          </w:p>
        </w:tc>
        <w:tc>
          <w:tcPr>
            <w:tcW w:w="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(10,530 )</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156,280</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10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Gross</w:t>
            </w:r>
          </w:p>
        </w:tc>
        <w:tc>
          <w:tcPr>
            <w:tcW w:w="7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Gross</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Estimated</w:t>
            </w:r>
          </w:p>
        </w:tc>
      </w:tr>
      <w:tr>
        <w:trPr>
          <w:trHeight w:val="238"/>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Amortized</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Unrealized</w:t>
            </w:r>
          </w:p>
        </w:tc>
        <w:tc>
          <w:tcPr>
            <w:tcW w:w="7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Unrealized</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Fair</w:t>
            </w:r>
          </w:p>
        </w:tc>
      </w:tr>
      <w:tr>
        <w:trPr>
          <w:trHeight w:val="250"/>
        </w:trPr>
        <w:tc>
          <w:tcPr>
            <w:tcW w:w="4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Cost</w:t>
            </w:r>
          </w:p>
        </w:tc>
        <w:tc>
          <w:tcPr>
            <w:tcW w:w="5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Gains</w:t>
            </w:r>
          </w:p>
        </w:tc>
        <w:tc>
          <w:tcPr>
            <w:tcW w:w="7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Losses</w:t>
            </w:r>
          </w:p>
        </w:tc>
        <w:tc>
          <w:tcPr>
            <w:tcW w:w="5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r>
      <w:tr>
        <w:trPr>
          <w:trHeight w:val="243"/>
        </w:trPr>
        <w:tc>
          <w:tcPr>
            <w:tcW w:w="44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Portfolio</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189"/>
        </w:trPr>
        <w:tc>
          <w:tcPr>
            <w:tcW w:w="444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Debt investment securities:</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9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82,588</w:t>
            </w:r>
          </w:p>
        </w:tc>
        <w:tc>
          <w:tcPr>
            <w:tcW w:w="5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754</w:t>
            </w:r>
          </w:p>
        </w:tc>
        <w:tc>
          <w:tcPr>
            <w:tcW w:w="72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(3,259 )</w:t>
            </w:r>
          </w:p>
        </w:tc>
        <w:tc>
          <w:tcPr>
            <w:tcW w:w="5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80,083</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34,588</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145</w:t>
            </w:r>
          </w:p>
        </w:tc>
        <w:tc>
          <w:tcPr>
            <w:tcW w:w="7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(1,809 )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32,924</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11,008</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276</w:t>
            </w:r>
          </w:p>
        </w:tc>
        <w:tc>
          <w:tcPr>
            <w:tcW w:w="7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(365 )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10,919</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 backed securities</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20,251</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19,892</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25,446</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57</w:t>
            </w:r>
          </w:p>
        </w:tc>
        <w:tc>
          <w:tcPr>
            <w:tcW w:w="7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(1,085 )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24,418</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13,058</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116</w:t>
            </w:r>
          </w:p>
        </w:tc>
        <w:tc>
          <w:tcPr>
            <w:tcW w:w="7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(995 )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12,179</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4420" w:type="dxa"/>
            <w:vAlign w:val="bottom"/>
            <w:tcBorders>
              <w:bottom w:val="single" w:sz="8" w:color="auto"/>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4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81,812</w:t>
            </w:r>
          </w:p>
        </w:tc>
        <w:tc>
          <w:tcPr>
            <w:tcW w:w="5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128</w:t>
            </w:r>
          </w:p>
        </w:tc>
        <w:tc>
          <w:tcPr>
            <w:tcW w:w="7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(3,845 )</w:t>
            </w:r>
          </w:p>
        </w:tc>
        <w:tc>
          <w:tcPr>
            <w:tcW w:w="5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78,095</w:t>
            </w:r>
          </w:p>
        </w:tc>
      </w:tr>
      <w:tr>
        <w:trPr>
          <w:trHeight w:val="237"/>
        </w:trPr>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268,751</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1,476</w:t>
            </w:r>
          </w:p>
        </w:tc>
        <w:tc>
          <w:tcPr>
            <w:tcW w:w="7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(11,717 )</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258,510</w:t>
            </w:r>
          </w:p>
        </w:tc>
      </w:tr>
      <w:tr>
        <w:trPr>
          <w:trHeight w:val="221"/>
        </w:trPr>
        <w:tc>
          <w:tcPr>
            <w:tcW w:w="20" w:type="dxa"/>
            <w:vAlign w:val="bottom"/>
            <w:tcBorders>
              <w:bottom w:val="single" w:sz="8" w:color="CFF0FC"/>
            </w:tcBorders>
            <w:shd w:val="clear" w:color="auto" w:fill="CFF0FC"/>
          </w:tcPr>
          <w:p>
            <w:pPr>
              <w:spacing w:after="0"/>
              <w:rPr>
                <w:sz w:val="19"/>
                <w:szCs w:val="19"/>
                <w:color w:val="auto"/>
              </w:rPr>
            </w:pPr>
          </w:p>
        </w:tc>
        <w:tc>
          <w:tcPr>
            <w:tcW w:w="2100" w:type="dxa"/>
            <w:vAlign w:val="bottom"/>
            <w:tcBorders>
              <w:bottom w:val="single" w:sz="8" w:color="auto"/>
            </w:tcBorders>
            <w:gridSpan w:val="2"/>
            <w:shd w:val="clear" w:color="auto" w:fill="CFF0FC"/>
          </w:tcPr>
          <w:p>
            <w:pPr>
              <w:spacing w:after="0" w:line="187" w:lineRule="exact"/>
              <w:rPr>
                <w:sz w:val="20"/>
                <w:szCs w:val="20"/>
                <w:color w:val="auto"/>
              </w:rPr>
            </w:pPr>
            <w:r>
              <w:rPr>
                <w:rFonts w:ascii="Times New Roman" w:cs="Times New Roman" w:eastAsia="Times New Roman" w:hAnsi="Times New Roman"/>
                <w:sz w:val="18"/>
                <w:szCs w:val="18"/>
                <w:color w:val="auto"/>
                <w:w w:val="99"/>
              </w:rPr>
              <w:t>Equity investment securities:</w:t>
            </w:r>
          </w:p>
        </w:tc>
        <w:tc>
          <w:tcPr>
            <w:tcW w:w="23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Common stock - financial services industry</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r>
      <w:tr>
        <w:trPr>
          <w:trHeight w:val="236"/>
        </w:trPr>
        <w:tc>
          <w:tcPr>
            <w:tcW w:w="20" w:type="dxa"/>
            <w:vAlign w:val="bottom"/>
            <w:tcBorders>
              <w:bottom w:val="single" w:sz="8" w:color="auto"/>
            </w:tcBorders>
            <w:shd w:val="clear" w:color="auto" w:fill="CFF0FC"/>
          </w:tcPr>
          <w:p>
            <w:pPr>
              <w:spacing w:after="0"/>
              <w:rPr>
                <w:sz w:val="20"/>
                <w:szCs w:val="20"/>
                <w:color w:val="auto"/>
              </w:rPr>
            </w:pPr>
          </w:p>
        </w:tc>
        <w:tc>
          <w:tcPr>
            <w:tcW w:w="4420" w:type="dxa"/>
            <w:vAlign w:val="bottom"/>
            <w:tcBorders>
              <w:bottom w:val="single" w:sz="8" w:color="auto"/>
            </w:tcBorders>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5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r>
      <w:tr>
        <w:trPr>
          <w:trHeight w:val="237"/>
        </w:trPr>
        <w:tc>
          <w:tcPr>
            <w:tcW w:w="4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Total available-for-sale</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268,957</w:t>
            </w:r>
          </w:p>
        </w:tc>
        <w:tc>
          <w:tcPr>
            <w:tcW w:w="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1,476</w:t>
            </w:r>
          </w:p>
        </w:tc>
        <w:tc>
          <w:tcPr>
            <w:tcW w:w="7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(11,717 )</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258,716</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8"/>
        </w:trPr>
        <w:tc>
          <w:tcPr>
            <w:tcW w:w="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41"/>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Held-to-Maturity Portfolio</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91"/>
        </w:trPr>
        <w:tc>
          <w:tcPr>
            <w:tcW w:w="20" w:type="dxa"/>
            <w:vAlign w:val="bottom"/>
            <w:shd w:val="clear" w:color="auto" w:fill="CFF0FC"/>
          </w:tcPr>
          <w:p>
            <w:pPr>
              <w:spacing w:after="0"/>
              <w:rPr>
                <w:sz w:val="16"/>
                <w:szCs w:val="16"/>
                <w:color w:val="auto"/>
              </w:rPr>
            </w:pPr>
          </w:p>
        </w:tc>
        <w:tc>
          <w:tcPr>
            <w:tcW w:w="4420" w:type="dxa"/>
            <w:vAlign w:val="bottom"/>
            <w:gridSpan w:val="3"/>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Debt investment securities:</w:t>
            </w:r>
          </w:p>
        </w:tc>
        <w:tc>
          <w:tcPr>
            <w:tcW w:w="4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1960" w:type="dxa"/>
            <w:vAlign w:val="bottom"/>
            <w:tcBorders>
              <w:top w:val="single" w:sz="8" w:color="auto"/>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32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122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22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160" w:type="dxa"/>
            <w:vAlign w:val="bottom"/>
            <w:tcBorders>
              <w:top w:val="single" w:sz="8" w:color="CFF0FC"/>
            </w:tcBorders>
            <w:shd w:val="clear" w:color="auto" w:fill="CFF0FC"/>
          </w:tcPr>
          <w:p>
            <w:pPr>
              <w:spacing w:after="0"/>
              <w:rPr>
                <w:sz w:val="2"/>
                <w:szCs w:val="2"/>
                <w:color w:val="auto"/>
              </w:rPr>
            </w:pP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3,760</w:t>
            </w: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(304 )</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3,456</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16,576</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7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(1,874 )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14,730</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45,427</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7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(3,281 )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42,155</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Asset backed securities</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16,860</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(1,180 )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15,680</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6,974</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7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(665 )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6,324</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13,221</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(1,293 )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11,928</w:t>
            </w:r>
          </w:p>
        </w:tc>
      </w:tr>
      <w:tr>
        <w:trPr>
          <w:trHeight w:val="239"/>
        </w:trPr>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76,819</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120</w:t>
            </w:r>
          </w:p>
        </w:tc>
        <w:tc>
          <w:tcPr>
            <w:tcW w:w="7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(3,178 )</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73,761</w:t>
            </w:r>
          </w:p>
        </w:tc>
      </w:tr>
      <w:tr>
        <w:trPr>
          <w:trHeight w:val="241"/>
        </w:trPr>
        <w:tc>
          <w:tcPr>
            <w:tcW w:w="20" w:type="dxa"/>
            <w:vAlign w:val="bottom"/>
            <w:shd w:val="clear" w:color="auto" w:fill="CFF0FC"/>
          </w:tcPr>
          <w:p>
            <w:pPr>
              <w:spacing w:after="0"/>
              <w:rPr>
                <w:sz w:val="20"/>
                <w:szCs w:val="20"/>
                <w:color w:val="auto"/>
              </w:rPr>
            </w:pPr>
          </w:p>
        </w:tc>
        <w:tc>
          <w:tcPr>
            <w:tcW w:w="442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179,637</w:t>
            </w:r>
          </w:p>
        </w:tc>
        <w:tc>
          <w:tcPr>
            <w:tcW w:w="54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172</w:t>
            </w:r>
          </w:p>
        </w:tc>
        <w:tc>
          <w:tcPr>
            <w:tcW w:w="72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(11,775 )</w:t>
            </w:r>
          </w:p>
        </w:tc>
        <w:tc>
          <w:tcPr>
            <w:tcW w:w="5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168,034</w:t>
            </w:r>
          </w:p>
        </w:tc>
      </w:tr>
      <w:tr>
        <w:trPr>
          <w:trHeight w:val="239"/>
        </w:trPr>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351</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4440" w:type="dxa"/>
            <w:vAlign w:val="bottom"/>
            <w:tcBorders>
              <w:bottom w:val="single" w:sz="8" w:color="auto"/>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held-to-maturity</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179,286</w:t>
            </w:r>
          </w:p>
        </w:tc>
        <w:tc>
          <w:tcPr>
            <w:tcW w:w="54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172</w:t>
            </w:r>
          </w:p>
        </w:tc>
        <w:tc>
          <w:tcPr>
            <w:tcW w:w="72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(11,775 )</w:t>
            </w:r>
          </w:p>
        </w:tc>
        <w:tc>
          <w:tcPr>
            <w:tcW w:w="5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168,034</w:t>
            </w:r>
          </w:p>
        </w:tc>
      </w:tr>
    </w:tbl>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amortized cost and estimated fair value of debt investments at June 30, 2024 by contractual maturity are shown below. Expected maturities may differ from contractual maturities because borrowers may have the right to call or prepay obligations with or without penalties. Amounts disclosed are gross values and do not include any allowance for credit loss.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9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900" w:type="dxa"/>
            <w:vAlign w:val="bottom"/>
            <w:tcBorders>
              <w:bottom w:val="single" w:sz="8" w:color="auto"/>
            </w:tcBorders>
          </w:tcPr>
          <w:p>
            <w:pPr>
              <w:spacing w:after="0"/>
              <w:rPr>
                <w:sz w:val="21"/>
                <w:szCs w:val="21"/>
                <w:color w:val="auto"/>
              </w:rPr>
            </w:pPr>
          </w:p>
        </w:tc>
      </w:tr>
      <w:tr>
        <w:trPr>
          <w:trHeight w:val="234"/>
        </w:trPr>
        <w:tc>
          <w:tcPr>
            <w:tcW w:w="4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Amortized</w:t>
            </w:r>
          </w:p>
        </w:tc>
        <w:tc>
          <w:tcPr>
            <w:tcW w:w="7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Estimated</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Amortized</w:t>
            </w:r>
          </w:p>
        </w:tc>
        <w:tc>
          <w:tcPr>
            <w:tcW w:w="7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Estimated</w:t>
            </w:r>
          </w:p>
        </w:tc>
      </w:tr>
      <w:tr>
        <w:trPr>
          <w:trHeight w:val="245"/>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Cost</w:t>
            </w:r>
          </w:p>
        </w:tc>
        <w:tc>
          <w:tcPr>
            <w:tcW w:w="7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Cost</w:t>
            </w:r>
          </w:p>
        </w:tc>
        <w:tc>
          <w:tcPr>
            <w:tcW w:w="7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43"/>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14,558</w:t>
            </w:r>
          </w:p>
        </w:tc>
        <w:tc>
          <w:tcPr>
            <w:tcW w:w="72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14,769</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3,417</w:t>
            </w:r>
          </w:p>
        </w:tc>
        <w:tc>
          <w:tcPr>
            <w:tcW w:w="72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3,389</w:t>
            </w: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36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9,336</w:t>
            </w:r>
          </w:p>
        </w:tc>
        <w:tc>
          <w:tcPr>
            <w:tcW w:w="7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8,893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20,929</w:t>
            </w:r>
          </w:p>
        </w:tc>
        <w:tc>
          <w:tcPr>
            <w:tcW w:w="7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20,176</w:t>
            </w:r>
          </w:p>
        </w:tc>
      </w:tr>
      <w:tr>
        <w:trPr>
          <w:trHeight w:val="247"/>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42,709</w:t>
            </w:r>
          </w:p>
        </w:tc>
        <w:tc>
          <w:tcPr>
            <w:tcW w:w="7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38,518</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40,516</w:t>
            </w:r>
          </w:p>
        </w:tc>
        <w:tc>
          <w:tcPr>
            <w:tcW w:w="7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37,060</w:t>
            </w:r>
          </w:p>
        </w:tc>
      </w:tr>
      <w:tr>
        <w:trPr>
          <w:trHeight w:val="239"/>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80,676</w:t>
            </w:r>
          </w:p>
        </w:tc>
        <w:tc>
          <w:tcPr>
            <w:tcW w:w="7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79,986</w:t>
            </w: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17,104</w:t>
            </w:r>
          </w:p>
        </w:tc>
        <w:tc>
          <w:tcPr>
            <w:tcW w:w="7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15,311</w:t>
            </w:r>
          </w:p>
        </w:tc>
      </w:tr>
      <w:tr>
        <w:trPr>
          <w:trHeight w:val="241"/>
        </w:trPr>
        <w:tc>
          <w:tcPr>
            <w:tcW w:w="4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147,279</w:t>
            </w:r>
          </w:p>
        </w:tc>
        <w:tc>
          <w:tcPr>
            <w:tcW w:w="7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142,166</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81,966</w:t>
            </w:r>
          </w:p>
        </w:tc>
        <w:tc>
          <w:tcPr>
            <w:tcW w:w="7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75,936</w:t>
            </w: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36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33,036</w:t>
            </w:r>
          </w:p>
        </w:tc>
        <w:tc>
          <w:tcPr>
            <w:tcW w:w="7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31,984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6,823</w:t>
            </w:r>
          </w:p>
        </w:tc>
        <w:tc>
          <w:tcPr>
            <w:tcW w:w="7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6,177</w:t>
            </w:r>
          </w:p>
        </w:tc>
      </w:tr>
      <w:tr>
        <w:trPr>
          <w:trHeight w:val="247"/>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15,550</w:t>
            </w:r>
          </w:p>
        </w:tc>
        <w:tc>
          <w:tcPr>
            <w:tcW w:w="7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14,650</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12,762</w:t>
            </w:r>
          </w:p>
        </w:tc>
        <w:tc>
          <w:tcPr>
            <w:tcW w:w="7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11,357</w:t>
            </w:r>
          </w:p>
        </w:tc>
      </w:tr>
      <w:tr>
        <w:trPr>
          <w:trHeight w:val="239"/>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88,770</w:t>
            </w:r>
          </w:p>
        </w:tc>
        <w:tc>
          <w:tcPr>
            <w:tcW w:w="7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85,971</w:t>
            </w: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65,013</w:t>
            </w:r>
          </w:p>
        </w:tc>
        <w:tc>
          <w:tcPr>
            <w:tcW w:w="7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62,810</w:t>
            </w:r>
          </w:p>
        </w:tc>
      </w:tr>
      <w:tr>
        <w:trPr>
          <w:trHeight w:val="277"/>
        </w:trPr>
        <w:tc>
          <w:tcPr>
            <w:tcW w:w="47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Totals</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284,635</w:t>
            </w:r>
          </w:p>
        </w:tc>
        <w:tc>
          <w:tcPr>
            <w:tcW w:w="72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274,771</w:t>
            </w:r>
          </w:p>
        </w:tc>
        <w:tc>
          <w:tcPr>
            <w:tcW w:w="500" w:type="dxa"/>
            <w:vAlign w:val="bottom"/>
            <w:tcBorders>
              <w:bottom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166,564</w:t>
            </w:r>
          </w:p>
        </w:tc>
        <w:tc>
          <w:tcPr>
            <w:tcW w:w="72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156,280</w:t>
            </w:r>
          </w:p>
        </w:tc>
      </w:tr>
      <w:tr>
        <w:trPr>
          <w:trHeight w:val="417"/>
        </w:trPr>
        <w:tc>
          <w:tcPr>
            <w:tcW w:w="4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 xml:space="preserve"> -</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63"/>
        </w:trPr>
        <w:tc>
          <w:tcPr>
            <w:tcW w:w="4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5" w:name="page16"/>
    <w:bookmarkEnd w:id="15"/>
    <w:p>
      <w:pPr>
        <w:jc w:val="both"/>
        <w:spacing w:after="0" w:line="269" w:lineRule="auto"/>
        <w:rPr>
          <w:sz w:val="20"/>
          <w:szCs w:val="20"/>
          <w:color w:val="auto"/>
        </w:rPr>
      </w:pPr>
      <w:r>
        <w:rPr>
          <w:rFonts w:ascii="Times New Roman" w:cs="Times New Roman" w:eastAsia="Times New Roman" w:hAnsi="Times New Roman"/>
          <w:sz w:val="20"/>
          <w:szCs w:val="20"/>
          <w:color w:val="auto"/>
        </w:rPr>
        <w:t>The Company’s investment securities’ gross unrealized losses and fair value, aggregated by investment category and length of time that individual securities have been in a continuous unrealized loss position,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June 30, 2024</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220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color w:val="auto"/>
              </w:rPr>
              <w:t>Less than Twelve Months</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Twelve Months or More</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900" w:type="dxa"/>
            <w:vAlign w:val="bottom"/>
          </w:tcPr>
          <w:p>
            <w:pPr>
              <w:jc w:val="right"/>
              <w:ind w:right="68"/>
              <w:spacing w:after="0" w:line="160" w:lineRule="exact"/>
              <w:rPr>
                <w:sz w:val="20"/>
                <w:szCs w:val="20"/>
                <w:color w:val="auto"/>
              </w:rPr>
            </w:pPr>
            <w:r>
              <w:rPr>
                <w:rFonts w:ascii="Times New Roman" w:cs="Times New Roman" w:eastAsia="Times New Roman" w:hAnsi="Times New Roman"/>
                <w:sz w:val="14"/>
                <w:szCs w:val="14"/>
                <w:color w:val="auto"/>
              </w:rPr>
              <w:t>Number of</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Number of</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48"/>
              <w:spacing w:after="0" w:line="160" w:lineRule="exact"/>
              <w:rPr>
                <w:sz w:val="20"/>
                <w:szCs w:val="20"/>
                <w:color w:val="auto"/>
              </w:rPr>
            </w:pPr>
            <w:r>
              <w:rPr>
                <w:rFonts w:ascii="Times New Roman" w:cs="Times New Roman" w:eastAsia="Times New Roman" w:hAnsi="Times New Roman"/>
                <w:sz w:val="14"/>
                <w:szCs w:val="14"/>
                <w:color w:val="auto"/>
              </w:rPr>
              <w:t>Number of</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Individual</w:t>
            </w:r>
          </w:p>
        </w:tc>
        <w:tc>
          <w:tcPr>
            <w:tcW w:w="22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Unrealized</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Fair</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Individual</w:t>
            </w:r>
          </w:p>
        </w:tc>
        <w:tc>
          <w:tcPr>
            <w:tcW w:w="10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Unrealized</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Fair</w:t>
            </w:r>
          </w:p>
        </w:tc>
        <w:tc>
          <w:tcPr>
            <w:tcW w:w="1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Individual</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Fair</w:t>
            </w:r>
          </w:p>
        </w:tc>
        <w:tc>
          <w:tcPr>
            <w:tcW w:w="0" w:type="dxa"/>
            <w:vAlign w:val="bottom"/>
          </w:tcPr>
          <w:p>
            <w:pPr>
              <w:spacing w:after="0"/>
              <w:rPr>
                <w:sz w:val="1"/>
                <w:szCs w:val="1"/>
                <w:color w:val="auto"/>
              </w:rPr>
            </w:pPr>
          </w:p>
        </w:tc>
      </w:tr>
      <w:tr>
        <w:trPr>
          <w:trHeight w:val="185"/>
        </w:trPr>
        <w:tc>
          <w:tcPr>
            <w:tcW w:w="28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Securities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Losses</w:t>
            </w: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Value</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Securities</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Losses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Value</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Securities</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Losses</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69"/>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Available-for-Sale Portfolio</w:t>
            </w: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(37 )</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2,488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(3,758 )</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27,111</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(3,795 )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29,599</w:t>
            </w: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(1,724 )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25,213</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(1,724 )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25,213</w:t>
            </w: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(353 )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3,354</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(353 )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3,354</w:t>
            </w: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Asset backed securities</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(5 )</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430</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(174 )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9,153</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(179 )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9,583</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(225 )</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10,056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34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(864 )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14,291</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(1,089 )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24,347</w:t>
            </w:r>
          </w:p>
        </w:tc>
        <w:tc>
          <w:tcPr>
            <w:tcW w:w="0" w:type="dxa"/>
            <w:vAlign w:val="bottom"/>
          </w:tcPr>
          <w:p>
            <w:pPr>
              <w:spacing w:after="0"/>
              <w:rPr>
                <w:sz w:val="1"/>
                <w:szCs w:val="1"/>
                <w:color w:val="auto"/>
              </w:rPr>
            </w:pPr>
          </w:p>
        </w:tc>
      </w:tr>
      <w:tr>
        <w:trPr>
          <w:trHeight w:val="139"/>
        </w:trPr>
        <w:tc>
          <w:tcPr>
            <w:tcW w:w="28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US</w:t>
            </w:r>
          </w:p>
        </w:tc>
        <w:tc>
          <w:tcPr>
            <w:tcW w:w="9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(5 )</w:t>
            </w:r>
          </w:p>
        </w:tc>
        <w:tc>
          <w:tcPr>
            <w:tcW w:w="2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1,208</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(961 )</w:t>
            </w:r>
          </w:p>
        </w:tc>
        <w:tc>
          <w:tcPr>
            <w:tcW w:w="1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7,594</w:t>
            </w:r>
          </w:p>
        </w:tc>
        <w:tc>
          <w:tcPr>
            <w:tcW w:w="9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(966 )</w:t>
            </w:r>
          </w:p>
        </w:tc>
        <w:tc>
          <w:tcPr>
            <w:tcW w:w="2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8,802</w:t>
            </w:r>
          </w:p>
        </w:tc>
        <w:tc>
          <w:tcPr>
            <w:tcW w:w="0" w:type="dxa"/>
            <w:vAlign w:val="bottom"/>
          </w:tcPr>
          <w:p>
            <w:pPr>
              <w:spacing w:after="0"/>
              <w:rPr>
                <w:sz w:val="1"/>
                <w:szCs w:val="1"/>
                <w:color w:val="auto"/>
              </w:rPr>
            </w:pPr>
          </w:p>
        </w:tc>
      </w:tr>
      <w:tr>
        <w:trPr>
          <w:trHeight w:val="18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agency</w:t>
            </w:r>
          </w:p>
        </w:tc>
        <w:tc>
          <w:tcPr>
            <w:tcW w:w="9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Private</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2"/>
                <w:szCs w:val="12"/>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(189 )</w:t>
            </w:r>
          </w:p>
        </w:tc>
        <w:tc>
          <w:tcPr>
            <w:tcW w:w="26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31,701</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4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(2,702 )</w:t>
            </w:r>
          </w:p>
        </w:tc>
        <w:tc>
          <w:tcPr>
            <w:tcW w:w="18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29,060</w:t>
            </w: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24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(2,891 )</w:t>
            </w:r>
          </w:p>
        </w:tc>
        <w:tc>
          <w:tcPr>
            <w:tcW w:w="2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60,761</w:t>
            </w:r>
          </w:p>
        </w:tc>
        <w:tc>
          <w:tcPr>
            <w:tcW w:w="0" w:type="dxa"/>
            <w:vAlign w:val="bottom"/>
          </w:tcPr>
          <w:p>
            <w:pPr>
              <w:spacing w:after="0"/>
              <w:rPr>
                <w:sz w:val="1"/>
                <w:szCs w:val="1"/>
                <w:color w:val="auto"/>
              </w:rPr>
            </w:pPr>
          </w:p>
        </w:tc>
      </w:tr>
      <w:tr>
        <w:trPr>
          <w:trHeight w:val="185"/>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label</w:t>
            </w:r>
          </w:p>
        </w:tc>
        <w:tc>
          <w:tcPr>
            <w:tcW w:w="9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Totals</w:t>
            </w:r>
          </w:p>
        </w:tc>
        <w:tc>
          <w:tcPr>
            <w:tcW w:w="9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29</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(461 )</w:t>
            </w:r>
          </w:p>
        </w:tc>
        <w:tc>
          <w:tcPr>
            <w:tcW w:w="2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45,883</w:t>
            </w: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(10,536 )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115,776</w:t>
            </w:r>
          </w:p>
        </w:tc>
        <w:tc>
          <w:tcPr>
            <w:tcW w:w="960" w:type="dxa"/>
            <w:vAlign w:val="bottom"/>
            <w:tcBorders>
              <w:bottom w:val="single" w:sz="8" w:color="auto"/>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(10,997 )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161,659</w:t>
            </w: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i w:val="1"/>
                <w:iCs w:val="1"/>
                <w:color w:val="auto"/>
              </w:rPr>
              <w:t>Held-to-Maturity Portfolio</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3,350</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(319 )</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3,350</w:t>
            </w: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(7 )</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1,387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4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(1,990 )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13,095</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(1,997 )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14,482</w:t>
            </w: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(2,709 )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33,527</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(2,709 )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33,527</w:t>
            </w: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backed securities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(16 )</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2,812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(1,031 )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10,538</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(1,047 )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13,350</w:t>
            </w: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(668 )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4,876</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(668 )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4,876</w:t>
            </w:r>
          </w:p>
        </w:tc>
        <w:tc>
          <w:tcPr>
            <w:tcW w:w="0" w:type="dxa"/>
            <w:vAlign w:val="bottom"/>
          </w:tcPr>
          <w:p>
            <w:pPr>
              <w:spacing w:after="0"/>
              <w:rPr>
                <w:sz w:val="1"/>
                <w:szCs w:val="1"/>
                <w:color w:val="auto"/>
              </w:rPr>
            </w:pPr>
          </w:p>
        </w:tc>
      </w:tr>
      <w:tr>
        <w:trPr>
          <w:trHeight w:val="139"/>
        </w:trPr>
        <w:tc>
          <w:tcPr>
            <w:tcW w:w="28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US</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4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(1,406 )</w:t>
            </w:r>
          </w:p>
        </w:tc>
        <w:tc>
          <w:tcPr>
            <w:tcW w:w="18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10,695</w:t>
            </w: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(1,406 )</w:t>
            </w:r>
          </w:p>
        </w:tc>
        <w:tc>
          <w:tcPr>
            <w:tcW w:w="2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10,695</w:t>
            </w:r>
          </w:p>
        </w:tc>
        <w:tc>
          <w:tcPr>
            <w:tcW w:w="0" w:type="dxa"/>
            <w:vAlign w:val="bottom"/>
          </w:tcPr>
          <w:p>
            <w:pPr>
              <w:spacing w:after="0"/>
              <w:rPr>
                <w:sz w:val="1"/>
                <w:szCs w:val="1"/>
                <w:color w:val="auto"/>
              </w:rPr>
            </w:pPr>
          </w:p>
        </w:tc>
      </w:tr>
      <w:tr>
        <w:trPr>
          <w:trHeight w:val="18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w:t>
            </w: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Private</w:t>
            </w:r>
          </w:p>
        </w:tc>
        <w:tc>
          <w:tcPr>
            <w:tcW w:w="9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3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(2,384 )</w:t>
            </w:r>
          </w:p>
        </w:tc>
        <w:tc>
          <w:tcPr>
            <w:tcW w:w="1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50,424</w:t>
            </w:r>
          </w:p>
        </w:tc>
        <w:tc>
          <w:tcPr>
            <w:tcW w:w="9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2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(2,384 )</w:t>
            </w:r>
          </w:p>
        </w:tc>
        <w:tc>
          <w:tcPr>
            <w:tcW w:w="2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50,424</w:t>
            </w:r>
          </w:p>
        </w:tc>
        <w:tc>
          <w:tcPr>
            <w:tcW w:w="0" w:type="dxa"/>
            <w:vAlign w:val="bottom"/>
          </w:tcPr>
          <w:p>
            <w:pPr>
              <w:spacing w:after="0"/>
              <w:rPr>
                <w:sz w:val="1"/>
                <w:szCs w:val="1"/>
                <w:color w:val="auto"/>
              </w:rPr>
            </w:pPr>
          </w:p>
        </w:tc>
      </w:tr>
      <w:tr>
        <w:trPr>
          <w:trHeight w:val="185"/>
        </w:trPr>
        <w:tc>
          <w:tcPr>
            <w:tcW w:w="2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label</w:t>
            </w:r>
          </w:p>
        </w:tc>
        <w:tc>
          <w:tcPr>
            <w:tcW w:w="90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900" w:type="dxa"/>
            <w:vAlign w:val="bottom"/>
            <w:tcBorders>
              <w:bottom w:val="single" w:sz="8" w:color="auto"/>
            </w:tcBorders>
            <w:gridSpan w:val="2"/>
            <w:vMerge w:val="continue"/>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vMerge w:val="continue"/>
            <w:shd w:val="clear" w:color="auto" w:fill="CFF0FC"/>
          </w:tcPr>
          <w:p>
            <w:pPr>
              <w:spacing w:after="0"/>
              <w:rPr>
                <w:sz w:val="16"/>
                <w:szCs w:val="16"/>
                <w:color w:val="auto"/>
              </w:rPr>
            </w:pPr>
          </w:p>
        </w:tc>
        <w:tc>
          <w:tcPr>
            <w:tcW w:w="960" w:type="dxa"/>
            <w:vAlign w:val="bottom"/>
            <w:tcBorders>
              <w:bottom w:val="single" w:sz="8" w:color="auto"/>
            </w:tcBorders>
            <w:gridSpan w:val="2"/>
            <w:vMerge w:val="continue"/>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Totals</w:t>
            </w:r>
          </w:p>
        </w:tc>
        <w:tc>
          <w:tcPr>
            <w:tcW w:w="9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(23 )</w:t>
            </w:r>
          </w:p>
        </w:tc>
        <w:tc>
          <w:tcPr>
            <w:tcW w:w="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4,199</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(10,507 )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126,505</w:t>
            </w:r>
          </w:p>
        </w:tc>
        <w:tc>
          <w:tcPr>
            <w:tcW w:w="96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127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(10,530 )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130,704</w:t>
            </w:r>
          </w:p>
        </w:tc>
        <w:tc>
          <w:tcPr>
            <w:tcW w:w="0" w:type="dxa"/>
            <w:vAlign w:val="bottom"/>
          </w:tcPr>
          <w:p>
            <w:pPr>
              <w:spacing w:after="0"/>
              <w:rPr>
                <w:sz w:val="1"/>
                <w:szCs w:val="1"/>
                <w:color w:val="auto"/>
              </w:rPr>
            </w:pP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December 31, 2023</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220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color w:val="auto"/>
              </w:rPr>
              <w:t>Less than Twelve Months</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Twelve Months or More</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900" w:type="dxa"/>
            <w:vAlign w:val="bottom"/>
          </w:tcPr>
          <w:p>
            <w:pPr>
              <w:jc w:val="right"/>
              <w:ind w:right="68"/>
              <w:spacing w:after="0" w:line="160" w:lineRule="exact"/>
              <w:rPr>
                <w:sz w:val="20"/>
                <w:szCs w:val="20"/>
                <w:color w:val="auto"/>
              </w:rPr>
            </w:pPr>
            <w:r>
              <w:rPr>
                <w:rFonts w:ascii="Times New Roman" w:cs="Times New Roman" w:eastAsia="Times New Roman" w:hAnsi="Times New Roman"/>
                <w:sz w:val="14"/>
                <w:szCs w:val="14"/>
                <w:color w:val="auto"/>
              </w:rPr>
              <w:t>Number of</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Number of</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48"/>
              <w:spacing w:after="0" w:line="160" w:lineRule="exact"/>
              <w:rPr>
                <w:sz w:val="20"/>
                <w:szCs w:val="20"/>
                <w:color w:val="auto"/>
              </w:rPr>
            </w:pPr>
            <w:r>
              <w:rPr>
                <w:rFonts w:ascii="Times New Roman" w:cs="Times New Roman" w:eastAsia="Times New Roman" w:hAnsi="Times New Roman"/>
                <w:sz w:val="14"/>
                <w:szCs w:val="14"/>
                <w:color w:val="auto"/>
              </w:rPr>
              <w:t>Number of</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Individual</w:t>
            </w:r>
          </w:p>
        </w:tc>
        <w:tc>
          <w:tcPr>
            <w:tcW w:w="22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Unrealized</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Fair</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Individual</w:t>
            </w:r>
          </w:p>
        </w:tc>
        <w:tc>
          <w:tcPr>
            <w:tcW w:w="10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Unrealized</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Fair</w:t>
            </w:r>
          </w:p>
        </w:tc>
        <w:tc>
          <w:tcPr>
            <w:tcW w:w="1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Individual</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Fair</w:t>
            </w:r>
          </w:p>
        </w:tc>
        <w:tc>
          <w:tcPr>
            <w:tcW w:w="0" w:type="dxa"/>
            <w:vAlign w:val="bottom"/>
          </w:tcPr>
          <w:p>
            <w:pPr>
              <w:spacing w:after="0"/>
              <w:rPr>
                <w:sz w:val="1"/>
                <w:szCs w:val="1"/>
                <w:color w:val="auto"/>
              </w:rPr>
            </w:pPr>
          </w:p>
        </w:tc>
      </w:tr>
      <w:tr>
        <w:trPr>
          <w:trHeight w:val="185"/>
        </w:trPr>
        <w:tc>
          <w:tcPr>
            <w:tcW w:w="28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Securities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Losses</w:t>
            </w: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Value</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Securities</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Losses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Value</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Securities</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Losses</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69"/>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Available-for-Sale Portfolio</w:t>
            </w: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(13 )</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5,990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(3,246 )</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25,794</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(3,259 )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31,784</w:t>
            </w: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(1,809 )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26,432</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(1,809 )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26,432</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4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(365 )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4,351</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(365 )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4,351</w:t>
            </w: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Asset backed securities</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(65 )</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5,907</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(294 )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13,985</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(359 )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19,892</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(14 )</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2,477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4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(1,071 )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14,931</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(1,085 )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17,408</w:t>
            </w:r>
          </w:p>
        </w:tc>
        <w:tc>
          <w:tcPr>
            <w:tcW w:w="0" w:type="dxa"/>
            <w:vAlign w:val="bottom"/>
          </w:tcPr>
          <w:p>
            <w:pPr>
              <w:spacing w:after="0"/>
              <w:rPr>
                <w:sz w:val="1"/>
                <w:szCs w:val="1"/>
                <w:color w:val="auto"/>
              </w:rPr>
            </w:pPr>
          </w:p>
        </w:tc>
      </w:tr>
      <w:tr>
        <w:trPr>
          <w:trHeight w:val="139"/>
        </w:trPr>
        <w:tc>
          <w:tcPr>
            <w:tcW w:w="28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US</w:t>
            </w:r>
          </w:p>
        </w:tc>
        <w:tc>
          <w:tcPr>
            <w:tcW w:w="9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(995 )</w:t>
            </w:r>
          </w:p>
        </w:tc>
        <w:tc>
          <w:tcPr>
            <w:tcW w:w="1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8,123</w:t>
            </w:r>
          </w:p>
        </w:tc>
        <w:tc>
          <w:tcPr>
            <w:tcW w:w="9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(995 )</w:t>
            </w:r>
          </w:p>
        </w:tc>
        <w:tc>
          <w:tcPr>
            <w:tcW w:w="2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8,123</w:t>
            </w:r>
          </w:p>
        </w:tc>
        <w:tc>
          <w:tcPr>
            <w:tcW w:w="0" w:type="dxa"/>
            <w:vAlign w:val="bottom"/>
          </w:tcPr>
          <w:p>
            <w:pPr>
              <w:spacing w:after="0"/>
              <w:rPr>
                <w:sz w:val="1"/>
                <w:szCs w:val="1"/>
                <w:color w:val="auto"/>
              </w:rPr>
            </w:pPr>
          </w:p>
        </w:tc>
      </w:tr>
      <w:tr>
        <w:trPr>
          <w:trHeight w:val="18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agency</w:t>
            </w:r>
          </w:p>
        </w:tc>
        <w:tc>
          <w:tcPr>
            <w:tcW w:w="9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Private</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2"/>
                <w:szCs w:val="12"/>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(274 )</w:t>
            </w:r>
          </w:p>
        </w:tc>
        <w:tc>
          <w:tcPr>
            <w:tcW w:w="26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18,067</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4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(3,571 )</w:t>
            </w:r>
          </w:p>
        </w:tc>
        <w:tc>
          <w:tcPr>
            <w:tcW w:w="18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46,483</w:t>
            </w: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24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(3,845 )</w:t>
            </w:r>
          </w:p>
        </w:tc>
        <w:tc>
          <w:tcPr>
            <w:tcW w:w="2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64,550</w:t>
            </w:r>
          </w:p>
        </w:tc>
        <w:tc>
          <w:tcPr>
            <w:tcW w:w="0" w:type="dxa"/>
            <w:vAlign w:val="bottom"/>
          </w:tcPr>
          <w:p>
            <w:pPr>
              <w:spacing w:after="0"/>
              <w:rPr>
                <w:sz w:val="1"/>
                <w:szCs w:val="1"/>
                <w:color w:val="auto"/>
              </w:rPr>
            </w:pPr>
          </w:p>
        </w:tc>
      </w:tr>
      <w:tr>
        <w:trPr>
          <w:trHeight w:val="185"/>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label</w:t>
            </w:r>
          </w:p>
        </w:tc>
        <w:tc>
          <w:tcPr>
            <w:tcW w:w="9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Totals</w:t>
            </w:r>
          </w:p>
        </w:tc>
        <w:tc>
          <w:tcPr>
            <w:tcW w:w="9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(366 )</w:t>
            </w:r>
          </w:p>
        </w:tc>
        <w:tc>
          <w:tcPr>
            <w:tcW w:w="2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32,441</w:t>
            </w: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(11,351 )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140,099</w:t>
            </w:r>
          </w:p>
        </w:tc>
        <w:tc>
          <w:tcPr>
            <w:tcW w:w="960" w:type="dxa"/>
            <w:vAlign w:val="bottom"/>
            <w:tcBorders>
              <w:bottom w:val="single" w:sz="8" w:color="auto"/>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114</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(11,717 )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172,540</w:t>
            </w: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i w:val="1"/>
                <w:iCs w:val="1"/>
                <w:color w:val="auto"/>
              </w:rPr>
              <w:t>Held-to-Maturity Portfolio</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(304 )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3,456</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(304 )</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3,456</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(2 )</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4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(1,872 )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12,718</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(1,874 )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13,293</w:t>
            </w: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(61 )</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439</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(3,220 )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33,532</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(3,281 )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33,971</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backed securities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(8 )</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2,877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34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(1,172 )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10,652</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(1,180 )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13,529</w:t>
            </w: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(665 )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4,942</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(665 )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4,942</w:t>
            </w:r>
          </w:p>
        </w:tc>
        <w:tc>
          <w:tcPr>
            <w:tcW w:w="0" w:type="dxa"/>
            <w:vAlign w:val="bottom"/>
          </w:tcPr>
          <w:p>
            <w:pPr>
              <w:spacing w:after="0"/>
              <w:rPr>
                <w:sz w:val="1"/>
                <w:szCs w:val="1"/>
                <w:color w:val="auto"/>
              </w:rPr>
            </w:pPr>
          </w:p>
        </w:tc>
      </w:tr>
      <w:tr>
        <w:trPr>
          <w:trHeight w:val="139"/>
        </w:trPr>
        <w:tc>
          <w:tcPr>
            <w:tcW w:w="28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US</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4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(1,293 )</w:t>
            </w:r>
          </w:p>
        </w:tc>
        <w:tc>
          <w:tcPr>
            <w:tcW w:w="18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11,928</w:t>
            </w: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(1,293 )</w:t>
            </w:r>
          </w:p>
        </w:tc>
        <w:tc>
          <w:tcPr>
            <w:tcW w:w="2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11,928</w:t>
            </w:r>
          </w:p>
        </w:tc>
        <w:tc>
          <w:tcPr>
            <w:tcW w:w="0" w:type="dxa"/>
            <w:vAlign w:val="bottom"/>
          </w:tcPr>
          <w:p>
            <w:pPr>
              <w:spacing w:after="0"/>
              <w:rPr>
                <w:sz w:val="1"/>
                <w:szCs w:val="1"/>
                <w:color w:val="auto"/>
              </w:rPr>
            </w:pPr>
          </w:p>
        </w:tc>
      </w:tr>
      <w:tr>
        <w:trPr>
          <w:trHeight w:val="18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w:t>
            </w: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Private</w:t>
            </w:r>
          </w:p>
        </w:tc>
        <w:tc>
          <w:tcPr>
            <w:tcW w:w="9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(38 )</w:t>
            </w:r>
          </w:p>
        </w:tc>
        <w:tc>
          <w:tcPr>
            <w:tcW w:w="2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5,827</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3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(3,140 )</w:t>
            </w:r>
          </w:p>
        </w:tc>
        <w:tc>
          <w:tcPr>
            <w:tcW w:w="1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60,260</w:t>
            </w:r>
          </w:p>
        </w:tc>
        <w:tc>
          <w:tcPr>
            <w:tcW w:w="9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(3,178 )</w:t>
            </w:r>
          </w:p>
        </w:tc>
        <w:tc>
          <w:tcPr>
            <w:tcW w:w="2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66,087</w:t>
            </w:r>
          </w:p>
        </w:tc>
        <w:tc>
          <w:tcPr>
            <w:tcW w:w="0" w:type="dxa"/>
            <w:vAlign w:val="bottom"/>
          </w:tcPr>
          <w:p>
            <w:pPr>
              <w:spacing w:after="0"/>
              <w:rPr>
                <w:sz w:val="1"/>
                <w:szCs w:val="1"/>
                <w:color w:val="auto"/>
              </w:rPr>
            </w:pPr>
          </w:p>
        </w:tc>
      </w:tr>
      <w:tr>
        <w:trPr>
          <w:trHeight w:val="185"/>
        </w:trPr>
        <w:tc>
          <w:tcPr>
            <w:tcW w:w="2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label</w:t>
            </w:r>
          </w:p>
        </w:tc>
        <w:tc>
          <w:tcPr>
            <w:tcW w:w="90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900" w:type="dxa"/>
            <w:vAlign w:val="bottom"/>
            <w:tcBorders>
              <w:bottom w:val="single" w:sz="8" w:color="auto"/>
            </w:tcBorders>
            <w:gridSpan w:val="2"/>
            <w:vMerge w:val="continue"/>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vMerge w:val="continue"/>
            <w:shd w:val="clear" w:color="auto" w:fill="CFF0FC"/>
          </w:tcPr>
          <w:p>
            <w:pPr>
              <w:spacing w:after="0"/>
              <w:rPr>
                <w:sz w:val="16"/>
                <w:szCs w:val="16"/>
                <w:color w:val="auto"/>
              </w:rPr>
            </w:pPr>
          </w:p>
        </w:tc>
        <w:tc>
          <w:tcPr>
            <w:tcW w:w="960" w:type="dxa"/>
            <w:vAlign w:val="bottom"/>
            <w:tcBorders>
              <w:bottom w:val="single" w:sz="8" w:color="auto"/>
            </w:tcBorders>
            <w:gridSpan w:val="2"/>
            <w:vMerge w:val="continue"/>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Totals</w:t>
            </w:r>
          </w:p>
        </w:tc>
        <w:tc>
          <w:tcPr>
            <w:tcW w:w="9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(109 )</w:t>
            </w:r>
          </w:p>
        </w:tc>
        <w:tc>
          <w:tcPr>
            <w:tcW w:w="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9,718</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(11,666 )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137,488</w:t>
            </w:r>
          </w:p>
        </w:tc>
        <w:tc>
          <w:tcPr>
            <w:tcW w:w="96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134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(11,775 )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147,206</w:t>
            </w:r>
          </w:p>
        </w:tc>
        <w:tc>
          <w:tcPr>
            <w:tcW w:w="0" w:type="dxa"/>
            <w:vAlign w:val="bottom"/>
          </w:tcPr>
          <w:p>
            <w:pPr>
              <w:spacing w:after="0"/>
              <w:rPr>
                <w:sz w:val="1"/>
                <w:szCs w:val="1"/>
                <w:color w:val="auto"/>
              </w:rPr>
            </w:pP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Excluding the effects of changes in the characteristics of individual debt securities that potentially give rise to credit losses, as described below, the fair market value of a debt security as of a particular measurement date is highly dependent upon prevailing market and economic environmental factors at the measurement date relative to the prevailing market and economic environmental factors present at the time the debt security was acquired. The most significant market and environmental factors include, but are not limited to (1) the general level of interest rates, (2) the relationship between shorter-term interest rates and longer-term interest rates (referred to as the “slope” or "shape" of the interest rate yield curve),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6" w:name="page17"/>
    <w:bookmarkEnd w:id="16"/>
    <w:p>
      <w:pPr>
        <w:jc w:val="both"/>
        <w:ind w:firstLine="8"/>
        <w:spacing w:after="0" w:line="242" w:lineRule="auto"/>
        <w:tabs>
          <w:tab w:leader="none" w:pos="28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bond market liquidity, (4) the recent and expected near-term volume of new issuances of similar debt securities, and (5) changes in the market values of individual loan collateral underlying mortgage-backed an asset-backed debt securities. Changes in interest rates affect the fair market values of debt securities by influencing the discount rate applied to the securities’ future expected cash flows. The higher the discount rate, the lower the resultant security fair value at the measurement date. Conversely, the lower the discount rate, the higher the resultant security fair value at the measurement date. In addition, the cumulative amount and timing of undiscounted cash flows of debt securities may also be affected by changes in interest rates. For any given level of movement in the general market and economic environmental factors described above, the magnitude of any particular debt security’s price changes will also depend heavily upon security-specific factors such as (1) the duration of the security, (2) imbedded optionality contractually granted to the issuer of the security with respect to principal prepayments, and (3) changes in the level of market premiums demanded by investors for securities with imbedded credit risk (where applicable).</w:t>
      </w:r>
    </w:p>
    <w:p>
      <w:pPr>
        <w:spacing w:after="0" w:line="3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When the fair value of any individual security categorized as available-for-sale ("AFS") or held-to-maturity ("HTM") is less than its amortized cost basis, an assessment is made as to whether or not a charge to current earnings for credit loss is required. In assessing potential credit losses, management also makes a quantitative determination of potential credit loss for all HTM securities even if the risk of credit loss is considered remote and uses a best estimate threshold for securities categorized as AFS. The Company considers numerous factors when determining whether a potential credit loss exists. The principal factors considered are (1) the financial condition of the issue and (guarantor, if any) any adverse conditions specifically related to the security, industry or geographic area, (2) failure of the issuer of the security to make scheduled interest or principal payments, (3) any changes to the rating of the security by a nationally recognized statistical rating organization (“NRSRO”), and (4) the presence of contractual credit enhancements, if any, including the guarantee of the federal government or any of its agencies.</w:t>
      </w:r>
    </w:p>
    <w:p>
      <w:pPr>
        <w:spacing w:after="0" w:line="2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carries all of its AFS investments at fair value with any unrealized gains or losses reported, net of income tax effects, as an adjustment to shareholders' equity and included in accumulated other comprehensive income (loss), except for the credit-related portion of debt securities’ credit losses, if any, which are charged to earnings. The Company's ability to fully realize the value of its investments in various securities, including corporate debt securities, is dependent on the underlying creditworthiness of the issuing organization. In evaluating the debt securities portfolio (both AFS and HTM) for credit losses, management considers (1) if we intend to sell the security; (2) if it is “more likely than not” we will be required to sell the security before recovery of its amortized cost basis; or (3) if the present value of expected cash flows is insufficient to recover the entire amortized cost basis.</w:t>
      </w:r>
    </w:p>
    <w:p>
      <w:pPr>
        <w:spacing w:after="0" w:line="2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portion of the investment securities portfolio, categorized as AFS, with an aggregate amortized historical cost of $284.8 million, had an aggregate fair value that was less than its aggregate amortized historical cost by $9.9 million</w:t>
      </w:r>
      <w:r>
        <w:rPr>
          <w:rFonts w:ascii="Times New Roman" w:cs="Times New Roman" w:eastAsia="Times New Roman" w:hAnsi="Times New Roman"/>
          <w:sz w:val="20"/>
          <w:szCs w:val="20"/>
          <w:color w:val="404040"/>
        </w:rPr>
        <w:t>,</w:t>
      </w:r>
      <w:r>
        <w:rPr>
          <w:rFonts w:ascii="Times New Roman" w:cs="Times New Roman" w:eastAsia="Times New Roman" w:hAnsi="Times New Roman"/>
          <w:sz w:val="20"/>
          <w:szCs w:val="20"/>
          <w:color w:val="auto"/>
        </w:rPr>
        <w:t xml:space="preserve"> or -3.5%, at June 30, 2024. The AFS securities portfolio, with an aggregate amortized historical cost of $269.0 million, had an aggregate fair value that was less than its aggregate amortized historical cost by $10.2 million, or -3.8%, at December 31, 2023. The resultant $377,000 total improvement in the fair value of the AFS investment portfolio's aggregate fair value, relative to its aggregate amortized historical cost, in the six months ended June 30, 2024, was primarily due to changes in the interest rate environment (the general interest rate level and the relationships between shorter-term and longer-term interest rates, known as the 'yield curve') that occurred in that period. These changes in aggregate fair value relative to aggregate amortized historical cost that occurred in the six months ended June 30, 2024 did not represent any changes in credit loss estimations within the portfolio.</w:t>
      </w:r>
    </w:p>
    <w:p>
      <w:pPr>
        <w:spacing w:after="0" w:line="24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portion of the investment securities portfolio, categorized as HTM, with an aggregate amortized historical cost of $166.6 million, had an aggregate fair value that was less than its aggregate amortized historical cost by $10.3 million, or -6.2%, at June 30, 2024. The portion of the investment securities portfolio, categorized as HTM, with an aggregate amortized historical cost of $179.6 million, had an aggregate fair value that was less than its aggregate amortized historical cost by $11.6 million, or -6.5%, at December 31, 2023. The resultant $1.3 million improvement in the aggregate fair value of the HTM investment portfolio, relative to its aggregate amortized historical cost, during the six months ended June 30, 2024, was primarily due to changes in the interest rate environment (the general interest rate level and the relationships between shorter-term and longer-term interest rates, known as the 'yield curve') that occurred in that period. These changes in aggregate fair value relative to aggregate amortized historical cost that occurred in the six months ended June 30, 2024 did not represent any changes in credit loss estimations within the portfolio. The Company does not intend to sell these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color w:val="auto"/>
        </w:rPr>
        <w:t>securities, nor is it more likely than not that the Company will be required to sell these securities prior to the recovery of the amortized cost.</w:t>
      </w:r>
    </w:p>
    <w:p>
      <w:pPr>
        <w:spacing w:after="0" w:line="27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tables depicts a rollforward of the allowance for credit losses on investment securities classified as held-to-maturity for the three months ended June 30, 2024 and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Securities Issued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Government Issued and</w:t>
            </w:r>
          </w:p>
        </w:tc>
        <w:tc>
          <w:tcPr>
            <w:tcW w:w="18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99"/>
              </w:rPr>
              <w:t>Mortgage and</w:t>
            </w:r>
          </w:p>
        </w:tc>
        <w:tc>
          <w:tcPr>
            <w:tcW w:w="20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By State and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Government Sponsored</w:t>
            </w:r>
          </w:p>
        </w:tc>
        <w:tc>
          <w:tcPr>
            <w:tcW w:w="18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Political</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Enterprise Securities</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Subdivisions</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47"/>
        </w:trPr>
        <w:tc>
          <w:tcPr>
            <w:tcW w:w="3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11"/>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Allowance on purchased financial assets</w:t>
            </w: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 credit deterioration</w:t>
            </w:r>
          </w:p>
        </w:tc>
        <w:tc>
          <w:tcPr>
            <w:tcW w:w="30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 of securities</w:t>
            </w: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3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30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292</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425"/>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Government Issued and</w:t>
            </w:r>
          </w:p>
        </w:tc>
        <w:tc>
          <w:tcPr>
            <w:tcW w:w="16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 and</w:t>
            </w:r>
          </w:p>
        </w:tc>
        <w:tc>
          <w:tcPr>
            <w:tcW w:w="20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Issued By State</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Government Sponsored</w:t>
            </w:r>
          </w:p>
        </w:tc>
        <w:tc>
          <w:tcPr>
            <w:tcW w:w="16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Political</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Enterprise Securities</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Subdivisions</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300" w:type="dxa"/>
            <w:vAlign w:val="bottom"/>
          </w:tcPr>
          <w:p>
            <w:pPr>
              <w:spacing w:after="0"/>
              <w:rPr>
                <w:sz w:val="20"/>
                <w:szCs w:val="20"/>
                <w:color w:val="auto"/>
              </w:rPr>
            </w:pPr>
          </w:p>
        </w:tc>
        <w:tc>
          <w:tcPr>
            <w:tcW w:w="1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47"/>
        </w:trPr>
        <w:tc>
          <w:tcPr>
            <w:tcW w:w="3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11"/>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Allowance on purchased financial assets with</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deterioration</w:t>
            </w: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 of securities</w:t>
            </w: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3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June 30, 2023</w:t>
            </w:r>
          </w:p>
        </w:tc>
        <w:tc>
          <w:tcPr>
            <w:tcW w:w="300" w:type="dxa"/>
            <w:vAlign w:val="bottom"/>
            <w:tcBorders>
              <w:bottom w:val="single" w:sz="8" w:color="auto"/>
            </w:tcBorders>
            <w:shd w:val="clear" w:color="auto" w:fill="CFF0FC"/>
          </w:tcPr>
          <w:p>
            <w:pPr>
              <w:spacing w:after="0"/>
              <w:rPr>
                <w:sz w:val="24"/>
                <w:szCs w:val="24"/>
                <w:color w:val="auto"/>
              </w:rPr>
            </w:pPr>
          </w:p>
        </w:tc>
        <w:tc>
          <w:tcPr>
            <w:tcW w:w="178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3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tables depicts a rollforward of the allowance for credit losses on investment securities classified as held-to-maturity for the six months ended June 30, 2024 and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Securities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Government Issued and</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Issued By State</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Government Sponsored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Mortgage and Asset-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and Political</w:t>
            </w:r>
          </w:p>
        </w:tc>
        <w:tc>
          <w:tcPr>
            <w:tcW w:w="240" w:type="dxa"/>
            <w:vAlign w:val="bottom"/>
          </w:tcPr>
          <w:p>
            <w:pPr>
              <w:spacing w:after="0"/>
              <w:rPr>
                <w:sz w:val="18"/>
                <w:szCs w:val="18"/>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1"/>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8"/>
              </w:rPr>
              <w:t>Enterprise Securities</w:t>
            </w: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backed Securities</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Subdivisions</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Securities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r>
      <w:tr>
        <w:trPr>
          <w:trHeight w:val="23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15"/>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on purchased financial assets</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48"/>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 credit deterioration</w:t>
            </w:r>
          </w:p>
        </w:tc>
        <w:tc>
          <w:tcPr>
            <w:tcW w:w="2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spacing w:after="0"/>
              <w:rPr>
                <w:sz w:val="21"/>
                <w:szCs w:val="21"/>
                <w:color w:val="auto"/>
              </w:rPr>
            </w:pPr>
          </w:p>
        </w:tc>
        <w:tc>
          <w:tcPr>
            <w:tcW w:w="1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 of securities</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spacing w:after="0"/>
              <w:rPr>
                <w:sz w:val="20"/>
                <w:szCs w:val="20"/>
                <w:color w:val="auto"/>
              </w:rPr>
            </w:pP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8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2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25"/>
        </w:trPr>
        <w:tc>
          <w:tcPr>
            <w:tcW w:w="3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17</w:t>
            </w:r>
            <w:r>
              <w:rPr>
                <w:rFonts w:ascii="Times New Roman" w:cs="Times New Roman" w:eastAsia="Times New Roman" w:hAnsi="Times New Roman"/>
                <w:sz w:val="18"/>
                <w:szCs w:val="18"/>
                <w:color w:val="auto"/>
              </w:rPr>
              <w:t xml:space="preserve">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63"/>
        </w:trPr>
        <w:tc>
          <w:tcPr>
            <w:tcW w:w="3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Securities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Government Issued and</w:t>
            </w:r>
          </w:p>
        </w:tc>
        <w:tc>
          <w:tcPr>
            <w:tcW w:w="180" w:type="dxa"/>
            <w:vAlign w:val="bottom"/>
          </w:tcPr>
          <w:p>
            <w:pPr>
              <w:spacing w:after="0"/>
              <w:rPr>
                <w:sz w:val="18"/>
                <w:szCs w:val="18"/>
                <w:color w:val="auto"/>
              </w:rPr>
            </w:pP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Mortgage and</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Issued By State</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Government Sponsored</w:t>
            </w:r>
          </w:p>
        </w:tc>
        <w:tc>
          <w:tcPr>
            <w:tcW w:w="180" w:type="dxa"/>
            <w:vAlign w:val="bottom"/>
          </w:tcPr>
          <w:p>
            <w:pPr>
              <w:spacing w:after="0"/>
              <w:rPr>
                <w:sz w:val="18"/>
                <w:szCs w:val="18"/>
                <w:color w:val="auto"/>
              </w:rPr>
            </w:pP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Asset-backed</w:t>
            </w:r>
          </w:p>
        </w:tc>
        <w:tc>
          <w:tcPr>
            <w:tcW w:w="1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and Political</w:t>
            </w:r>
          </w:p>
        </w:tc>
        <w:tc>
          <w:tcPr>
            <w:tcW w:w="280" w:type="dxa"/>
            <w:vAlign w:val="bottom"/>
          </w:tcPr>
          <w:p>
            <w:pPr>
              <w:spacing w:after="0"/>
              <w:rPr>
                <w:sz w:val="18"/>
                <w:szCs w:val="18"/>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1"/>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Enterprise Securities</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Subdivisions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Securities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the adoption of ASU 2016-13</w:t>
            </w: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w:t>
            </w: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r>
      <w:tr>
        <w:trPr>
          <w:trHeight w:val="247"/>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11"/>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on purchased financial assets with</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1"/>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deterioration</w:t>
            </w: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Charge-offs of securities</w:t>
            </w:r>
          </w:p>
        </w:tc>
        <w:tc>
          <w:tcPr>
            <w:tcW w:w="26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June 30, 2023</w:t>
            </w:r>
          </w:p>
        </w:tc>
        <w:tc>
          <w:tcPr>
            <w:tcW w:w="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421</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monitors the credit quality of the debt securities categorized as HTM primarily through the use of NRSRO credit ratings. These assessments are made on a quarterly basis. Amounts disclosed are gross values and do not include any allowance for credit loss. The following tables summarizes the amortized cost of debt securities categorized as HTM at June 30, 2024 and December 31, 2023, aggregated by credit quality indicators: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30, 2024</w:t>
            </w:r>
          </w:p>
        </w:tc>
        <w:tc>
          <w:tcPr>
            <w:tcW w:w="7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AAA or equivalent</w:t>
            </w:r>
          </w:p>
        </w:tc>
        <w:tc>
          <w:tcPr>
            <w:tcW w:w="13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37,178</w:t>
            </w:r>
          </w:p>
        </w:tc>
        <w:tc>
          <w:tcPr>
            <w:tcW w:w="7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42,476</w:t>
            </w:r>
          </w:p>
        </w:tc>
      </w:tr>
      <w:tr>
        <w:trPr>
          <w:trHeight w:val="215"/>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AA or equivalent, including securities issued by the United States</w:t>
            </w:r>
          </w:p>
        </w:tc>
        <w:tc>
          <w:tcPr>
            <w:tcW w:w="130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r>
      <w:tr>
        <w:trPr>
          <w:trHeight w:val="248"/>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Government or Government Sponsored Enterprises</w:t>
            </w:r>
          </w:p>
        </w:tc>
        <w:tc>
          <w:tcPr>
            <w:tcW w:w="130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44,731</w:t>
            </w:r>
          </w:p>
        </w:tc>
        <w:tc>
          <w:tcPr>
            <w:tcW w:w="760" w:type="dxa"/>
            <w:vAlign w:val="bottom"/>
            <w:shd w:val="clear" w:color="auto" w:fill="CFF0FC"/>
          </w:tcPr>
          <w:p>
            <w:pPr>
              <w:spacing w:after="0"/>
              <w:rPr>
                <w:sz w:val="21"/>
                <w:szCs w:val="21"/>
                <w:color w:val="auto"/>
              </w:rPr>
            </w:pPr>
          </w:p>
        </w:tc>
        <w:tc>
          <w:tcPr>
            <w:tcW w:w="2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49,479</w:t>
            </w: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or equivalent</w:t>
            </w:r>
          </w:p>
        </w:tc>
        <w:tc>
          <w:tcPr>
            <w:tcW w:w="13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14,719</w:t>
            </w:r>
          </w:p>
        </w:tc>
        <w:tc>
          <w:tcPr>
            <w:tcW w:w="760" w:type="dxa"/>
            <w:vAlign w:val="bottom"/>
          </w:tcPr>
          <w:p>
            <w:pPr>
              <w:spacing w:after="0"/>
              <w:rPr>
                <w:sz w:val="20"/>
                <w:szCs w:val="20"/>
                <w:color w:val="auto"/>
              </w:rPr>
            </w:pPr>
          </w:p>
        </w:tc>
        <w:tc>
          <w:tcPr>
            <w:tcW w:w="2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19,021</w:t>
            </w:r>
          </w:p>
        </w:tc>
      </w:tr>
      <w:tr>
        <w:trPr>
          <w:trHeight w:val="247"/>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BBB or equivalent</w:t>
            </w:r>
          </w:p>
        </w:tc>
        <w:tc>
          <w:tcPr>
            <w:tcW w:w="130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20,784</w:t>
            </w:r>
          </w:p>
        </w:tc>
        <w:tc>
          <w:tcPr>
            <w:tcW w:w="760" w:type="dxa"/>
            <w:vAlign w:val="bottom"/>
            <w:shd w:val="clear" w:color="auto" w:fill="CFF0FC"/>
          </w:tcPr>
          <w:p>
            <w:pPr>
              <w:spacing w:after="0"/>
              <w:rPr>
                <w:sz w:val="21"/>
                <w:szCs w:val="21"/>
                <w:color w:val="auto"/>
              </w:rPr>
            </w:pPr>
          </w:p>
        </w:tc>
        <w:tc>
          <w:tcPr>
            <w:tcW w:w="2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16,304</w:t>
            </w: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BB or equivalent</w:t>
            </w:r>
          </w:p>
        </w:tc>
        <w:tc>
          <w:tcPr>
            <w:tcW w:w="13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760" w:type="dxa"/>
            <w:vAlign w:val="bottom"/>
          </w:tcPr>
          <w:p>
            <w:pPr>
              <w:spacing w:after="0"/>
              <w:rPr>
                <w:sz w:val="20"/>
                <w:szCs w:val="20"/>
                <w:color w:val="auto"/>
              </w:rPr>
            </w:pPr>
          </w:p>
        </w:tc>
        <w:tc>
          <w:tcPr>
            <w:tcW w:w="2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983</w:t>
            </w:r>
          </w:p>
        </w:tc>
      </w:tr>
      <w:tr>
        <w:trPr>
          <w:trHeight w:val="243"/>
        </w:trPr>
        <w:tc>
          <w:tcPr>
            <w:tcW w:w="50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Unrated</w:t>
            </w:r>
          </w:p>
        </w:tc>
        <w:tc>
          <w:tcPr>
            <w:tcW w:w="1300" w:type="dxa"/>
            <w:vAlign w:val="bottom"/>
            <w:tcBorders>
              <w:bottom w:val="single" w:sz="8" w:color="auto"/>
            </w:tcBorders>
            <w:shd w:val="clear" w:color="auto" w:fill="CFF0FC"/>
          </w:tcPr>
          <w:p>
            <w:pPr>
              <w:spacing w:after="0"/>
              <w:rPr>
                <w:sz w:val="21"/>
                <w:szCs w:val="21"/>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48,167</w:t>
            </w:r>
          </w:p>
        </w:tc>
        <w:tc>
          <w:tcPr>
            <w:tcW w:w="760" w:type="dxa"/>
            <w:vAlign w:val="bottom"/>
            <w:tcBorders>
              <w:bottom w:val="single" w:sz="8" w:color="auto"/>
            </w:tcBorders>
            <w:shd w:val="clear" w:color="auto" w:fill="CFF0FC"/>
          </w:tcPr>
          <w:p>
            <w:pPr>
              <w:spacing w:after="0"/>
              <w:rPr>
                <w:sz w:val="21"/>
                <w:szCs w:val="21"/>
                <w:color w:val="auto"/>
              </w:rPr>
            </w:pPr>
          </w:p>
        </w:tc>
        <w:tc>
          <w:tcPr>
            <w:tcW w:w="2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51,374</w:t>
            </w:r>
          </w:p>
        </w:tc>
      </w:tr>
      <w:tr>
        <w:trPr>
          <w:trHeight w:val="237"/>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166,564</w:t>
            </w:r>
          </w:p>
        </w:tc>
        <w:tc>
          <w:tcPr>
            <w:tcW w:w="7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179,637</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Gross realized (losses) gains on sales and redemptions of available-for-sale and held-to-maturity securities for the indicated periods are detailed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For the three months</w:t>
            </w: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For the six months</w:t>
            </w:r>
          </w:p>
        </w:tc>
        <w:tc>
          <w:tcPr>
            <w:tcW w:w="740" w:type="dxa"/>
            <w:vAlign w:val="bottom"/>
          </w:tcPr>
          <w:p>
            <w:pPr>
              <w:spacing w:after="0"/>
              <w:rPr>
                <w:sz w:val="20"/>
                <w:szCs w:val="20"/>
                <w:color w:val="auto"/>
              </w:rPr>
            </w:pPr>
          </w:p>
        </w:tc>
      </w:tr>
      <w:tr>
        <w:trPr>
          <w:trHeight w:val="250"/>
        </w:trPr>
        <w:tc>
          <w:tcPr>
            <w:tcW w:w="44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ended June 30,</w:t>
            </w:r>
          </w:p>
        </w:tc>
        <w:tc>
          <w:tcPr>
            <w:tcW w:w="7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ended June 30,</w:t>
            </w:r>
          </w:p>
        </w:tc>
        <w:tc>
          <w:tcPr>
            <w:tcW w:w="740" w:type="dxa"/>
            <w:vAlign w:val="bottom"/>
            <w:tcBorders>
              <w:bottom w:val="single" w:sz="8" w:color="auto"/>
            </w:tcBorders>
          </w:tcPr>
          <w:p>
            <w:pPr>
              <w:spacing w:after="0"/>
              <w:rPr>
                <w:sz w:val="21"/>
                <w:szCs w:val="21"/>
                <w:color w:val="auto"/>
              </w:rPr>
            </w:pPr>
          </w:p>
        </w:tc>
      </w:tr>
      <w:tr>
        <w:trPr>
          <w:trHeight w:val="239"/>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9"/>
              </w:rPr>
              <w:t>2023</w:t>
            </w:r>
          </w:p>
        </w:tc>
        <w:tc>
          <w:tcPr>
            <w:tcW w:w="8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r>
      <w:tr>
        <w:trPr>
          <w:trHeight w:val="241"/>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Realized gains on investments</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112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750</w:t>
            </w:r>
          </w:p>
        </w:tc>
        <w:tc>
          <w:tcPr>
            <w:tcW w:w="82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r>
      <w:tr>
        <w:trPr>
          <w:trHeight w:val="239"/>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Realized losses on investments</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(882 )</w:t>
            </w:r>
          </w:p>
        </w:tc>
        <w:tc>
          <w:tcPr>
            <w:tcW w:w="8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(1,948 )</w:t>
            </w:r>
          </w:p>
        </w:tc>
      </w:tr>
      <w:tr>
        <w:trPr>
          <w:trHeight w:val="277"/>
        </w:trPr>
        <w:tc>
          <w:tcPr>
            <w:tcW w:w="44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112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(132 )</w:t>
            </w:r>
          </w:p>
        </w:tc>
        <w:tc>
          <w:tcPr>
            <w:tcW w:w="82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r>
    </w:tbl>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June 30, 2024 and December 31, 2023, securities with a fair value of $120.7 million and $110.3 million, respectively, were pledged to collateralize certain municipal deposit relationships. As of the same dates, securities with a fair value of $116.1 million and $114.3 million, respectively, were pledged against certain borrowing arrangements.</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Management has reviewed its loan and mortgage-backed securities portfolios and determined that, to the best of its knowledge, only minimal exposure exists to sub-prime or other high-risk residential mortgages. With limited exceptions in the Company’s investment portfolio involving the most senior tranches of securitized bonds, the Company is not in the practice of investing in, or originating, these types of investment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Pension and Postretirement Benefits</w:t>
      </w:r>
    </w:p>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has a noncontributory defined benefit pension plan covering most employees. The plan provides defined benefits based on years of service and final average salary. On May 14, 2012, the Company informed its employees of its decision to freeze participation and benefit accruals under the plan, primarily to reduce some of the volatility in earnings that can accompany the maintenance of a defined benefit plan. The plan was frozen on June 30, 2012. Compensation earned by employees up to June 30, 2012 is used for purposes of calculating benefits under the plan but there are no future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9" w:name="page20"/>
    <w:bookmarkEnd w:id="19"/>
    <w:p>
      <w:pPr>
        <w:jc w:val="both"/>
        <w:spacing w:after="0" w:line="246" w:lineRule="auto"/>
        <w:rPr>
          <w:sz w:val="20"/>
          <w:szCs w:val="20"/>
          <w:color w:val="auto"/>
        </w:rPr>
      </w:pPr>
      <w:r>
        <w:rPr>
          <w:rFonts w:ascii="Times New Roman" w:cs="Times New Roman" w:eastAsia="Times New Roman" w:hAnsi="Times New Roman"/>
          <w:sz w:val="20"/>
          <w:szCs w:val="20"/>
          <w:color w:val="auto"/>
        </w:rPr>
        <w:t>benefit accruals after this date. Participants as of June 30, 2012 will continue to earn vesting credit with respect to their frozen accrued benefits as they continue to work. In addition, the Company provides certain health and life insurance benefits for a limited number of eligible retired employees. The healthcare plan is contributory with participants’ contributions adjusted annually; the life insurance plan is noncontributory. Employees with less than 14 years of service as of January 1, 1995, are not eligible for the health and life insurance retirement benefits.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composition of net periodic pension plan and postretirement plan costs for the indicated periods is as follows:</w:t>
      </w:r>
    </w:p>
    <w:p>
      <w:pPr>
        <w:sectPr>
          <w:pgSz w:w="11900" w:h="16838" w:orient="portrait"/>
          <w:cols w:equalWidth="0" w:num="1">
            <w:col w:w="11240"/>
          </w:cols>
          <w:pgMar w:left="320" w:top="1116" w:right="339" w:bottom="1440" w:gutter="0" w:footer="0" w:header="0"/>
        </w:sectPr>
      </w:pPr>
    </w:p>
    <w:p>
      <w:pPr>
        <w:spacing w:after="0" w:line="252" w:lineRule="exact"/>
        <w:rPr>
          <w:sz w:val="20"/>
          <w:szCs w:val="20"/>
          <w:color w:val="auto"/>
        </w:rPr>
      </w:pPr>
    </w:p>
    <w:p>
      <w:pPr>
        <w:ind w:left="3480"/>
        <w:spacing w:after="0"/>
        <w:tabs>
          <w:tab w:leader="none" w:pos="5380" w:val="left"/>
        </w:tabs>
        <w:rPr>
          <w:sz w:val="20"/>
          <w:szCs w:val="20"/>
          <w:color w:val="auto"/>
        </w:rPr>
      </w:pPr>
      <w:r>
        <w:rPr>
          <w:rFonts w:ascii="Times New Roman" w:cs="Times New Roman" w:eastAsia="Times New Roman" w:hAnsi="Times New Roman"/>
          <w:sz w:val="16"/>
          <w:szCs w:val="16"/>
          <w:color w:val="auto"/>
        </w:rPr>
        <w:t>Pension Benefits</w:t>
      </w:r>
      <w:r>
        <w:rPr>
          <w:sz w:val="20"/>
          <w:szCs w:val="20"/>
          <w:color w:val="auto"/>
        </w:rPr>
        <w:tab/>
      </w:r>
      <w:r>
        <w:rPr>
          <w:rFonts w:ascii="Times New Roman" w:cs="Times New Roman" w:eastAsia="Times New Roman" w:hAnsi="Times New Roman"/>
          <w:sz w:val="16"/>
          <w:szCs w:val="16"/>
          <w:color w:val="auto"/>
        </w:rPr>
        <w:t>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29210</wp:posOffset>
            </wp:positionV>
            <wp:extent cx="26142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For the three months ended June 30,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6"/>
          <w:szCs w:val="16"/>
          <w:color w:val="auto"/>
        </w:rPr>
        <w:t>Pension Benefits</w:t>
      </w:r>
      <w:r>
        <w:rPr>
          <w:sz w:val="20"/>
          <w:szCs w:val="20"/>
          <w:color w:val="auto"/>
        </w:rPr>
        <w:tab/>
      </w:r>
      <w:r>
        <w:rPr>
          <w:rFonts w:ascii="Times New Roman" w:cs="Times New Roman" w:eastAsia="Times New Roman" w:hAnsi="Times New Roman"/>
          <w:sz w:val="16"/>
          <w:szCs w:val="16"/>
          <w:color w:val="auto"/>
        </w:rPr>
        <w:t>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29210</wp:posOffset>
            </wp:positionV>
            <wp:extent cx="24688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For the six months ended June 30,</w:t>
      </w:r>
    </w:p>
    <w:p>
      <w:pPr>
        <w:spacing w:after="0" w:line="26" w:lineRule="exact"/>
        <w:rPr>
          <w:sz w:val="20"/>
          <w:szCs w:val="20"/>
          <w:color w:val="auto"/>
        </w:rPr>
      </w:pPr>
    </w:p>
    <w:p>
      <w:pPr>
        <w:sectPr>
          <w:pgSz w:w="11900" w:h="16838" w:orient="portrait"/>
          <w:cols w:equalWidth="0" w:num="2">
            <w:col w:w="6980" w:space="720"/>
            <w:col w:w="3540"/>
          </w:cols>
          <w:pgMar w:left="320" w:top="1116"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2024</w:t>
            </w:r>
          </w:p>
        </w:tc>
        <w:tc>
          <w:tcPr>
            <w:tcW w:w="3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2023</w:t>
            </w:r>
          </w:p>
        </w:tc>
        <w:tc>
          <w:tcPr>
            <w:tcW w:w="3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2024</w:t>
            </w:r>
          </w:p>
        </w:tc>
        <w:tc>
          <w:tcPr>
            <w:tcW w:w="4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2024</w:t>
            </w:r>
          </w:p>
        </w:tc>
        <w:tc>
          <w:tcPr>
            <w:tcW w:w="3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2023</w:t>
            </w:r>
          </w:p>
        </w:tc>
        <w:tc>
          <w:tcPr>
            <w:tcW w:w="3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2024</w:t>
            </w:r>
          </w:p>
        </w:tc>
        <w:tc>
          <w:tcPr>
            <w:tcW w:w="3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2023</w:t>
            </w:r>
          </w:p>
        </w:tc>
      </w:tr>
      <w:tr>
        <w:trPr>
          <w:trHeight w:val="22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260" w:type="dxa"/>
            <w:vAlign w:val="bottom"/>
          </w:tcPr>
          <w:p>
            <w:pPr>
              <w:spacing w:after="0"/>
              <w:rPr>
                <w:sz w:val="19"/>
                <w:szCs w:val="19"/>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w:t>
            </w:r>
          </w:p>
        </w:tc>
        <w:tc>
          <w:tcPr>
            <w:tcW w:w="360" w:type="dxa"/>
            <w:vAlign w:val="bottom"/>
          </w:tcPr>
          <w:p>
            <w:pPr>
              <w:spacing w:after="0"/>
              <w:rPr>
                <w:sz w:val="19"/>
                <w:szCs w:val="19"/>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141</w:t>
            </w:r>
          </w:p>
        </w:tc>
        <w:tc>
          <w:tcPr>
            <w:tcW w:w="360" w:type="dxa"/>
            <w:vAlign w:val="bottom"/>
          </w:tcPr>
          <w:p>
            <w:pPr>
              <w:spacing w:after="0"/>
              <w:rPr>
                <w:sz w:val="19"/>
                <w:szCs w:val="19"/>
                <w:color w:val="auto"/>
              </w:rPr>
            </w:pPr>
          </w:p>
        </w:tc>
        <w:tc>
          <w:tcPr>
            <w:tcW w:w="6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278</w:t>
            </w:r>
          </w:p>
        </w:tc>
        <w:tc>
          <w:tcPr>
            <w:tcW w:w="360" w:type="dxa"/>
            <w:vAlign w:val="bottom"/>
          </w:tcPr>
          <w:p>
            <w:pPr>
              <w:spacing w:after="0"/>
              <w:rPr>
                <w:sz w:val="19"/>
                <w:szCs w:val="19"/>
                <w:color w:val="auto"/>
              </w:rPr>
            </w:pP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281</w:t>
            </w:r>
          </w:p>
        </w:tc>
        <w:tc>
          <w:tcPr>
            <w:tcW w:w="340" w:type="dxa"/>
            <w:vAlign w:val="bottom"/>
          </w:tcPr>
          <w:p>
            <w:pPr>
              <w:spacing w:after="0"/>
              <w:rPr>
                <w:sz w:val="19"/>
                <w:szCs w:val="19"/>
                <w:color w:val="auto"/>
              </w:rPr>
            </w:pP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w:t>
            </w:r>
          </w:p>
        </w:tc>
        <w:tc>
          <w:tcPr>
            <w:tcW w:w="34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r>
      <w:tr>
        <w:trPr>
          <w:trHeight w:val="239"/>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(253 )</w:t>
            </w:r>
          </w:p>
        </w:tc>
        <w:tc>
          <w:tcPr>
            <w:tcW w:w="3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(242 )</w:t>
            </w:r>
          </w:p>
        </w:tc>
        <w:tc>
          <w:tcPr>
            <w:tcW w:w="36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(506 )</w:t>
            </w:r>
          </w:p>
        </w:tc>
        <w:tc>
          <w:tcPr>
            <w:tcW w:w="36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(483 )</w:t>
            </w:r>
          </w:p>
        </w:tc>
        <w:tc>
          <w:tcPr>
            <w:tcW w:w="34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credits</w:t>
            </w:r>
          </w:p>
        </w:tc>
        <w:tc>
          <w:tcPr>
            <w:tcW w:w="260" w:type="dxa"/>
            <w:vAlign w:val="bottom"/>
          </w:tcPr>
          <w:p>
            <w:pPr>
              <w:spacing w:after="0"/>
              <w:rPr>
                <w:sz w:val="19"/>
                <w:szCs w:val="19"/>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(1 )</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(2 )</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33"/>
        </w:trPr>
        <w:tc>
          <w:tcPr>
            <w:tcW w:w="3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net losses</w:t>
            </w:r>
          </w:p>
        </w:tc>
        <w:tc>
          <w:tcPr>
            <w:tcW w:w="2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3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3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79</w:t>
            </w:r>
          </w:p>
        </w:tc>
        <w:tc>
          <w:tcPr>
            <w:tcW w:w="3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114</w:t>
            </w:r>
          </w:p>
        </w:tc>
        <w:tc>
          <w:tcPr>
            <w:tcW w:w="3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(1 )</w:t>
            </w:r>
          </w:p>
        </w:tc>
        <w:tc>
          <w:tcPr>
            <w:tcW w:w="3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23"/>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periodic benefit plan (benefit) cost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(75 )</w:t>
            </w:r>
          </w:p>
        </w:tc>
        <w:tc>
          <w:tcPr>
            <w:tcW w:w="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(43 )</w:t>
            </w:r>
          </w:p>
        </w:tc>
        <w:tc>
          <w:tcPr>
            <w:tcW w:w="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3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(149 )</w:t>
            </w:r>
          </w:p>
        </w:tc>
        <w:tc>
          <w:tcPr>
            <w:tcW w:w="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(88 )</w:t>
            </w:r>
          </w:p>
        </w:tc>
        <w:tc>
          <w:tcPr>
            <w:tcW w:w="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will evaluate the need for further contributions to the defined benefit pension plan during 2024. The prepaid pension asset of $7.8 million and $7.5 million as of June 30, 2024 and December 31, 2023 respectively, is recorded in other assets on the consolidated statements of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Loans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Major classifications of loans at the indicated dates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June 30,</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r>
      <w:tr>
        <w:trPr>
          <w:trHeight w:val="25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7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r>
      <w:tr>
        <w:trPr>
          <w:trHeight w:val="243"/>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27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r>
      <w:tr>
        <w:trPr>
          <w:trHeight w:val="239"/>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 family first-lien residential mortgages</w:t>
            </w:r>
          </w:p>
        </w:tc>
        <w:tc>
          <w:tcPr>
            <w:tcW w:w="2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250,106</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257,604</w:t>
            </w:r>
          </w:p>
        </w:tc>
      </w:tr>
      <w:tr>
        <w:trPr>
          <w:trHeight w:val="243"/>
        </w:trPr>
        <w:tc>
          <w:tcPr>
            <w:tcW w:w="54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27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309</w:t>
            </w: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1,355</w:t>
            </w:r>
          </w:p>
        </w:tc>
      </w:tr>
      <w:tr>
        <w:trPr>
          <w:trHeight w:val="236"/>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residential mortgage loans</w:t>
            </w:r>
          </w:p>
        </w:tc>
        <w:tc>
          <w:tcPr>
            <w:tcW w:w="27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250,415</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258,959</w:t>
            </w:r>
          </w:p>
        </w:tc>
      </w:tr>
      <w:tr>
        <w:trPr>
          <w:trHeight w:val="241"/>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loans:</w:t>
            </w:r>
          </w:p>
        </w:tc>
        <w:tc>
          <w:tcPr>
            <w:tcW w:w="27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r>
      <w:tr>
        <w:trPr>
          <w:trHeight w:val="239"/>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estate</w:t>
            </w:r>
          </w:p>
        </w:tc>
        <w:tc>
          <w:tcPr>
            <w:tcW w:w="278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370,361</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358,707</w:t>
            </w:r>
          </w:p>
        </w:tc>
      </w:tr>
      <w:tr>
        <w:trPr>
          <w:trHeight w:val="247"/>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Lines of credit</w:t>
            </w:r>
          </w:p>
        </w:tc>
        <w:tc>
          <w:tcPr>
            <w:tcW w:w="27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62,711</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72,069</w:t>
            </w:r>
          </w:p>
        </w:tc>
      </w:tr>
      <w:tr>
        <w:trPr>
          <w:trHeight w:val="239"/>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278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90,813</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89,803</w:t>
            </w:r>
          </w:p>
        </w:tc>
      </w:tr>
      <w:tr>
        <w:trPr>
          <w:trHeight w:val="247"/>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Paycheck Protection Program loans</w:t>
            </w:r>
          </w:p>
        </w:tc>
        <w:tc>
          <w:tcPr>
            <w:tcW w:w="27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136</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r>
      <w:tr>
        <w:trPr>
          <w:trHeight w:val="239"/>
        </w:trPr>
        <w:tc>
          <w:tcPr>
            <w:tcW w:w="5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Tax exempt loans</w:t>
            </w:r>
          </w:p>
        </w:tc>
        <w:tc>
          <w:tcPr>
            <w:tcW w:w="27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3,228</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3,430</w:t>
            </w:r>
          </w:p>
        </w:tc>
      </w:tr>
      <w:tr>
        <w:trPr>
          <w:trHeight w:val="236"/>
        </w:trPr>
        <w:tc>
          <w:tcPr>
            <w:tcW w:w="54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commercial loans</w:t>
            </w:r>
          </w:p>
        </w:tc>
        <w:tc>
          <w:tcPr>
            <w:tcW w:w="27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527,249</w:t>
            </w:r>
          </w:p>
        </w:tc>
        <w:tc>
          <w:tcPr>
            <w:tcW w:w="4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524,167</w:t>
            </w:r>
          </w:p>
        </w:tc>
      </w:tr>
      <w:tr>
        <w:trPr>
          <w:trHeight w:val="23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loans:</w:t>
            </w:r>
          </w:p>
        </w:tc>
        <w:tc>
          <w:tcPr>
            <w:tcW w:w="2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7"/>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Home equity and junior liens</w:t>
            </w:r>
          </w:p>
        </w:tc>
        <w:tc>
          <w:tcPr>
            <w:tcW w:w="27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35,821</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34,858</w:t>
            </w:r>
          </w:p>
        </w:tc>
      </w:tr>
      <w:tr>
        <w:trPr>
          <w:trHeight w:val="239"/>
        </w:trPr>
        <w:tc>
          <w:tcPr>
            <w:tcW w:w="5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Other consumer</w:t>
            </w:r>
          </w:p>
        </w:tc>
        <w:tc>
          <w:tcPr>
            <w:tcW w:w="27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75,195</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79,797</w:t>
            </w:r>
          </w:p>
        </w:tc>
      </w:tr>
      <w:tr>
        <w:trPr>
          <w:trHeight w:val="237"/>
        </w:trPr>
        <w:tc>
          <w:tcPr>
            <w:tcW w:w="54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consumer loans</w:t>
            </w:r>
          </w:p>
        </w:tc>
        <w:tc>
          <w:tcPr>
            <w:tcW w:w="27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111,016</w:t>
            </w:r>
          </w:p>
        </w:tc>
        <w:tc>
          <w:tcPr>
            <w:tcW w:w="4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114,655</w:t>
            </w:r>
          </w:p>
        </w:tc>
      </w:tr>
      <w:tr>
        <w:trPr>
          <w:trHeight w:val="236"/>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27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888,680</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897,781</w:t>
            </w:r>
          </w:p>
        </w:tc>
      </w:tr>
      <w:tr>
        <w:trPr>
          <w:trHeight w:val="241"/>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deferred loan fees</w:t>
            </w:r>
          </w:p>
        </w:tc>
        <w:tc>
          <w:tcPr>
            <w:tcW w:w="278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(417 )</w:t>
            </w: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(574 )</w:t>
            </w:r>
          </w:p>
        </w:tc>
      </w:tr>
      <w:tr>
        <w:trPr>
          <w:trHeight w:val="239"/>
        </w:trPr>
        <w:tc>
          <w:tcPr>
            <w:tcW w:w="5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7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16,892</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15,975</w:t>
            </w:r>
          </w:p>
        </w:tc>
      </w:tr>
      <w:tr>
        <w:trPr>
          <w:trHeight w:val="276"/>
        </w:trPr>
        <w:tc>
          <w:tcPr>
            <w:tcW w:w="54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Loans receivable, net</w:t>
            </w:r>
          </w:p>
        </w:tc>
        <w:tc>
          <w:tcPr>
            <w:tcW w:w="278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871,371</w:t>
            </w:r>
          </w:p>
        </w:tc>
        <w:tc>
          <w:tcPr>
            <w:tcW w:w="4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881,232</w:t>
            </w:r>
          </w:p>
        </w:tc>
      </w:tr>
    </w:tbl>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Although the Bank may sometimes purchase or fund loan participation interests outside of its primary market areas, the Bank generally originates residential mortgage, commercial, and consumer loans largely to customers throughout Oswego and Onondaga counties. Although the Bank has a diversified loan portfolio, a substantial portion of its borrowers’ abilities to honor their loan contracts is dependent upon the counties’ employment and economic conditions.</w:t>
      </w:r>
    </w:p>
    <w:p>
      <w:pPr>
        <w:spacing w:after="0" w:line="19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From time to time, the Bank acquires diversified pools of loans, originated by unrelated third parties, as part of the Company’s overall balance sheet management strategies. These acquisitions took place with nine separate transactions, that occurred between 2017 and 2019, with an additional six transactions occurring in 2021. The following tables detail the</w:t>
      </w: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type w:val="continuous"/>
        </w:sectPr>
      </w:pPr>
    </w:p>
    <w:bookmarkStart w:id="20" w:name="page21"/>
    <w:bookmarkEnd w:id="20"/>
    <w:p>
      <w:pPr>
        <w:ind w:right="20"/>
        <w:spacing w:after="0" w:line="269" w:lineRule="auto"/>
        <w:rPr>
          <w:sz w:val="20"/>
          <w:szCs w:val="20"/>
          <w:color w:val="auto"/>
        </w:rPr>
      </w:pPr>
      <w:r>
        <w:rPr>
          <w:rFonts w:ascii="Times New Roman" w:cs="Times New Roman" w:eastAsia="Times New Roman" w:hAnsi="Times New Roman"/>
          <w:sz w:val="20"/>
          <w:szCs w:val="20"/>
          <w:color w:val="auto"/>
        </w:rPr>
        <w:t>purchased loan pool positions held by the Bank at June 30, 2024 and December 31, 2023 (the month/year of the earliest acquisition date is depicted in parentheses):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number of loans)</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June 30, 2024</w:t>
            </w:r>
          </w:p>
        </w:tc>
        <w:tc>
          <w:tcPr>
            <w:tcW w:w="10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11"/>
        </w:trPr>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Unamortiz</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Cumulati</w:t>
            </w:r>
          </w:p>
        </w:tc>
      </w:tr>
      <w:tr>
        <w:trPr>
          <w:trHeight w:val="216"/>
        </w:trPr>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ed</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 net</w:t>
            </w:r>
          </w:p>
        </w:tc>
      </w:tr>
      <w:tr>
        <w:trPr>
          <w:trHeight w:val="216"/>
        </w:trPr>
        <w:tc>
          <w:tcPr>
            <w:tcW w:w="4940" w:type="dxa"/>
            <w:vAlign w:val="bottom"/>
          </w:tcPr>
          <w:p>
            <w:pPr>
              <w:spacing w:after="0"/>
              <w:rPr>
                <w:sz w:val="18"/>
                <w:szCs w:val="18"/>
                <w:color w:val="auto"/>
              </w:rPr>
            </w:pP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Original</w:t>
            </w:r>
          </w:p>
        </w:tc>
        <w:tc>
          <w:tcPr>
            <w:tcW w:w="24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Premium/</w:t>
            </w:r>
          </w:p>
        </w:tc>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Maturity</w:t>
            </w:r>
          </w:p>
        </w:tc>
        <w:tc>
          <w:tcPr>
            <w:tcW w:w="2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charge-</w:t>
            </w:r>
          </w:p>
        </w:tc>
      </w:tr>
      <w:tr>
        <w:trPr>
          <w:trHeight w:val="241"/>
        </w:trPr>
        <w:tc>
          <w:tcPr>
            <w:tcW w:w="4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Balance</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w:t>
            </w: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(Discount)</w:t>
            </w: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 Loans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offs</w:t>
            </w: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 loans (6/2019)</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6,800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1,400</w:t>
            </w:r>
          </w:p>
        </w:tc>
        <w:tc>
          <w:tcPr>
            <w:tcW w:w="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 years</w:t>
            </w:r>
          </w:p>
        </w:tc>
        <w:tc>
          <w:tcPr>
            <w:tcW w:w="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equity lines of credit (8/2019)</w:t>
            </w:r>
          </w:p>
        </w:tc>
        <w:tc>
          <w:tcPr>
            <w:tcW w:w="26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21,900</w:t>
            </w:r>
          </w:p>
        </w:tc>
        <w:tc>
          <w:tcPr>
            <w:tcW w:w="24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4,100</w:t>
            </w:r>
          </w:p>
        </w:tc>
        <w:tc>
          <w:tcPr>
            <w:tcW w:w="26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119</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 years</w:t>
            </w:r>
          </w:p>
        </w:tc>
        <w:tc>
          <w:tcPr>
            <w:tcW w:w="2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Unsecured consumer loan pool 2 (11/2019)</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26,600</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121</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0-2 years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41"/>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loans (12/2019)</w:t>
            </w:r>
          </w:p>
        </w:tc>
        <w:tc>
          <w:tcPr>
            <w:tcW w:w="26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4,300</w:t>
            </w:r>
          </w:p>
        </w:tc>
        <w:tc>
          <w:tcPr>
            <w:tcW w:w="24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4,300</w:t>
            </w:r>
          </w:p>
        </w:tc>
        <w:tc>
          <w:tcPr>
            <w:tcW w:w="26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281</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 years</w:t>
            </w:r>
          </w:p>
        </w:tc>
        <w:tc>
          <w:tcPr>
            <w:tcW w:w="2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Unsecured consumer loan pool 1 (12/2019)</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5,400</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700</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42</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 years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Unsecured consumer installment loans pool 3 (12/2019)</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10,300</w:t>
            </w:r>
          </w:p>
        </w:tc>
        <w:tc>
          <w:tcPr>
            <w:tcW w:w="24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 years</w:t>
            </w: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r>
      <w:tr>
        <w:trPr>
          <w:trHeight w:val="211"/>
        </w:trPr>
        <w:tc>
          <w:tcPr>
            <w:tcW w:w="4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r>
        <w:trPr>
          <w:trHeight w:val="248"/>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Secured consumer installment loans pool 4 (12/2020)</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14,500</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9,700</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(1,360 )</w:t>
            </w:r>
          </w:p>
        </w:tc>
        <w:tc>
          <w:tcPr>
            <w:tcW w:w="9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482</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 years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Unsecured consumer loans pool 5 (1/2021)</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24,400</w:t>
            </w:r>
          </w:p>
        </w:tc>
        <w:tc>
          <w:tcPr>
            <w:tcW w:w="24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14,500</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(372 )</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615</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6-22 years</w:t>
            </w: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commercial line of credit 1 (3/2021)</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11,600</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7,900</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 year</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41"/>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consumer installment loans (11/2021)</w:t>
            </w:r>
          </w:p>
        </w:tc>
        <w:tc>
          <w:tcPr>
            <w:tcW w:w="26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21,300</w:t>
            </w:r>
          </w:p>
        </w:tc>
        <w:tc>
          <w:tcPr>
            <w:tcW w:w="24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17,300</w:t>
            </w: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(2,762 )</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 years</w:t>
            </w:r>
          </w:p>
        </w:tc>
        <w:tc>
          <w:tcPr>
            <w:tcW w:w="2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r>
      <w:tr>
        <w:trPr>
          <w:trHeight w:val="250"/>
        </w:trPr>
        <w:tc>
          <w:tcPr>
            <w:tcW w:w="4940" w:type="dxa"/>
            <w:vAlign w:val="bottom"/>
            <w:tcBorders>
              <w:bottom w:val="single" w:sz="8" w:color="auto"/>
            </w:tcBorders>
            <w:shd w:val="clear" w:color="auto" w:fill="CFF0FC"/>
          </w:tcPr>
          <w:p>
            <w:pPr>
              <w:ind w:left="20"/>
              <w:spacing w:after="0" w:line="250" w:lineRule="exact"/>
              <w:rPr>
                <w:sz w:val="20"/>
                <w:szCs w:val="20"/>
                <w:color w:val="auto"/>
              </w:rPr>
            </w:pPr>
            <w:r>
              <w:rPr>
                <w:rFonts w:ascii="Times New Roman" w:cs="Times New Roman" w:eastAsia="Times New Roman" w:hAnsi="Times New Roman"/>
                <w:sz w:val="18"/>
                <w:szCs w:val="18"/>
                <w:color w:val="auto"/>
              </w:rPr>
              <w:t>Unsecured consumer loans pool 6 (11/2021)</w:t>
            </w:r>
            <w:r>
              <w:rPr>
                <w:rFonts w:ascii="Times New Roman" w:cs="Times New Roman" w:eastAsia="Times New Roman" w:hAnsi="Times New Roman"/>
                <w:sz w:val="24"/>
                <w:szCs w:val="24"/>
                <w:color w:val="auto"/>
                <w:vertAlign w:val="superscript"/>
              </w:rPr>
              <w:t>(1)</w:t>
            </w: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22,200</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17,000</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(2,182 )</w:t>
            </w:r>
          </w:p>
        </w:tc>
        <w:tc>
          <w:tcPr>
            <w:tcW w:w="9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515</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7-24 years</w:t>
            </w: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169,300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77,400</w:t>
            </w:r>
          </w:p>
        </w:tc>
        <w:tc>
          <w:tcPr>
            <w:tcW w:w="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(6,335 )</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2,883</w:t>
            </w: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64"/>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number of loans)</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December 31, 2023</w:t>
            </w: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11"/>
        </w:trPr>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Unamortiz</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Cumulati</w:t>
            </w:r>
          </w:p>
        </w:tc>
      </w:tr>
      <w:tr>
        <w:trPr>
          <w:trHeight w:val="216"/>
        </w:trPr>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ed</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 net</w:t>
            </w:r>
          </w:p>
        </w:tc>
      </w:tr>
      <w:tr>
        <w:trPr>
          <w:trHeight w:val="216"/>
        </w:trPr>
        <w:tc>
          <w:tcPr>
            <w:tcW w:w="4940" w:type="dxa"/>
            <w:vAlign w:val="bottom"/>
          </w:tcPr>
          <w:p>
            <w:pPr>
              <w:spacing w:after="0"/>
              <w:rPr>
                <w:sz w:val="18"/>
                <w:szCs w:val="18"/>
                <w:color w:val="auto"/>
              </w:rPr>
            </w:pP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Original</w:t>
            </w:r>
          </w:p>
        </w:tc>
        <w:tc>
          <w:tcPr>
            <w:tcW w:w="24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Premium/</w:t>
            </w:r>
          </w:p>
        </w:tc>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Maturity</w:t>
            </w:r>
          </w:p>
        </w:tc>
        <w:tc>
          <w:tcPr>
            <w:tcW w:w="2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charge-</w:t>
            </w:r>
          </w:p>
        </w:tc>
      </w:tr>
      <w:tr>
        <w:trPr>
          <w:trHeight w:val="241"/>
        </w:trPr>
        <w:tc>
          <w:tcPr>
            <w:tcW w:w="4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Balance</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w:t>
            </w: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(Discount)</w:t>
            </w: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 Loans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offs</w:t>
            </w: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 loans (6/2019)</w:t>
            </w:r>
          </w:p>
        </w:tc>
        <w:tc>
          <w:tcPr>
            <w:tcW w:w="26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6,800</w:t>
            </w:r>
          </w:p>
        </w:tc>
        <w:tc>
          <w:tcPr>
            <w:tcW w:w="24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1,600</w:t>
            </w:r>
          </w:p>
        </w:tc>
        <w:tc>
          <w:tcPr>
            <w:tcW w:w="26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 years</w:t>
            </w:r>
          </w:p>
        </w:tc>
        <w:tc>
          <w:tcPr>
            <w:tcW w:w="2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Home equity lines of credit (8/2019)</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21,900</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4,500</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108</w:t>
            </w:r>
          </w:p>
        </w:tc>
        <w:tc>
          <w:tcPr>
            <w:tcW w:w="9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159</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 years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consumer loan pool 2 (11/2019)</w:t>
            </w:r>
          </w:p>
        </w:tc>
        <w:tc>
          <w:tcPr>
            <w:tcW w:w="26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26,600</w:t>
            </w:r>
          </w:p>
        </w:tc>
        <w:tc>
          <w:tcPr>
            <w:tcW w:w="24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167</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 years</w:t>
            </w:r>
          </w:p>
        </w:tc>
        <w:tc>
          <w:tcPr>
            <w:tcW w:w="2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r>
        <w:trPr>
          <w:trHeight w:val="248"/>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Residential real estate loans (12/2019)</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4,300</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4,500</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284</w:t>
            </w:r>
          </w:p>
        </w:tc>
        <w:tc>
          <w:tcPr>
            <w:tcW w:w="9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56</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 years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consumer loan pool 1 (12/2019)</w:t>
            </w:r>
          </w:p>
        </w:tc>
        <w:tc>
          <w:tcPr>
            <w:tcW w:w="26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5,400</w:t>
            </w:r>
          </w:p>
        </w:tc>
        <w:tc>
          <w:tcPr>
            <w:tcW w:w="24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 years</w:t>
            </w:r>
          </w:p>
        </w:tc>
        <w:tc>
          <w:tcPr>
            <w:tcW w:w="2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Unsecured consumer installment loans pool 3 (12/2019)</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10,300</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9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158</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0-9 years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r>
      <w:tr>
        <w:trPr>
          <w:trHeight w:val="211"/>
        </w:trPr>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41"/>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consumer installment loans pool 4 (12/2020)</w:t>
            </w:r>
          </w:p>
        </w:tc>
        <w:tc>
          <w:tcPr>
            <w:tcW w:w="26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14,500</w:t>
            </w:r>
          </w:p>
        </w:tc>
        <w:tc>
          <w:tcPr>
            <w:tcW w:w="24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10,600</w:t>
            </w: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(1,252 )</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499</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 years</w:t>
            </w:r>
          </w:p>
        </w:tc>
        <w:tc>
          <w:tcPr>
            <w:tcW w:w="2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Unsecured consumer loans pool 5 (1/2021)</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24,400</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15,600</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(450 )</w:t>
            </w:r>
          </w:p>
        </w:tc>
        <w:tc>
          <w:tcPr>
            <w:tcW w:w="9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644</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7-22 years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commercial line of credit 1 (3/2021)</w:t>
            </w:r>
          </w:p>
        </w:tc>
        <w:tc>
          <w:tcPr>
            <w:tcW w:w="26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11,600</w:t>
            </w:r>
          </w:p>
        </w:tc>
        <w:tc>
          <w:tcPr>
            <w:tcW w:w="24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12,400</w:t>
            </w:r>
          </w:p>
        </w:tc>
        <w:tc>
          <w:tcPr>
            <w:tcW w:w="26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 year</w:t>
            </w:r>
          </w:p>
        </w:tc>
        <w:tc>
          <w:tcPr>
            <w:tcW w:w="2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r>
        <w:trPr>
          <w:trHeight w:val="248"/>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Secured consumer installment loans (11/2021)</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21,300</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18,000</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(2,923 )</w:t>
            </w:r>
          </w:p>
        </w:tc>
        <w:tc>
          <w:tcPr>
            <w:tcW w:w="9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821</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 years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commercial line of credit 2 (11/2021) paid in full at</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41"/>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12/11/23</w:t>
            </w:r>
          </w:p>
        </w:tc>
        <w:tc>
          <w:tcPr>
            <w:tcW w:w="26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10,500</w:t>
            </w:r>
          </w:p>
        </w:tc>
        <w:tc>
          <w:tcPr>
            <w:tcW w:w="24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49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Unsecured consumer loans pool 6 (11/2021)</w:t>
            </w: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22,200</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18,200</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(2,292 )</w:t>
            </w:r>
          </w:p>
        </w:tc>
        <w:tc>
          <w:tcPr>
            <w:tcW w:w="9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522</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7-24 years</w:t>
            </w: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179,800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87,400</w:t>
            </w:r>
          </w:p>
        </w:tc>
        <w:tc>
          <w:tcPr>
            <w:tcW w:w="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(6,504 )</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3,093</w:t>
            </w: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1020" w:hanging="503"/>
        <w:spacing w:after="0" w:line="265"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7, 2023, the Bank settled two pay-fixed interest rate swap derivative contracts, previously established with an unaffiliated third party and designated as fair value interest rate hedges. The hedging swap contracts were related to two purchased consumer installment loan pools comprised of loans secured by residential home solar power infrastructure. These contracts were entered into on February 13, 2021 (notional amount of $12.2 million) and December 8, 2021 (notional amount of $8.5 million). The Bank realized gains related to the settlement of these two hedging contracts were $117,000 and $694,000, respectively. These gains on the extinguishments of the hedging swap contracts are reported as a reduction of the carrying value of the hedged loan pools and will be recognized as an enhancement to the reported yield on those loan pools over the original contractual life of the hedging swap contracts. The unamortized portion of these gains totaled $753,000 at June 30, 2024.</w:t>
      </w:r>
    </w:p>
    <w:p>
      <w:pPr>
        <w:spacing w:after="0" w:line="3"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 </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1" w:name="page22"/>
    <w:bookmarkEnd w:id="21"/>
    <w:p>
      <w:pPr>
        <w:jc w:val="both"/>
        <w:ind w:left="1020" w:hanging="503"/>
        <w:spacing w:after="0" w:line="269" w:lineRule="auto"/>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December 2023, the primary servicer for a purchased pool of consumer installment loans declared bankruptcy and the Bank placed the loans within the serviced pool on nonaccrual status pending the release of collected funds by the U.S. Bankruptcy court of jurisdiction. The current balance reflects anticipated principal payments that are expected to be received after the bankruptcy proceedings are finalized and the remaining amount expected to be collected from the pool’s underlying borrowers. At June 30, 2024, the Bank has recorded a total receivable of $411,000 related to the remaining unpaid portion of the original loan pool, of which $111,000 has currently been collected by the servicer from underlying borrowers and is being held in a segregated account by the Bankruptcy Court and approximately $300,000 remains due from borrowers under the scheduled repayment terms of their original loan agreements. The Bank’s management expects to ultimately collect substantially all of these funds and does not consider the loans in this pool to be impaired at June 30, 2024.</w:t>
      </w:r>
    </w:p>
    <w:p>
      <w:pPr>
        <w:spacing w:after="0" w:line="3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At June 30, 2024 and December 31, 2023, the allowance for credit losses (the "ACL") related to these pools were $2.1 million and $2.1 million, respectively. As of June 30, 2024 and December 31, 2023, residential mortgage loans with a carrying value of $118.1 million and $113.6 million, respectively, have been pledged by the Company to the Federal Home Loan Bank of New York (“FHLBNY”) under a blanket collateral agreement to secure the Company’s line of credit and term borrowings.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Loan Origination / Risk Management</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Company’s lending policies and procedures are presented in Note 5 to the audited consolidated financial statements included in the 2023 Annual Report on Form 10-K filed with the Securities and Exchange Commission on March 22, 2024 and have not changed. As part of the execution of the Company’s overall balance sheet management strategies, the Bank will acquire participating interests in loans originated by unrelated third parties on an occasional basis. The purchase of participations in loans that are originated by third parties only occurs after the completion of thorough pre-acquisition due diligence. Loans in which the Company acquires a participating interest are determined to meet, in all material respects, the Company’s internal underwriting policies, including credit and collateral suitability thresholds, prior to acquisition. In addition, the financial condition of the originating financial institutions, which are generally retained as the ongoing loan servicing provider for participations acquired by the Bank, are analyzed prior to the acquisition of the participating interests and monitored on a regular basis thereafter for the life of those interests.</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To develop and document a systematic methodology for determining the allowance for credit losses, the Company has divided the loan portfolio into three portfolio segments, each with different risk characteristics but with similar methodologies for assessing risk. Each portfolio segment is broken down into loan classes where appropriate. Loan classes contain unique measurement attributes, risk characteristics, and methods for monitoring and assessing risk that are necessary to develop the allowance for credit losses. Unique characteristics such as borrower type, loan type, collateral type, and risk characteristics define each class.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illustrates the portfolio segments and classes for the Company’s loan portfolio:</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line="216" w:lineRule="exact"/>
              <w:rPr>
                <w:sz w:val="20"/>
                <w:szCs w:val="20"/>
                <w:color w:val="auto"/>
              </w:rPr>
            </w:pPr>
            <w:r>
              <w:rPr>
                <w:rFonts w:ascii="Times New Roman" w:cs="Times New Roman" w:eastAsia="Times New Roman" w:hAnsi="Times New Roman"/>
                <w:sz w:val="20"/>
                <w:szCs w:val="20"/>
                <w:b w:val="1"/>
                <w:bCs w:val="1"/>
                <w:color w:val="auto"/>
                <w:w w:val="97"/>
              </w:rPr>
              <w:t>Portfolio Segment</w:t>
            </w:r>
          </w:p>
        </w:tc>
        <w:tc>
          <w:tcPr>
            <w:tcW w:w="3120" w:type="dxa"/>
            <w:vAlign w:val="bottom"/>
            <w:tcBorders>
              <w:top w:val="single" w:sz="8" w:color="auto"/>
            </w:tcBorders>
          </w:tcPr>
          <w:p>
            <w:pPr>
              <w:spacing w:after="0"/>
              <w:rPr>
                <w:sz w:val="18"/>
                <w:szCs w:val="18"/>
                <w:color w:val="auto"/>
              </w:rPr>
            </w:pPr>
          </w:p>
        </w:tc>
        <w:tc>
          <w:tcPr>
            <w:tcW w:w="636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Class</w:t>
            </w: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920" w:type="dxa"/>
            <w:vAlign w:val="bottom"/>
            <w:tcBorders>
              <w:right w:val="single" w:sz="8" w:color="auto"/>
            </w:tcBorders>
          </w:tcPr>
          <w:p>
            <w:pPr>
              <w:spacing w:after="0" w:line="20" w:lineRule="exact"/>
              <w:rPr>
                <w:sz w:val="1"/>
                <w:szCs w:val="1"/>
                <w:color w:val="auto"/>
              </w:rPr>
            </w:pPr>
          </w:p>
        </w:tc>
      </w:tr>
      <w:tr>
        <w:trPr>
          <w:trHeight w:val="538"/>
        </w:trPr>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Residential Mortgage Loans</w:t>
            </w: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1-4 family first-lien residential mortgages</w:t>
            </w:r>
          </w:p>
        </w:tc>
      </w:tr>
      <w:tr>
        <w:trPr>
          <w:trHeight w:val="258"/>
        </w:trPr>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Construction</w:t>
            </w:r>
          </w:p>
        </w:tc>
      </w:tr>
      <w:tr>
        <w:trPr>
          <w:trHeight w:val="511"/>
        </w:trPr>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 Loans</w:t>
            </w: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Real estate</w:t>
            </w:r>
          </w:p>
        </w:tc>
      </w:tr>
      <w:tr>
        <w:trPr>
          <w:trHeight w:val="257"/>
        </w:trPr>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Lines of credit</w:t>
            </w:r>
          </w:p>
        </w:tc>
      </w:tr>
      <w:tr>
        <w:trPr>
          <w:trHeight w:val="256"/>
        </w:trPr>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Other commercial and industrial</w:t>
            </w:r>
          </w:p>
        </w:tc>
      </w:tr>
      <w:tr>
        <w:trPr>
          <w:trHeight w:val="258"/>
        </w:trPr>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Tax exempt loans</w:t>
            </w:r>
          </w:p>
        </w:tc>
      </w:tr>
      <w:tr>
        <w:trPr>
          <w:trHeight w:val="511"/>
        </w:trPr>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Consumer Loans</w:t>
            </w: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Home equity and junior liens</w:t>
            </w:r>
          </w:p>
        </w:tc>
      </w:tr>
      <w:tr>
        <w:trPr>
          <w:trHeight w:val="262"/>
        </w:trPr>
        <w:tc>
          <w:tcPr>
            <w:tcW w:w="140" w:type="dxa"/>
            <w:vAlign w:val="bottom"/>
            <w:tcBorders>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tcPr>
          <w:p>
            <w:pPr>
              <w:spacing w:after="0"/>
              <w:rPr>
                <w:sz w:val="22"/>
                <w:szCs w:val="22"/>
                <w:color w:val="auto"/>
              </w:rPr>
            </w:pPr>
          </w:p>
        </w:tc>
        <w:tc>
          <w:tcPr>
            <w:tcW w:w="63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Other consumer</w:t>
            </w:r>
          </w:p>
        </w:tc>
      </w:tr>
      <w:tr>
        <w:trPr>
          <w:trHeight w:val="659"/>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color w:val="auto"/>
              </w:rPr>
              <w:t xml:space="preserve"> -</w:t>
            </w:r>
          </w:p>
        </w:tc>
      </w:tr>
      <w:tr>
        <w:trPr>
          <w:trHeight w:val="763"/>
        </w:trPr>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22" w:name="page23"/>
    <w:bookmarkEnd w:id="22"/>
    <w:p>
      <w:pPr>
        <w:spacing w:after="0" w:line="269" w:lineRule="auto"/>
        <w:rPr>
          <w:sz w:val="20"/>
          <w:szCs w:val="20"/>
          <w:color w:val="auto"/>
        </w:rPr>
      </w:pPr>
      <w:r>
        <w:rPr>
          <w:rFonts w:ascii="Times New Roman" w:cs="Times New Roman" w:eastAsia="Times New Roman" w:hAnsi="Times New Roman"/>
          <w:sz w:val="20"/>
          <w:szCs w:val="20"/>
          <w:color w:val="auto"/>
        </w:rPr>
        <w:t>The following tables present the classes of the loan portfolio as of June 30, 2024, summarized by the aggregate pass rating and the classified ratings of special mention, substandard and doubtful within the Company's internal risk rating system as of the dates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Revolving</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Term Loans By Origination Year</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loans</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Revolving</w:t>
            </w:r>
          </w:p>
        </w:tc>
        <w:tc>
          <w:tcPr>
            <w:tcW w:w="26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converted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2022</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2021</w:t>
            </w: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2020</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Prior</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Loans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to term loans</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127,16</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344,79</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  20,703</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  47,852</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  66,255</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$ 54,213</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$ 28,608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14,002</w:t>
            </w:r>
          </w:p>
        </w:tc>
        <w:tc>
          <w:tcPr>
            <w:tcW w:w="9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488</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14,490</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848</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2,967</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500</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1,665</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739</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4,297</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11,016</w:t>
            </w:r>
          </w:p>
        </w:tc>
        <w:tc>
          <w:tcPr>
            <w:tcW w:w="0" w:type="dxa"/>
            <w:vAlign w:val="bottom"/>
          </w:tcPr>
          <w:p>
            <w:pPr>
              <w:spacing w:after="0"/>
              <w:rPr>
                <w:sz w:val="1"/>
                <w:szCs w:val="1"/>
                <w:color w:val="auto"/>
              </w:rPr>
            </w:pPr>
          </w:p>
        </w:tc>
      </w:tr>
      <w:tr>
        <w:trPr>
          <w:trHeight w:val="233"/>
        </w:trPr>
        <w:tc>
          <w:tcPr>
            <w:tcW w:w="29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w:t>
            </w:r>
          </w:p>
        </w:tc>
        <w:tc>
          <w:tcPr>
            <w:tcW w:w="3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2"/>
        </w:trPr>
        <w:tc>
          <w:tcPr>
            <w:tcW w:w="2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132,00</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370,36</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21,551</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50,819</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80,757</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55,878</w:t>
            </w: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29,347</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Lines of Credit:</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57,010</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3,555</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60,565</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613</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149</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762</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404</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978</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1,382</w:t>
            </w:r>
          </w:p>
        </w:tc>
        <w:tc>
          <w:tcPr>
            <w:tcW w:w="0" w:type="dxa"/>
            <w:vAlign w:val="bottom"/>
          </w:tcPr>
          <w:p>
            <w:pPr>
              <w:spacing w:after="0"/>
              <w:rPr>
                <w:sz w:val="1"/>
                <w:szCs w:val="1"/>
                <w:color w:val="auto"/>
              </w:rPr>
            </w:pPr>
          </w:p>
        </w:tc>
      </w:tr>
      <w:tr>
        <w:trPr>
          <w:trHeight w:val="233"/>
        </w:trPr>
        <w:tc>
          <w:tcPr>
            <w:tcW w:w="29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Commercial Lines of Credit</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58,027</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4,684</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62,711</w:t>
            </w: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Commercial and Industrial:</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9,513</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23,063</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14,771</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5,381</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4,588</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20,543</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3,841</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81,700</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2,107</w:t>
            </w:r>
          </w:p>
        </w:tc>
        <w:tc>
          <w:tcPr>
            <w:tcW w:w="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225</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2,375</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1,124</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929</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749</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2,530</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5,332</w:t>
            </w:r>
          </w:p>
        </w:tc>
        <w:tc>
          <w:tcPr>
            <w:tcW w:w="0" w:type="dxa"/>
            <w:vAlign w:val="bottom"/>
          </w:tcPr>
          <w:p>
            <w:pPr>
              <w:spacing w:after="0"/>
              <w:rPr>
                <w:sz w:val="1"/>
                <w:szCs w:val="1"/>
                <w:color w:val="auto"/>
              </w:rPr>
            </w:pPr>
          </w:p>
        </w:tc>
      </w:tr>
      <w:tr>
        <w:trPr>
          <w:trHeight w:val="233"/>
        </w:trPr>
        <w:tc>
          <w:tcPr>
            <w:tcW w:w="29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1,406</w:t>
            </w: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1,406</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Commercial and Industrial</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9,513</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26,576</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15,895</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6,535</w:t>
            </w: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5,380</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23,073</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3,841</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90,813</w:t>
            </w: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Paycheck Protection Program Loans</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Pass</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136</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Special Mention</w:t>
            </w: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Substandard</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92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Doubtful</w:t>
            </w: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Paycheck Protection Program</w:t>
            </w: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136</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 Exempt Loans</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Pass</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105</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151</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2,962</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3,228</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Special Mention</w:t>
            </w: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Substandard</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92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Doubtful</w:t>
            </w: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Tax Exempt Loans</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105</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151</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2,962</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22</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0"/>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Revolving</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color w:val="auto"/>
              </w:rPr>
              <w:t>Term Loans By Origination Year</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loans</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Revolving</w:t>
            </w:r>
          </w:p>
        </w:tc>
        <w:tc>
          <w:tcPr>
            <w:tcW w:w="26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converted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2021</w:t>
            </w:r>
          </w:p>
        </w:tc>
        <w:tc>
          <w:tcPr>
            <w:tcW w:w="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2020</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Prior</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Loans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to term loans</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02"/>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1-4 family first-lien residential</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mortgages:</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107,63</w:t>
            </w: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246,77</w:t>
            </w: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2,676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17,017</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30,520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50,326</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$ 38,606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tcPr>
          <w:p>
            <w:pPr>
              <w:spacing w:after="0"/>
              <w:rPr>
                <w:sz w:val="19"/>
                <w:szCs w:val="19"/>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275</w:t>
            </w:r>
          </w:p>
        </w:tc>
        <w:tc>
          <w:tcPr>
            <w:tcW w:w="22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468</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743</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463</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92</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209</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861</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1,625</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152</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811</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963</w:t>
            </w:r>
          </w:p>
        </w:tc>
        <w:tc>
          <w:tcPr>
            <w:tcW w:w="0" w:type="dxa"/>
            <w:vAlign w:val="bottom"/>
          </w:tcPr>
          <w:p>
            <w:pPr>
              <w:spacing w:after="0"/>
              <w:rPr>
                <w:sz w:val="1"/>
                <w:szCs w:val="1"/>
                <w:color w:val="auto"/>
              </w:rPr>
            </w:pPr>
          </w:p>
        </w:tc>
      </w:tr>
      <w:tr>
        <w:trPr>
          <w:trHeight w:val="202"/>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1-4 family first-lien residential</w:t>
            </w: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109,77</w:t>
            </w:r>
          </w:p>
        </w:tc>
        <w:tc>
          <w:tcPr>
            <w:tcW w:w="3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250,10</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mortgages</w:t>
            </w: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2,676</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17,017</w:t>
            </w: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30,983</w:t>
            </w:r>
          </w:p>
        </w:tc>
        <w:tc>
          <w:tcPr>
            <w:tcW w:w="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50,418</w:t>
            </w:r>
          </w:p>
        </w:tc>
        <w:tc>
          <w:tcPr>
            <w:tcW w:w="7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39,242</w:t>
            </w: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3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238</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tcPr>
          <w:p>
            <w:pPr>
              <w:spacing w:after="0"/>
              <w:rPr>
                <w:sz w:val="19"/>
                <w:szCs w:val="19"/>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Construction</w:t>
            </w: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238</w:t>
            </w: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 and Junior Liens:</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4,065</w:t>
            </w: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3,728</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1,925</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1,454</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635</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2,435</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19,875</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922</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35,039</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tcPr>
          <w:p>
            <w:pPr>
              <w:spacing w:after="0"/>
              <w:rPr>
                <w:sz w:val="19"/>
                <w:szCs w:val="19"/>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13</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686</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Home Equity and Junior Liens</w:t>
            </w: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4,065</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3,728</w:t>
            </w: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1,925</w:t>
            </w:r>
          </w:p>
        </w:tc>
        <w:tc>
          <w:tcPr>
            <w:tcW w:w="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1,467</w:t>
            </w:r>
          </w:p>
        </w:tc>
        <w:tc>
          <w:tcPr>
            <w:tcW w:w="7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635</w:t>
            </w: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2,489</w:t>
            </w:r>
          </w:p>
        </w:tc>
        <w:tc>
          <w:tcPr>
            <w:tcW w:w="3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20,581</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931</w:t>
            </w: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35,821</w:t>
            </w: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Consumer:</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2,455</w:t>
            </w: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62,957</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3,478</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2,684</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1,210</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2,322</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75,106</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tcPr>
          <w:p>
            <w:pPr>
              <w:spacing w:after="0"/>
              <w:rPr>
                <w:sz w:val="19"/>
                <w:szCs w:val="19"/>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w:t>
            </w: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82</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Other Consumer</w:t>
            </w: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2,455</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62,957</w:t>
            </w: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3,478</w:t>
            </w:r>
          </w:p>
        </w:tc>
        <w:tc>
          <w:tcPr>
            <w:tcW w:w="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2,772</w:t>
            </w:r>
          </w:p>
        </w:tc>
        <w:tc>
          <w:tcPr>
            <w:tcW w:w="7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1,210</w:t>
            </w: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2,323</w:t>
            </w:r>
          </w:p>
        </w:tc>
        <w:tc>
          <w:tcPr>
            <w:tcW w:w="3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75,195</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Deferred Loan Fees</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(394 )</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163</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105</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(76 )</w:t>
            </w: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(17 )</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(417 )</w:t>
            </w:r>
          </w:p>
        </w:tc>
        <w:tc>
          <w:tcPr>
            <w:tcW w:w="0" w:type="dxa"/>
            <w:vAlign w:val="bottom"/>
          </w:tcPr>
          <w:p>
            <w:pPr>
              <w:spacing w:after="0"/>
              <w:rPr>
                <w:sz w:val="1"/>
                <w:szCs w:val="1"/>
                <w:color w:val="auto"/>
              </w:rPr>
            </w:pPr>
          </w:p>
        </w:tc>
      </w:tr>
      <w:tr>
        <w:trPr>
          <w:trHeight w:val="202"/>
        </w:trPr>
        <w:tc>
          <w:tcPr>
            <w:tcW w:w="2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5"/>
              </w:rPr>
              <w:t>116,99</w:t>
            </w: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272,42</w:t>
            </w:r>
          </w:p>
        </w:tc>
        <w:tc>
          <w:tcPr>
            <w:tcW w:w="3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888,26</w:t>
            </w:r>
          </w:p>
        </w:tc>
        <w:tc>
          <w:tcPr>
            <w:tcW w:w="0" w:type="dxa"/>
            <w:vAlign w:val="bottom"/>
          </w:tcPr>
          <w:p>
            <w:pPr>
              <w:spacing w:after="0"/>
              <w:rPr>
                <w:sz w:val="1"/>
                <w:szCs w:val="1"/>
                <w:color w:val="auto"/>
              </w:rPr>
            </w:pPr>
          </w:p>
        </w:tc>
      </w:tr>
      <w:tr>
        <w:trPr>
          <w:trHeight w:val="263"/>
        </w:trPr>
        <w:tc>
          <w:tcPr>
            <w:tcW w:w="2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Loans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39,947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161,603</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133,143</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4</w:t>
            </w:r>
          </w:p>
        </w:tc>
        <w:tc>
          <w:tcPr>
            <w:tcW w:w="7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$ 76,084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32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82,449</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5,615</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Management has reviewed its loan portfolio and determined that, to the best of its knowledge, no material exposure exists to sub-prime or other high-risk residential mortgages. The Company is not in the practice of originating these types of loans.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Nonaccrual and Past Due Loans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Loans are considered past due if the required principal and interest payments have not been received within thirty days of the payment due date. Loans are placed on nonaccrual when the contractual payment of principal and interest has become 90 days past due or when management has serious doubts about further collectability of principal or interest, even though the loan may be currently performing.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4" w:name="page25"/>
    <w:bookmarkEnd w:id="24"/>
    <w:p>
      <w:pPr>
        <w:spacing w:after="0" w:line="269" w:lineRule="auto"/>
        <w:rPr>
          <w:sz w:val="20"/>
          <w:szCs w:val="20"/>
          <w:color w:val="auto"/>
        </w:rPr>
      </w:pPr>
      <w:r>
        <w:rPr>
          <w:rFonts w:ascii="Times New Roman" w:cs="Times New Roman" w:eastAsia="Times New Roman" w:hAnsi="Times New Roman"/>
          <w:sz w:val="20"/>
          <w:szCs w:val="20"/>
          <w:color w:val="auto"/>
        </w:rPr>
        <w:t>An aging analysis of past due loans, not including net deferred loan costs, segregated by portfolio segment and class of loans, as of June 30, 2024 and December 31, 2023, are detailed in the following tables: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As of June 30, 2024</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473"/>
        </w:trPr>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30-59 Days</w:t>
            </w:r>
          </w:p>
        </w:tc>
        <w:tc>
          <w:tcPr>
            <w:tcW w:w="28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60-89 Days</w:t>
            </w:r>
          </w:p>
        </w:tc>
        <w:tc>
          <w:tcPr>
            <w:tcW w:w="30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 Days</w:t>
            </w:r>
          </w:p>
        </w:tc>
        <w:tc>
          <w:tcPr>
            <w:tcW w:w="30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Loans</w:t>
            </w:r>
          </w:p>
        </w:tc>
      </w:tr>
      <w:tr>
        <w:trPr>
          <w:trHeight w:val="250"/>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Past Due</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Past Due</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and Over</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Past Due</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Receivable</w:t>
            </w:r>
          </w:p>
        </w:tc>
      </w:tr>
      <w:tr>
        <w:trPr>
          <w:trHeight w:val="243"/>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 family first-lien residential mortgages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1,278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568</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1,737</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3,583</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246,523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250,106</w:t>
            </w:r>
          </w:p>
        </w:tc>
      </w:tr>
      <w:tr>
        <w:trPr>
          <w:trHeight w:val="243"/>
        </w:trPr>
        <w:tc>
          <w:tcPr>
            <w:tcW w:w="40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309</w:t>
            </w:r>
          </w:p>
        </w:tc>
      </w:tr>
      <w:tr>
        <w:trPr>
          <w:trHeight w:val="237"/>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residential mortgage loans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1,278</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568</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1,737</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3,583</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246,832</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250,415</w:t>
            </w:r>
          </w:p>
        </w:tc>
      </w:tr>
      <w:tr>
        <w:trPr>
          <w:trHeight w:val="241"/>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loans:</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3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7,094</w:t>
            </w: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5,276</w:t>
            </w:r>
          </w:p>
        </w:tc>
        <w:tc>
          <w:tcPr>
            <w:tcW w:w="3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6,421</w:t>
            </w:r>
          </w:p>
        </w:tc>
        <w:tc>
          <w:tcPr>
            <w:tcW w:w="30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18,791</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351,570</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370,361</w:t>
            </w:r>
          </w:p>
        </w:tc>
      </w:tr>
      <w:tr>
        <w:trPr>
          <w:trHeight w:val="247"/>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Lines of credit</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1,128</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2,310</w:t>
            </w: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3,438</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59,273</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62,711</w:t>
            </w:r>
          </w:p>
        </w:tc>
      </w:tr>
      <w:tr>
        <w:trPr>
          <w:trHeight w:val="23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1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1,294</w:t>
            </w: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9,785</w:t>
            </w:r>
          </w:p>
        </w:tc>
        <w:tc>
          <w:tcPr>
            <w:tcW w:w="30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11,079</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79,734</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90,813</w:t>
            </w:r>
          </w:p>
        </w:tc>
      </w:tr>
      <w:tr>
        <w:trPr>
          <w:trHeight w:val="247"/>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Paycheck Protection Program loans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r>
      <w:tr>
        <w:trPr>
          <w:trHeight w:val="239"/>
        </w:trPr>
        <w:tc>
          <w:tcPr>
            <w:tcW w:w="4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Tax exempt loans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3,228</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3,228</w:t>
            </w:r>
          </w:p>
        </w:tc>
      </w:tr>
      <w:tr>
        <w:trPr>
          <w:trHeight w:val="236"/>
        </w:trPr>
        <w:tc>
          <w:tcPr>
            <w:tcW w:w="40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commercial loans</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9,516</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5,276</w:t>
            </w:r>
          </w:p>
        </w:tc>
        <w:tc>
          <w:tcPr>
            <w:tcW w:w="3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18,516</w:t>
            </w:r>
          </w:p>
        </w:tc>
        <w:tc>
          <w:tcPr>
            <w:tcW w:w="3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33,308</w:t>
            </w: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493,941</w:t>
            </w: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527,249</w:t>
            </w:r>
          </w:p>
        </w:tc>
      </w:tr>
      <w:tr>
        <w:trPr>
          <w:trHeight w:val="23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loans: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7"/>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Home equity and junior liens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365</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565</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35,256</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35,821</w:t>
            </w:r>
          </w:p>
        </w:tc>
      </w:tr>
      <w:tr>
        <w:trPr>
          <w:trHeight w:val="239"/>
        </w:trPr>
        <w:tc>
          <w:tcPr>
            <w:tcW w:w="4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479</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270</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4,062</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4,811</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70,384</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75,195</w:t>
            </w:r>
          </w:p>
        </w:tc>
      </w:tr>
      <w:tr>
        <w:trPr>
          <w:trHeight w:val="237"/>
        </w:trPr>
        <w:tc>
          <w:tcPr>
            <w:tcW w:w="40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consumer loans</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844</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295</w:t>
            </w:r>
          </w:p>
        </w:tc>
        <w:tc>
          <w:tcPr>
            <w:tcW w:w="3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4,237</w:t>
            </w:r>
          </w:p>
        </w:tc>
        <w:tc>
          <w:tcPr>
            <w:tcW w:w="3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5,376</w:t>
            </w: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105,640</w:t>
            </w: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111,016</w:t>
            </w:r>
          </w:p>
        </w:tc>
      </w:tr>
      <w:tr>
        <w:trPr>
          <w:trHeight w:val="237"/>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11,638</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6,139</w:t>
            </w:r>
          </w:p>
        </w:tc>
        <w:tc>
          <w:tcPr>
            <w:tcW w:w="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24,490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42,267</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846,413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888,680</w:t>
            </w: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gridSpan w:val="4"/>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64"/>
        </w:trPr>
        <w:tc>
          <w:tcPr>
            <w:tcW w:w="4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As of December 31, 2023</w:t>
            </w: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473"/>
        </w:trPr>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30-59 Days</w:t>
            </w:r>
          </w:p>
        </w:tc>
        <w:tc>
          <w:tcPr>
            <w:tcW w:w="28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60-89 Days</w:t>
            </w:r>
          </w:p>
        </w:tc>
        <w:tc>
          <w:tcPr>
            <w:tcW w:w="30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 Days</w:t>
            </w:r>
          </w:p>
        </w:tc>
        <w:tc>
          <w:tcPr>
            <w:tcW w:w="30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Loans</w:t>
            </w:r>
          </w:p>
        </w:tc>
      </w:tr>
      <w:tr>
        <w:trPr>
          <w:trHeight w:val="250"/>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Past Due</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Past Due</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and Over</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Past Due</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Receivable</w:t>
            </w:r>
          </w:p>
        </w:tc>
      </w:tr>
      <w:tr>
        <w:trPr>
          <w:trHeight w:val="23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7"/>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1-4 family first-lien residential mortgages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1,462</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2,269</w:t>
            </w:r>
          </w:p>
        </w:tc>
        <w:tc>
          <w:tcPr>
            <w:tcW w:w="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1,770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5,501</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252,103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257,604</w:t>
            </w:r>
          </w:p>
        </w:tc>
      </w:tr>
      <w:tr>
        <w:trPr>
          <w:trHeight w:val="239"/>
        </w:trPr>
        <w:tc>
          <w:tcPr>
            <w:tcW w:w="4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1,355</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1,355</w:t>
            </w:r>
          </w:p>
        </w:tc>
      </w:tr>
      <w:tr>
        <w:trPr>
          <w:trHeight w:val="236"/>
        </w:trPr>
        <w:tc>
          <w:tcPr>
            <w:tcW w:w="40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residential mortgage loans</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1,462</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2,269</w:t>
            </w:r>
          </w:p>
        </w:tc>
        <w:tc>
          <w:tcPr>
            <w:tcW w:w="3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1,770</w:t>
            </w:r>
          </w:p>
        </w:tc>
        <w:tc>
          <w:tcPr>
            <w:tcW w:w="3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5,501</w:t>
            </w: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253,458</w:t>
            </w: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258,959</w:t>
            </w:r>
          </w:p>
        </w:tc>
      </w:tr>
      <w:tr>
        <w:trPr>
          <w:trHeight w:val="23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loans: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7"/>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5,385</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196</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5,053</w:t>
            </w: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10,634</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348,073</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358,707</w:t>
            </w:r>
          </w:p>
        </w:tc>
      </w:tr>
      <w:tr>
        <w:trPr>
          <w:trHeight w:val="23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Lines of credit</w:t>
            </w:r>
          </w:p>
        </w:tc>
        <w:tc>
          <w:tcPr>
            <w:tcW w:w="1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924</w:t>
            </w:r>
          </w:p>
        </w:tc>
        <w:tc>
          <w:tcPr>
            <w:tcW w:w="30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1,104</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70,965</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72,069</w:t>
            </w:r>
          </w:p>
        </w:tc>
      </w:tr>
      <w:tr>
        <w:trPr>
          <w:trHeight w:val="247"/>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5,347</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322</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6,340</w:t>
            </w: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12,009</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77,794</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89,803</w:t>
            </w:r>
          </w:p>
        </w:tc>
      </w:tr>
      <w:tr>
        <w:trPr>
          <w:trHeight w:val="23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Paycheck Protection Program loans</w:t>
            </w:r>
          </w:p>
        </w:tc>
        <w:tc>
          <w:tcPr>
            <w:tcW w:w="1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r>
      <w:tr>
        <w:trPr>
          <w:trHeight w:val="243"/>
        </w:trPr>
        <w:tc>
          <w:tcPr>
            <w:tcW w:w="40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exempt loans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3,430</w:t>
            </w: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3,430</w:t>
            </w:r>
          </w:p>
        </w:tc>
      </w:tr>
      <w:tr>
        <w:trPr>
          <w:trHeight w:val="236"/>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commercial loans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10,912</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518</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12,317</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23,747</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500,420</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524,167</w:t>
            </w:r>
          </w:p>
        </w:tc>
      </w:tr>
      <w:tr>
        <w:trPr>
          <w:trHeight w:val="241"/>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loans:</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3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equity and junior liens</w:t>
            </w:r>
          </w:p>
        </w:tc>
        <w:tc>
          <w:tcPr>
            <w:tcW w:w="1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192</w:t>
            </w:r>
          </w:p>
        </w:tc>
        <w:tc>
          <w:tcPr>
            <w:tcW w:w="30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431</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34,427</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34,858</w:t>
            </w:r>
          </w:p>
        </w:tc>
      </w:tr>
      <w:tr>
        <w:trPr>
          <w:trHeight w:val="243"/>
        </w:trPr>
        <w:tc>
          <w:tcPr>
            <w:tcW w:w="40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984</w:t>
            </w: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383</w:t>
            </w: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2,948</w:t>
            </w:r>
          </w:p>
        </w:tc>
        <w:tc>
          <w:tcPr>
            <w:tcW w:w="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4,315</w:t>
            </w:r>
          </w:p>
        </w:tc>
        <w:tc>
          <w:tcPr>
            <w:tcW w:w="3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75,482</w:t>
            </w: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79,797</w:t>
            </w:r>
          </w:p>
        </w:tc>
      </w:tr>
      <w:tr>
        <w:trPr>
          <w:trHeight w:val="236"/>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consumer loans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1,194</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412</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3,140</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4,746</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109,909</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114,655</w:t>
            </w:r>
          </w:p>
        </w:tc>
      </w:tr>
      <w:tr>
        <w:trPr>
          <w:trHeight w:val="277"/>
        </w:trPr>
        <w:tc>
          <w:tcPr>
            <w:tcW w:w="40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13,568</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3,199</w:t>
            </w:r>
          </w:p>
        </w:tc>
        <w:tc>
          <w:tcPr>
            <w:tcW w:w="30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17,227</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33,994</w:t>
            </w: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863,787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897,781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5" w:name="page26"/>
    <w:bookmarkEnd w:id="25"/>
    <w:p>
      <w:pPr>
        <w:jc w:val="both"/>
        <w:spacing w:after="0" w:line="269" w:lineRule="auto"/>
        <w:rPr>
          <w:sz w:val="20"/>
          <w:szCs w:val="20"/>
          <w:color w:val="auto"/>
        </w:rPr>
      </w:pPr>
      <w:r>
        <w:rPr>
          <w:rFonts w:ascii="Times New Roman" w:cs="Times New Roman" w:eastAsia="Times New Roman" w:hAnsi="Times New Roman"/>
          <w:sz w:val="20"/>
          <w:szCs w:val="20"/>
          <w:color w:val="auto"/>
        </w:rPr>
        <w:t>As of June 30, 2024 and December 31, 2023, the amount of interest income recognized on nonaccrual loans and the cost basis of nonaccrual loans, for which there is no ACL, are detailed in the following tables. All loans greater than 90 days past due are classified as nonaccrual.</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June 30, 2024</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11"/>
        </w:trPr>
        <w:tc>
          <w:tcPr>
            <w:tcW w:w="6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Nonaccrual loans</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without related</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Recognized</w:t>
            </w:r>
          </w:p>
        </w:tc>
      </w:tr>
      <w:tr>
        <w:trPr>
          <w:trHeight w:val="216"/>
        </w:trPr>
        <w:tc>
          <w:tcPr>
            <w:tcW w:w="6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allowance for</w:t>
            </w:r>
          </w:p>
        </w:tc>
        <w:tc>
          <w:tcPr>
            <w:tcW w:w="38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interest</w:t>
            </w:r>
          </w:p>
        </w:tc>
      </w:tr>
      <w:tr>
        <w:trPr>
          <w:trHeight w:val="241"/>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Nonaccrual Loans</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credit loss</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income</w:t>
            </w:r>
          </w:p>
        </w:tc>
      </w:tr>
      <w:tr>
        <w:trPr>
          <w:trHeight w:val="243"/>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r>
      <w:tr>
        <w:trPr>
          <w:trHeight w:val="239"/>
        </w:trPr>
        <w:tc>
          <w:tcPr>
            <w:tcW w:w="6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1-4 family first-lien residential mortgages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r>
      <w:tr>
        <w:trPr>
          <w:trHeight w:val="237"/>
        </w:trPr>
        <w:tc>
          <w:tcPr>
            <w:tcW w:w="684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4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r>
      <w:tr>
        <w:trPr>
          <w:trHeight w:val="237"/>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loans:</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7"/>
        </w:trPr>
        <w:tc>
          <w:tcPr>
            <w:tcW w:w="6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4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715</w:t>
            </w: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r>
      <w:tr>
        <w:trPr>
          <w:trHeight w:val="239"/>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Lines of credit</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44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250</w:t>
            </w:r>
          </w:p>
        </w:tc>
        <w:tc>
          <w:tcPr>
            <w:tcW w:w="3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68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5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4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1,980</w:t>
            </w:r>
          </w:p>
        </w:tc>
        <w:tc>
          <w:tcPr>
            <w:tcW w:w="3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r>
      <w:tr>
        <w:trPr>
          <w:trHeight w:val="237"/>
        </w:trPr>
        <w:tc>
          <w:tcPr>
            <w:tcW w:w="68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18,516</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2,945</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r>
      <w:tr>
        <w:trPr>
          <w:trHeight w:val="241"/>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loans:</w:t>
            </w: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r>
      <w:tr>
        <w:trPr>
          <w:trHeight w:val="239"/>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Home equity and junior liens</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4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68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consumer</w:t>
            </w:r>
          </w:p>
        </w:tc>
        <w:tc>
          <w:tcPr>
            <w:tcW w:w="5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4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2,074</w:t>
            </w:r>
          </w:p>
        </w:tc>
        <w:tc>
          <w:tcPr>
            <w:tcW w:w="3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consumer loans</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2,134</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77"/>
        </w:trPr>
        <w:tc>
          <w:tcPr>
            <w:tcW w:w="684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nonaccrual loans</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24,490</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5,148</w:t>
            </w:r>
          </w:p>
        </w:tc>
        <w:tc>
          <w:tcPr>
            <w:tcW w:w="38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r>
      <w:tr>
        <w:trPr>
          <w:trHeight w:val="451"/>
        </w:trPr>
        <w:tc>
          <w:tcPr>
            <w:tcW w:w="68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2023</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11"/>
        </w:trPr>
        <w:tc>
          <w:tcPr>
            <w:tcW w:w="6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Nonaccrual loans</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without related</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Recognized</w:t>
            </w:r>
          </w:p>
        </w:tc>
      </w:tr>
      <w:tr>
        <w:trPr>
          <w:trHeight w:val="216"/>
        </w:trPr>
        <w:tc>
          <w:tcPr>
            <w:tcW w:w="6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allowance for</w:t>
            </w:r>
          </w:p>
        </w:tc>
        <w:tc>
          <w:tcPr>
            <w:tcW w:w="38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interest</w:t>
            </w:r>
          </w:p>
        </w:tc>
      </w:tr>
      <w:tr>
        <w:trPr>
          <w:trHeight w:val="241"/>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Nonaccrual Loans</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credit loss</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income</w:t>
            </w:r>
          </w:p>
        </w:tc>
      </w:tr>
      <w:tr>
        <w:trPr>
          <w:trHeight w:val="239"/>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3"/>
        </w:trPr>
        <w:tc>
          <w:tcPr>
            <w:tcW w:w="68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1-4 family first-lien residential mortgages</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r>
      <w:tr>
        <w:trPr>
          <w:trHeight w:val="237"/>
        </w:trPr>
        <w:tc>
          <w:tcPr>
            <w:tcW w:w="68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r>
      <w:tr>
        <w:trPr>
          <w:trHeight w:val="241"/>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loans:</w:t>
            </w: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r>
      <w:tr>
        <w:trPr>
          <w:trHeight w:val="239"/>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44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3,058</w:t>
            </w:r>
          </w:p>
        </w:tc>
        <w:tc>
          <w:tcPr>
            <w:tcW w:w="3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r>
      <w:tr>
        <w:trPr>
          <w:trHeight w:val="247"/>
        </w:trPr>
        <w:tc>
          <w:tcPr>
            <w:tcW w:w="6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Lines of credit</w:t>
            </w: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4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r>
      <w:tr>
        <w:trPr>
          <w:trHeight w:val="239"/>
        </w:trPr>
        <w:tc>
          <w:tcPr>
            <w:tcW w:w="6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4,079</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r>
      <w:tr>
        <w:trPr>
          <w:trHeight w:val="237"/>
        </w:trPr>
        <w:tc>
          <w:tcPr>
            <w:tcW w:w="684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12,317</w:t>
            </w:r>
          </w:p>
        </w:tc>
        <w:tc>
          <w:tcPr>
            <w:tcW w:w="4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7,137</w:t>
            </w:r>
          </w:p>
        </w:tc>
        <w:tc>
          <w:tcPr>
            <w:tcW w:w="3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325</w:t>
            </w:r>
          </w:p>
        </w:tc>
      </w:tr>
      <w:tr>
        <w:trPr>
          <w:trHeight w:val="23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loans:</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7"/>
        </w:trPr>
        <w:tc>
          <w:tcPr>
            <w:tcW w:w="6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Home equity and junior liens</w:t>
            </w: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4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39"/>
        </w:trPr>
        <w:tc>
          <w:tcPr>
            <w:tcW w:w="6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consumer</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1,207</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68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consumer loans</w:t>
            </w:r>
          </w:p>
        </w:tc>
        <w:tc>
          <w:tcPr>
            <w:tcW w:w="5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4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1,207</w:t>
            </w:r>
          </w:p>
        </w:tc>
        <w:tc>
          <w:tcPr>
            <w:tcW w:w="3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36"/>
        </w:trPr>
        <w:tc>
          <w:tcPr>
            <w:tcW w:w="68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 nonaccrual loans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8,413</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379</w:t>
            </w: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At June 30, 2024, the Bank's 204 nonperforming loans represented 2.8% of total loans, with an aggregate outstanding balance of $24.5 million, as compared to 150 loans with an aggregate outstanding balance of $17.2 million at December 31, 2023. This increase in nonaccrual balances of $7.3 million was primarily the result of the downgrade of one commercial real estate loan with a balance of $1.4 million, $4.8 million in commercial lines of credit and commercial loans, $1.1 million in consumer loan relationships, and a decrease of $85,000 in other loans in the aggregate. Management is closely monitoring all nonaccrual loans and has incorporated its current estimate of the ultimate collectability of these loans into the reported allowance for credit losses at June 30, 2024.</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measurement of individually evaluated loans is generally based upon the present value of future cash flows discounted at the historical effective interest rate, except that all collateral-dependent loans are measured based on the fair value of the collateral, less costs to sell. The Company utilizes the Discounted Cash Flow (“DCF”) method for its pooled segment calculation. The DCF method implements a probability of default with loss given default and loss exposure at default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6" w:name="page27"/>
    <w:bookmarkEnd w:id="26"/>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estimation. The probability of default and loss given default are applied to future cash flows that are adjusted to present value and these discounted expected losses become the Allowance for Credit Losses.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Allowance for Credit Losses</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Management extensively reviews recent trends in historical losses, qualitative factors, including concentrations of loans to related borrowers and concentrations of loans by collateral type, and specific reserve requirements on loans individually evaluated in its determination of the adequacy of the credit losses. We recorded $290,000 in provision for credit losses ("PCL") for the three month period ended June 30, 2024, as compared to $1.1 million for the three month period ended June 30, 2023. For the first six months of 2024, we recorded $1.0 million in provision for credit losses compared to $1.8 million in the first six months of the prior year.</w:t>
      </w:r>
    </w:p>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There was a modest increase in provision for credit losses in the three months ended June 30, 2024, when compared to the same three month period in 2023. In addition, during the second quarter of 2024, the Company recorded a PCL decrease of $74,000 for reserves related to securities classified as held-to-maturity and a $60,000 increase to the PCL for unfunded commitments, respectively. The provision in the quarter ended June 30, 2024 was reflective of the qualitative factors used in determining the adequacy of the ACL and changes in the levels of delinquent and nonaccrual loans. The second quarter PCL reflects an addition to reserves considering asset quality metrics.</w:t>
      </w:r>
    </w:p>
    <w:p>
      <w:pPr>
        <w:spacing w:after="0" w:line="19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 summarizes all activity related to the ACL from December 31, 2023 to June 30, 2024 and to the recorded PCL for the three and six months ended June 30, 2024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468"/>
        </w:trPr>
        <w:tc>
          <w:tcPr>
            <w:tcW w:w="1840" w:type="dxa"/>
            <w:vAlign w:val="bottom"/>
            <w:tcBorders>
              <w:right w:val="single" w:sz="8" w:color="auto"/>
            </w:tcBorders>
          </w:tcPr>
          <w:p>
            <w:pPr>
              <w:spacing w:after="0"/>
              <w:rPr>
                <w:sz w:val="24"/>
                <w:szCs w:val="24"/>
                <w:color w:val="auto"/>
              </w:rPr>
            </w:pPr>
          </w:p>
        </w:tc>
        <w:tc>
          <w:tcPr>
            <w:tcW w:w="1440" w:type="dxa"/>
            <w:vAlign w:val="bottom"/>
            <w:tcBorders>
              <w:top w:val="single" w:sz="8" w:color="auto"/>
              <w:right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Reserves as of</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Q1 2024</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Reserves as of</w:t>
            </w:r>
          </w:p>
        </w:tc>
        <w:tc>
          <w:tcPr>
            <w:tcW w:w="90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Q2 2024</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Q2 2024</w:t>
            </w:r>
          </w:p>
        </w:tc>
        <w:tc>
          <w:tcPr>
            <w:tcW w:w="1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Q1 2024</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Recoveri</w:t>
            </w: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Q1 2024</w:t>
            </w:r>
          </w:p>
        </w:tc>
        <w:tc>
          <w:tcPr>
            <w:tcW w:w="160" w:type="dxa"/>
            <w:vAlign w:val="bottom"/>
            <w:tcBorders>
              <w:left w:val="single" w:sz="8" w:color="auto"/>
            </w:tcBorders>
          </w:tcPr>
          <w:p>
            <w:pPr>
              <w:spacing w:after="0"/>
              <w:rPr>
                <w:sz w:val="18"/>
                <w:szCs w:val="18"/>
                <w:color w:val="auto"/>
              </w:rPr>
            </w:pPr>
          </w:p>
        </w:tc>
        <w:tc>
          <w:tcPr>
            <w:tcW w:w="11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Pr>
          <w:p>
            <w:pPr>
              <w:spacing w:after="0"/>
              <w:rPr>
                <w:sz w:val="18"/>
                <w:szCs w:val="18"/>
                <w:color w:val="auto"/>
              </w:rPr>
            </w:pPr>
          </w:p>
        </w:tc>
        <w:tc>
          <w:tcPr>
            <w:tcW w:w="8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Charge-</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Recoveri</w:t>
            </w:r>
          </w:p>
        </w:tc>
        <w:tc>
          <w:tcPr>
            <w:tcW w:w="8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Q2 2024</w:t>
            </w:r>
          </w:p>
        </w:tc>
        <w:tc>
          <w:tcPr>
            <w:tcW w:w="12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Reserves as of</w:t>
            </w:r>
          </w:p>
        </w:tc>
        <w:tc>
          <w:tcPr>
            <w:tcW w:w="0" w:type="dxa"/>
            <w:vAlign w:val="bottom"/>
          </w:tcPr>
          <w:p>
            <w:pPr>
              <w:spacing w:after="0"/>
              <w:rPr>
                <w:sz w:val="1"/>
                <w:szCs w:val="1"/>
                <w:color w:val="auto"/>
              </w:rPr>
            </w:pPr>
          </w:p>
        </w:tc>
      </w:tr>
      <w:tr>
        <w:trPr>
          <w:trHeight w:val="241"/>
        </w:trPr>
        <w:tc>
          <w:tcPr>
            <w:tcW w:w="184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1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es</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PCL</w:t>
            </w:r>
          </w:p>
        </w:tc>
        <w:tc>
          <w:tcPr>
            <w:tcW w:w="160" w:type="dxa"/>
            <w:vAlign w:val="bottom"/>
            <w:tcBorders>
              <w:left w:val="single" w:sz="8" w:color="auto"/>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3"/>
              </w:rPr>
              <w:t>Offs</w:t>
            </w: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es</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PCL</w:t>
            </w:r>
          </w:p>
        </w:tc>
        <w:tc>
          <w:tcPr>
            <w:tcW w:w="1240" w:type="dxa"/>
            <w:vAlign w:val="bottom"/>
            <w:tcBorders>
              <w:bottom w:val="single" w:sz="8" w:color="auto"/>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0" w:type="dxa"/>
            <w:vAlign w:val="bottom"/>
          </w:tcPr>
          <w:p>
            <w:pPr>
              <w:spacing w:after="0"/>
              <w:rPr>
                <w:sz w:val="1"/>
                <w:szCs w:val="1"/>
                <w:color w:val="auto"/>
              </w:rPr>
            </w:pPr>
          </w:p>
        </w:tc>
      </w:tr>
      <w:tr>
        <w:trPr>
          <w:trHeight w:val="20"/>
        </w:trPr>
        <w:tc>
          <w:tcPr>
            <w:tcW w:w="1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ACL - Loans</w:t>
            </w: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left w:val="single" w:sz="8" w:color="auto"/>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840" w:type="dxa"/>
            <w:vAlign w:val="bottom"/>
            <w:tcBorders>
              <w:bottom w:val="single" w:sz="8" w:color="auto"/>
              <w:right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lef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840" w:type="dxa"/>
            <w:vAlign w:val="bottom"/>
            <w:tcBorders>
              <w:right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Specifically</w:t>
            </w:r>
          </w:p>
        </w:tc>
        <w:tc>
          <w:tcPr>
            <w:tcW w:w="100" w:type="dxa"/>
            <w:vAlign w:val="bottom"/>
            <w:shd w:val="clear" w:color="auto" w:fill="CFF0FC"/>
          </w:tcPr>
          <w:p>
            <w:pPr>
              <w:spacing w:after="0"/>
              <w:rPr>
                <w:sz w:val="18"/>
                <w:szCs w:val="18"/>
                <w:color w:val="auto"/>
              </w:rPr>
            </w:pPr>
          </w:p>
        </w:tc>
        <w:tc>
          <w:tcPr>
            <w:tcW w:w="13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tcBorders>
              <w:left w:val="single" w:sz="8" w:color="auto"/>
            </w:tcBorders>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84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identified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3,716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lef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3,816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665</w:t>
            </w:r>
          </w:p>
        </w:tc>
        <w:tc>
          <w:tcPr>
            <w:tcW w:w="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4,481</w:t>
            </w:r>
          </w:p>
        </w:tc>
        <w:tc>
          <w:tcPr>
            <w:tcW w:w="0" w:type="dxa"/>
            <w:vAlign w:val="bottom"/>
          </w:tcPr>
          <w:p>
            <w:pPr>
              <w:spacing w:after="0"/>
              <w:rPr>
                <w:sz w:val="1"/>
                <w:szCs w:val="1"/>
                <w:color w:val="auto"/>
              </w:rPr>
            </w:pPr>
          </w:p>
        </w:tc>
      </w:tr>
      <w:tr>
        <w:trPr>
          <w:trHeight w:val="239"/>
        </w:trPr>
        <w:tc>
          <w:tcPr>
            <w:tcW w:w="18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Overdraft</w:t>
            </w:r>
          </w:p>
        </w:tc>
        <w:tc>
          <w:tcPr>
            <w:tcW w:w="100" w:type="dxa"/>
            <w:vAlign w:val="bottom"/>
          </w:tcPr>
          <w:p>
            <w:pPr>
              <w:spacing w:after="0"/>
              <w:rPr>
                <w:sz w:val="20"/>
                <w:szCs w:val="20"/>
                <w:color w:val="auto"/>
              </w:rPr>
            </w:pPr>
          </w:p>
        </w:tc>
        <w:tc>
          <w:tcPr>
            <w:tcW w:w="13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auto"/>
            </w:tcBorders>
          </w:tcPr>
          <w:p>
            <w:pPr>
              <w:spacing w:after="0"/>
              <w:rPr>
                <w:sz w:val="20"/>
                <w:szCs w:val="20"/>
                <w:color w:val="auto"/>
              </w:rPr>
            </w:pPr>
          </w:p>
        </w:tc>
        <w:tc>
          <w:tcPr>
            <w:tcW w:w="11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0"/>
                <w:szCs w:val="20"/>
                <w:color w:val="auto"/>
              </w:rPr>
            </w:pPr>
          </w:p>
        </w:tc>
        <w:tc>
          <w:tcPr>
            <w:tcW w:w="6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47"/>
        </w:trPr>
        <w:tc>
          <w:tcPr>
            <w:tcW w:w="1840" w:type="dxa"/>
            <w:vAlign w:val="bottom"/>
            <w:tcBorders>
              <w:right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Pooled - quantitative</w:t>
            </w:r>
          </w:p>
        </w:tc>
        <w:tc>
          <w:tcPr>
            <w:tcW w:w="100" w:type="dxa"/>
            <w:vAlign w:val="bottom"/>
            <w:shd w:val="clear" w:color="auto" w:fill="CFF0FC"/>
          </w:tcPr>
          <w:p>
            <w:pPr>
              <w:spacing w:after="0"/>
              <w:rPr>
                <w:sz w:val="21"/>
                <w:szCs w:val="21"/>
                <w:color w:val="auto"/>
              </w:rPr>
            </w:pPr>
          </w:p>
        </w:tc>
        <w:tc>
          <w:tcPr>
            <w:tcW w:w="13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6,203</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2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Borders>
              <w:left w:val="single" w:sz="8" w:color="auto"/>
            </w:tcBorders>
            <w:shd w:val="clear" w:color="auto" w:fill="CFF0FC"/>
          </w:tcPr>
          <w:p>
            <w:pPr>
              <w:spacing w:after="0"/>
              <w:rPr>
                <w:sz w:val="21"/>
                <w:szCs w:val="21"/>
                <w:color w:val="auto"/>
              </w:rPr>
            </w:pPr>
          </w:p>
        </w:tc>
        <w:tc>
          <w:tcPr>
            <w:tcW w:w="11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6,275</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2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FF0FC"/>
          </w:tcPr>
          <w:p>
            <w:pPr>
              <w:spacing w:after="0"/>
              <w:rPr>
                <w:sz w:val="21"/>
                <w:szCs w:val="21"/>
                <w:color w:val="auto"/>
              </w:rPr>
            </w:pPr>
          </w:p>
        </w:tc>
        <w:tc>
          <w:tcPr>
            <w:tcW w:w="6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shd w:val="clear" w:color="auto" w:fill="CFF0FC"/>
          </w:tcPr>
          <w:p>
            <w:pPr>
              <w:spacing w:after="0"/>
              <w:rPr>
                <w:sz w:val="21"/>
                <w:szCs w:val="21"/>
                <w:color w:val="auto"/>
              </w:rPr>
            </w:pPr>
          </w:p>
        </w:tc>
        <w:tc>
          <w:tcPr>
            <w:tcW w:w="8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6,309</w:t>
            </w:r>
          </w:p>
        </w:tc>
        <w:tc>
          <w:tcPr>
            <w:tcW w:w="0" w:type="dxa"/>
            <w:vAlign w:val="bottom"/>
          </w:tcPr>
          <w:p>
            <w:pPr>
              <w:spacing w:after="0"/>
              <w:rPr>
                <w:sz w:val="1"/>
                <w:szCs w:val="1"/>
                <w:color w:val="auto"/>
              </w:rPr>
            </w:pPr>
          </w:p>
        </w:tc>
      </w:tr>
      <w:tr>
        <w:trPr>
          <w:trHeight w:val="239"/>
        </w:trPr>
        <w:tc>
          <w:tcPr>
            <w:tcW w:w="18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Pooled - qualitative</w:t>
            </w:r>
          </w:p>
        </w:tc>
        <w:tc>
          <w:tcPr>
            <w:tcW w:w="100" w:type="dxa"/>
            <w:vAlign w:val="bottom"/>
          </w:tcPr>
          <w:p>
            <w:pPr>
              <w:spacing w:after="0"/>
              <w:rPr>
                <w:sz w:val="20"/>
                <w:szCs w:val="20"/>
                <w:color w:val="auto"/>
              </w:rPr>
            </w:pPr>
          </w:p>
        </w:tc>
        <w:tc>
          <w:tcPr>
            <w:tcW w:w="13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3,566</w:t>
            </w:r>
          </w:p>
        </w:tc>
        <w:tc>
          <w:tcPr>
            <w:tcW w:w="1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Borders>
              <w:left w:val="single" w:sz="8" w:color="auto"/>
            </w:tcBorders>
          </w:tcPr>
          <w:p>
            <w:pPr>
              <w:spacing w:after="0"/>
              <w:rPr>
                <w:sz w:val="20"/>
                <w:szCs w:val="20"/>
                <w:color w:val="auto"/>
              </w:rPr>
            </w:pPr>
          </w:p>
        </w:tc>
        <w:tc>
          <w:tcPr>
            <w:tcW w:w="11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4,075</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360" w:type="dxa"/>
            <w:vAlign w:val="bottom"/>
          </w:tcPr>
          <w:p>
            <w:pPr>
              <w:spacing w:after="0"/>
              <w:rPr>
                <w:sz w:val="20"/>
                <w:szCs w:val="20"/>
                <w:color w:val="auto"/>
              </w:rPr>
            </w:pPr>
          </w:p>
        </w:tc>
        <w:tc>
          <w:tcPr>
            <w:tcW w:w="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3,634</w:t>
            </w:r>
          </w:p>
        </w:tc>
        <w:tc>
          <w:tcPr>
            <w:tcW w:w="0" w:type="dxa"/>
            <w:vAlign w:val="bottom"/>
          </w:tcPr>
          <w:p>
            <w:pPr>
              <w:spacing w:after="0"/>
              <w:rPr>
                <w:sz w:val="1"/>
                <w:szCs w:val="1"/>
                <w:color w:val="auto"/>
              </w:rPr>
            </w:pPr>
          </w:p>
        </w:tc>
      </w:tr>
      <w:tr>
        <w:trPr>
          <w:trHeight w:val="243"/>
        </w:trPr>
        <w:tc>
          <w:tcPr>
            <w:tcW w:w="1840" w:type="dxa"/>
            <w:vAlign w:val="bottom"/>
            <w:tcBorders>
              <w:bottom w:val="single" w:sz="8" w:color="auto"/>
              <w:right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Purchased</w:t>
            </w:r>
          </w:p>
        </w:tc>
        <w:tc>
          <w:tcPr>
            <w:tcW w:w="1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2,126</w:t>
            </w: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auto"/>
              <w:bottom w:val="single" w:sz="8" w:color="auto"/>
            </w:tcBorders>
            <w:shd w:val="clear" w:color="auto" w:fill="CFF0FC"/>
          </w:tcPr>
          <w:p>
            <w:pPr>
              <w:spacing w:after="0"/>
              <w:rPr>
                <w:sz w:val="21"/>
                <w:szCs w:val="21"/>
                <w:color w:val="auto"/>
              </w:rPr>
            </w:pPr>
          </w:p>
        </w:tc>
        <w:tc>
          <w:tcPr>
            <w:tcW w:w="11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236"/>
        </w:trPr>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ACL -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15,975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(68 )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710</w:t>
            </w:r>
          </w:p>
        </w:tc>
        <w:tc>
          <w:tcPr>
            <w:tcW w:w="1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16,655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(112 )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304</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16,892</w:t>
            </w:r>
          </w:p>
        </w:tc>
        <w:tc>
          <w:tcPr>
            <w:tcW w:w="0" w:type="dxa"/>
            <w:vAlign w:val="bottom"/>
          </w:tcPr>
          <w:p>
            <w:pPr>
              <w:spacing w:after="0"/>
              <w:rPr>
                <w:sz w:val="1"/>
                <w:szCs w:val="1"/>
                <w:color w:val="auto"/>
              </w:rPr>
            </w:pPr>
          </w:p>
        </w:tc>
      </w:tr>
      <w:tr>
        <w:trPr>
          <w:trHeight w:val="247"/>
        </w:trPr>
        <w:tc>
          <w:tcPr>
            <w:tcW w:w="18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60" w:type="dxa"/>
            <w:vAlign w:val="bottom"/>
            <w:tcBorders>
              <w:left w:val="single" w:sz="8" w:color="auto"/>
            </w:tcBorders>
            <w:shd w:val="clear" w:color="auto" w:fill="CFF0FC"/>
          </w:tcPr>
          <w:p>
            <w:pPr>
              <w:spacing w:after="0"/>
              <w:rPr>
                <w:sz w:val="21"/>
                <w:szCs w:val="21"/>
                <w:color w:val="auto"/>
              </w:rPr>
            </w:pPr>
          </w:p>
        </w:tc>
        <w:tc>
          <w:tcPr>
            <w:tcW w:w="1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tcBorders>
              <w:right w:val="single" w:sz="8" w:color="auto"/>
            </w:tcBorders>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tcBorders>
              <w:right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ACL - Held-To-</w:t>
            </w:r>
          </w:p>
        </w:tc>
        <w:tc>
          <w:tcPr>
            <w:tcW w:w="10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Borders>
              <w:lef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Maturity</w:t>
            </w:r>
          </w:p>
        </w:tc>
        <w:tc>
          <w:tcPr>
            <w:tcW w:w="100" w:type="dxa"/>
            <w:vAlign w:val="bottom"/>
          </w:tcPr>
          <w:p>
            <w:pPr>
              <w:spacing w:after="0"/>
              <w:rPr>
                <w:sz w:val="20"/>
                <w:szCs w:val="20"/>
                <w:color w:val="auto"/>
              </w:rPr>
            </w:pPr>
          </w:p>
        </w:tc>
        <w:tc>
          <w:tcPr>
            <w:tcW w:w="13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left w:val="single" w:sz="8" w:color="auto"/>
            </w:tcBorders>
          </w:tcPr>
          <w:p>
            <w:pPr>
              <w:spacing w:after="0"/>
              <w:rPr>
                <w:sz w:val="20"/>
                <w:szCs w:val="20"/>
                <w:color w:val="auto"/>
              </w:rPr>
            </w:pPr>
          </w:p>
        </w:tc>
        <w:tc>
          <w:tcPr>
            <w:tcW w:w="11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360" w:type="dxa"/>
            <w:vAlign w:val="bottom"/>
          </w:tcPr>
          <w:p>
            <w:pPr>
              <w:spacing w:after="0"/>
              <w:rPr>
                <w:sz w:val="20"/>
                <w:szCs w:val="20"/>
                <w:color w:val="auto"/>
              </w:rPr>
            </w:pPr>
          </w:p>
        </w:tc>
        <w:tc>
          <w:tcPr>
            <w:tcW w:w="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50"/>
        </w:trPr>
        <w:tc>
          <w:tcPr>
            <w:tcW w:w="18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60" w:type="dxa"/>
            <w:vAlign w:val="bottom"/>
            <w:tcBorders>
              <w:left w:val="single" w:sz="8" w:color="auto"/>
            </w:tcBorders>
            <w:shd w:val="clear" w:color="auto" w:fill="CFF0FC"/>
          </w:tcPr>
          <w:p>
            <w:pPr>
              <w:spacing w:after="0"/>
              <w:rPr>
                <w:sz w:val="21"/>
                <w:szCs w:val="21"/>
                <w:color w:val="auto"/>
              </w:rPr>
            </w:pPr>
          </w:p>
        </w:tc>
        <w:tc>
          <w:tcPr>
            <w:tcW w:w="1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tcBorders>
              <w:right w:val="single" w:sz="8" w:color="auto"/>
            </w:tcBorders>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tcBorders>
              <w:right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Liabilities -</w:t>
            </w:r>
          </w:p>
        </w:tc>
        <w:tc>
          <w:tcPr>
            <w:tcW w:w="10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Borders>
              <w:lef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Unfunded</w:t>
            </w:r>
          </w:p>
        </w:tc>
        <w:tc>
          <w:tcPr>
            <w:tcW w:w="100" w:type="dxa"/>
            <w:vAlign w:val="bottom"/>
          </w:tcPr>
          <w:p>
            <w:pPr>
              <w:spacing w:after="0"/>
              <w:rPr>
                <w:sz w:val="18"/>
                <w:szCs w:val="18"/>
                <w:color w:val="auto"/>
              </w:rPr>
            </w:pPr>
          </w:p>
        </w:tc>
        <w:tc>
          <w:tcPr>
            <w:tcW w:w="134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18"/>
                <w:szCs w:val="18"/>
                <w:color w:val="auto"/>
              </w:rPr>
            </w:pPr>
          </w:p>
        </w:tc>
        <w:tc>
          <w:tcPr>
            <w:tcW w:w="9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left w:val="single" w:sz="8" w:color="auto"/>
            </w:tcBorders>
          </w:tcPr>
          <w:p>
            <w:pPr>
              <w:spacing w:after="0"/>
              <w:rPr>
                <w:sz w:val="18"/>
                <w:szCs w:val="18"/>
                <w:color w:val="auto"/>
              </w:rPr>
            </w:pPr>
          </w:p>
        </w:tc>
        <w:tc>
          <w:tcPr>
            <w:tcW w:w="11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8"/>
                <w:szCs w:val="18"/>
                <w:color w:val="auto"/>
              </w:rPr>
            </w:pPr>
          </w:p>
        </w:tc>
        <w:tc>
          <w:tcPr>
            <w:tcW w:w="8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tcPr>
          <w:p>
            <w:pPr>
              <w:spacing w:after="0"/>
              <w:rPr>
                <w:sz w:val="18"/>
                <w:szCs w:val="18"/>
                <w:color w:val="auto"/>
              </w:rPr>
            </w:pPr>
          </w:p>
        </w:tc>
        <w:tc>
          <w:tcPr>
            <w:tcW w:w="8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4"/>
        </w:trPr>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Commitments</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60" w:type="dxa"/>
            <w:vAlign w:val="bottom"/>
            <w:tcBorders>
              <w:left w:val="single" w:sz="8" w:color="auto"/>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84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FF0FC"/>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16,916</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(68 ) $</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726</w:t>
            </w:r>
          </w:p>
        </w:tc>
        <w:tc>
          <w:tcPr>
            <w:tcW w:w="160" w:type="dxa"/>
            <w:vAlign w:val="bottom"/>
            <w:tcBorders>
              <w:left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17,612</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(112 ) $</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290</w:t>
            </w:r>
          </w:p>
        </w:tc>
        <w:tc>
          <w:tcPr>
            <w:tcW w:w="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17,835</w:t>
            </w:r>
          </w:p>
        </w:tc>
        <w:tc>
          <w:tcPr>
            <w:tcW w:w="0" w:type="dxa"/>
            <w:vAlign w:val="bottom"/>
          </w:tcPr>
          <w:p>
            <w:pPr>
              <w:spacing w:after="0"/>
              <w:rPr>
                <w:sz w:val="1"/>
                <w:szCs w:val="1"/>
                <w:color w:val="auto"/>
              </w:rPr>
            </w:pPr>
          </w:p>
        </w:tc>
      </w:tr>
      <w:tr>
        <w:trPr>
          <w:trHeight w:val="224"/>
        </w:trPr>
        <w:tc>
          <w:tcPr>
            <w:tcW w:w="1840" w:type="dxa"/>
            <w:vAlign w:val="bottom"/>
            <w:tcBorders>
              <w:top w:val="single" w:sz="8" w:color="CFF0FC"/>
              <w:right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righ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bottom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26</w:t>
            </w:r>
            <w:r>
              <w:rPr>
                <w:rFonts w:ascii="Times New Roman" w:cs="Times New Roman" w:eastAsia="Times New Roman" w:hAnsi="Times New Roman"/>
                <w:sz w:val="18"/>
                <w:szCs w:val="18"/>
                <w:color w:val="auto"/>
              </w:rPr>
              <w:t xml:space="preserve"> -</w:t>
            </w:r>
          </w:p>
        </w:tc>
        <w:tc>
          <w:tcPr>
            <w:tcW w:w="160" w:type="dxa"/>
            <w:vAlign w:val="bottom"/>
            <w:tcBorders>
              <w:top w:val="single" w:sz="8" w:color="auto"/>
              <w:left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right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7" w:name="page28"/>
    <w:bookmarkEnd w:id="27"/>
    <w:p>
      <w:pPr>
        <w:jc w:val="both"/>
        <w:spacing w:after="0" w:line="249" w:lineRule="auto"/>
        <w:rPr>
          <w:sz w:val="20"/>
          <w:szCs w:val="20"/>
          <w:color w:val="auto"/>
        </w:rPr>
      </w:pPr>
      <w:r>
        <w:rPr>
          <w:rFonts w:ascii="Times New Roman" w:cs="Times New Roman" w:eastAsia="Times New Roman" w:hAnsi="Times New Roman"/>
          <w:sz w:val="20"/>
          <w:szCs w:val="20"/>
          <w:color w:val="auto"/>
        </w:rPr>
        <w:t>Summarized in the tables below are changes in the allowance for credit losses for loans for the indicated periods and information pertaining to the allocation of the balances of the credit losses, loans receivable based on individual, and collective evaluation by loan portfolio class. An allocation of a portion of the allowance to a given portfolio class does not limit the Company’s ability to absorb losses in another portfolio class.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5"/>
          </w:tcPr>
          <w:p>
            <w:pPr>
              <w:jc w:val="right"/>
              <w:ind w:right="259"/>
              <w:spacing w:after="0"/>
              <w:rPr>
                <w:sz w:val="20"/>
                <w:szCs w:val="20"/>
                <w:color w:val="auto"/>
              </w:rPr>
            </w:pPr>
            <w:r>
              <w:rPr>
                <w:rFonts w:ascii="Times New Roman" w:cs="Times New Roman" w:eastAsia="Times New Roman" w:hAnsi="Times New Roman"/>
                <w:sz w:val="16"/>
                <w:szCs w:val="16"/>
                <w:color w:val="auto"/>
              </w:rPr>
              <w:t>For the three months ended June 30, 2024</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210"/>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 family</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9"/>
        </w:trPr>
        <w:tc>
          <w:tcPr>
            <w:tcW w:w="3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first-lien</w:t>
            </w:r>
          </w:p>
        </w:tc>
        <w:tc>
          <w:tcPr>
            <w:tcW w:w="26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Residential</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Paycheck</w:t>
            </w:r>
          </w:p>
        </w:tc>
      </w:tr>
      <w:tr>
        <w:trPr>
          <w:trHeight w:val="230"/>
        </w:trPr>
        <w:tc>
          <w:tcPr>
            <w:tcW w:w="3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residential</w:t>
            </w:r>
          </w:p>
        </w:tc>
        <w:tc>
          <w:tcPr>
            <w:tcW w:w="26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construction</w:t>
            </w:r>
          </w:p>
        </w:tc>
        <w:tc>
          <w:tcPr>
            <w:tcW w:w="30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Commercial</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Commercial</w:t>
            </w:r>
          </w:p>
        </w:tc>
        <w:tc>
          <w:tcPr>
            <w:tcW w:w="28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commercial</w:t>
            </w: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Protection</w:t>
            </w:r>
          </w:p>
        </w:tc>
      </w:tr>
      <w:tr>
        <w:trPr>
          <w:trHeight w:val="242"/>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mortgage</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mortgage</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real estate</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lines of credit</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and industrial</w:t>
            </w: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Program</w:t>
            </w:r>
          </w:p>
        </w:tc>
      </w:tr>
      <w:tr>
        <w:trPr>
          <w:trHeight w:val="230"/>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1,619</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802</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6,567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1,391</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3,403</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Charge-offs</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Recoveries</w:t>
            </w:r>
          </w:p>
        </w:tc>
        <w:tc>
          <w:tcPr>
            <w:tcW w:w="260" w:type="dxa"/>
            <w:vAlign w:val="bottom"/>
          </w:tcPr>
          <w:p>
            <w:pPr>
              <w:spacing w:after="0"/>
              <w:rPr>
                <w:sz w:val="19"/>
                <w:szCs w:val="19"/>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34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Provisions (credits)</w:t>
            </w: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(90 )</w:t>
            </w:r>
          </w:p>
        </w:tc>
        <w:tc>
          <w:tcPr>
            <w:tcW w:w="2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83</w:t>
            </w:r>
          </w:p>
        </w:tc>
        <w:tc>
          <w:tcPr>
            <w:tcW w:w="2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(170 )</w:t>
            </w:r>
          </w:p>
        </w:tc>
        <w:tc>
          <w:tcPr>
            <w:tcW w:w="2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416</w:t>
            </w:r>
          </w:p>
        </w:tc>
        <w:tc>
          <w:tcPr>
            <w:tcW w:w="2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1,536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815</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6,663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1,221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3,821</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related to loans</w:t>
            </w: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r>
      <w:tr>
        <w:trPr>
          <w:trHeight w:val="223"/>
        </w:trPr>
        <w:tc>
          <w:tcPr>
            <w:tcW w:w="33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individually evaluated</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137</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1,511</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662</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1,901</w:t>
            </w:r>
          </w:p>
        </w:tc>
        <w:tc>
          <w:tcPr>
            <w:tcW w:w="2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related to loans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3"/>
        </w:trPr>
        <w:tc>
          <w:tcPr>
            <w:tcW w:w="3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collectively evaluated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1,399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815</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5,152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559</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1,920</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Loans receivables: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r>
      <w:tr>
        <w:trPr>
          <w:trHeight w:val="223"/>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250,106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309</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370,361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62,711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90,813</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136</w:t>
            </w: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individually</w:t>
            </w: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r>
      <w:tr>
        <w:trPr>
          <w:trHeight w:val="223"/>
        </w:trPr>
        <w:tc>
          <w:tcPr>
            <w:tcW w:w="33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1,751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9,365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1,208</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6,358</w:t>
            </w:r>
          </w:p>
        </w:tc>
        <w:tc>
          <w:tcPr>
            <w:tcW w:w="2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collectively</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3"/>
        </w:trPr>
        <w:tc>
          <w:tcPr>
            <w:tcW w:w="3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248,355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309</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360,996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61,503</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84,455</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136</w:t>
            </w:r>
          </w:p>
        </w:tc>
      </w:tr>
      <w:tr>
        <w:trPr>
          <w:trHeight w:val="453"/>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Home equity</w:t>
            </w:r>
          </w:p>
        </w:tc>
        <w:tc>
          <w:tcPr>
            <w:tcW w:w="30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43"/>
        </w:trPr>
        <w:tc>
          <w:tcPr>
            <w:tcW w:w="33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Tax exempt</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and junior liens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Consumer</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30"/>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662</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2,209</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16,665</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9"/>
        </w:trPr>
        <w:tc>
          <w:tcPr>
            <w:tcW w:w="3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Charge-offs</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20"/>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Recoveries</w:t>
            </w:r>
          </w:p>
        </w:tc>
        <w:tc>
          <w:tcPr>
            <w:tcW w:w="260" w:type="dxa"/>
            <w:vAlign w:val="bottom"/>
          </w:tcPr>
          <w:p>
            <w:pPr>
              <w:spacing w:after="0"/>
              <w:rPr>
                <w:sz w:val="19"/>
                <w:szCs w:val="19"/>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3"/>
        </w:trPr>
        <w:tc>
          <w:tcPr>
            <w:tcW w:w="334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Provisions (credits)</w:t>
            </w: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(37 )</w:t>
            </w: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304</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23"/>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625</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2,209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16,892</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related to loans</w:t>
            </w: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3"/>
        </w:trPr>
        <w:tc>
          <w:tcPr>
            <w:tcW w:w="33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individually evaluated</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114</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4,395</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2"/>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related to loans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3"/>
        </w:trPr>
        <w:tc>
          <w:tcPr>
            <w:tcW w:w="3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collectively evaluated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511</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2,139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12,497</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Loans receivables: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3"/>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3,228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35,821</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75,195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888,680</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individually</w:t>
            </w: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3"/>
        </w:trPr>
        <w:tc>
          <w:tcPr>
            <w:tcW w:w="33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618</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19,370</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2"/>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collectively</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3"/>
        </w:trPr>
        <w:tc>
          <w:tcPr>
            <w:tcW w:w="3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3,228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35,203</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75,125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869,310</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41"/>
        </w:trPr>
        <w:tc>
          <w:tcPr>
            <w:tcW w:w="3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5"/>
          </w:tcPr>
          <w:p>
            <w:pPr>
              <w:jc w:val="right"/>
              <w:ind w:right="710"/>
              <w:spacing w:after="0"/>
              <w:rPr>
                <w:sz w:val="20"/>
                <w:szCs w:val="20"/>
                <w:color w:val="auto"/>
              </w:rPr>
            </w:pPr>
            <w:r>
              <w:rPr>
                <w:rFonts w:ascii="Times New Roman" w:cs="Times New Roman" w:eastAsia="Times New Roman" w:hAnsi="Times New Roman"/>
                <w:sz w:val="18"/>
                <w:szCs w:val="18"/>
                <w:color w:val="auto"/>
              </w:rPr>
              <w:t>For the six months ended June 30, 2024</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34"/>
        </w:trPr>
        <w:tc>
          <w:tcPr>
            <w:tcW w:w="3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 family</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8"/>
        </w:trPr>
        <w:tc>
          <w:tcPr>
            <w:tcW w:w="3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first-lien</w:t>
            </w:r>
          </w:p>
        </w:tc>
        <w:tc>
          <w:tcPr>
            <w:tcW w:w="24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Other</w:t>
            </w:r>
          </w:p>
        </w:tc>
      </w:tr>
      <w:tr>
        <w:trPr>
          <w:trHeight w:val="243"/>
        </w:trPr>
        <w:tc>
          <w:tcPr>
            <w:tcW w:w="3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residential</w:t>
            </w:r>
          </w:p>
        </w:tc>
        <w:tc>
          <w:tcPr>
            <w:tcW w:w="2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construction</w:t>
            </w:r>
          </w:p>
        </w:tc>
        <w:tc>
          <w:tcPr>
            <w:tcW w:w="3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r>
      <w:tr>
        <w:trPr>
          <w:trHeight w:val="250"/>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mortgage</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lines of credit</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and industrial</w:t>
            </w:r>
          </w:p>
        </w:tc>
      </w:tr>
      <w:tr>
        <w:trPr>
          <w:trHeight w:val="243"/>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3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1,608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858</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5,751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3,281</w:t>
            </w:r>
          </w:p>
        </w:tc>
      </w:tr>
      <w:tr>
        <w:trPr>
          <w:trHeight w:val="247"/>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39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Provisions (credits)</w:t>
            </w: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(43 )</w:t>
            </w: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893</w:t>
            </w: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533</w:t>
            </w:r>
          </w:p>
        </w:tc>
      </w:tr>
      <w:tr>
        <w:trPr>
          <w:trHeight w:val="237"/>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1,536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815</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6,663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1,221</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3,821</w:t>
            </w: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82"/>
        </w:trPr>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Home equity</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1"/>
        </w:trPr>
        <w:tc>
          <w:tcPr>
            <w:tcW w:w="3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Tax exempt</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8"/>
              </w:rPr>
              <w:t>and junior liens</w:t>
            </w:r>
          </w:p>
        </w:tc>
        <w:tc>
          <w:tcPr>
            <w:tcW w:w="14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Other consumer</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3"/>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657</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2,145</w:t>
            </w:r>
          </w:p>
        </w:tc>
        <w:tc>
          <w:tcPr>
            <w:tcW w:w="2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15,975</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(180 )</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9"/>
        </w:trPr>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3"/>
        </w:trPr>
        <w:tc>
          <w:tcPr>
            <w:tcW w:w="39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Provisions (credits)</w:t>
            </w: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(32 )</w:t>
            </w: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1,014</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7"/>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625</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2,209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16,892</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7"/>
        </w:trPr>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28</w:t>
            </w:r>
            <w:r>
              <w:rPr>
                <w:rFonts w:ascii="Times New Roman" w:cs="Times New Roman" w:eastAsia="Times New Roman" w:hAnsi="Times New Roman"/>
                <w:sz w:val="18"/>
                <w:szCs w:val="18"/>
                <w:color w:val="auto"/>
              </w:rPr>
              <w:t xml:space="preserve"> -</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63"/>
        </w:trPr>
        <w:tc>
          <w:tcPr>
            <w:tcW w:w="3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41"/>
        </w:trPr>
        <w:tc>
          <w:tcPr>
            <w:tcW w:w="3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color w:val="auto"/>
              </w:rPr>
              <w:t>For the three months ended June 30, 2023</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34"/>
        </w:trPr>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 family</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20"/>
        </w:trPr>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Paychec</w:t>
            </w:r>
          </w:p>
        </w:tc>
      </w:tr>
      <w:tr>
        <w:trPr>
          <w:trHeight w:val="234"/>
        </w:trPr>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first-lien</w:t>
            </w:r>
          </w:p>
        </w:tc>
        <w:tc>
          <w:tcPr>
            <w:tcW w:w="24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Residential</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k</w:t>
            </w:r>
          </w:p>
        </w:tc>
      </w:tr>
      <w:tr>
        <w:trPr>
          <w:trHeight w:val="225"/>
        </w:trPr>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Protectio</w:t>
            </w:r>
          </w:p>
        </w:tc>
      </w:tr>
      <w:tr>
        <w:trPr>
          <w:trHeight w:val="234"/>
        </w:trPr>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residential</w:t>
            </w:r>
          </w:p>
        </w:tc>
        <w:tc>
          <w:tcPr>
            <w:tcW w:w="24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construction</w:t>
            </w: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Commercial</w:t>
            </w:r>
          </w:p>
        </w:tc>
        <w:tc>
          <w:tcPr>
            <w:tcW w:w="3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w:t>
            </w:r>
          </w:p>
        </w:tc>
      </w:tr>
      <w:tr>
        <w:trPr>
          <w:trHeight w:val="250"/>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real estate</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lines of credit</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and industrial</w:t>
            </w:r>
          </w:p>
        </w:tc>
        <w:tc>
          <w:tcPr>
            <w:tcW w:w="8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Program</w:t>
            </w:r>
          </w:p>
        </w:tc>
      </w:tr>
      <w:tr>
        <w:trPr>
          <w:trHeight w:val="24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r>
      <w:tr>
        <w:trPr>
          <w:trHeight w:val="23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1,937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5,182</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5,082</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Adoption of New Accounting Standard</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3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3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Provisions (credits)</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(66 )</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249</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525</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309</w:t>
            </w: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3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2,036</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634</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5,431</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2,620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5,192</w:t>
            </w: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3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Ending balance: related to loans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41"/>
        </w:trPr>
        <w:tc>
          <w:tcPr>
            <w:tcW w:w="3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4,825</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1,745</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 related to loans</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41"/>
        </w:trPr>
        <w:tc>
          <w:tcPr>
            <w:tcW w:w="33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1,909</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634</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606</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729</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3,447</w:t>
            </w: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Loans receivables: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81"/>
        </w:trPr>
        <w:tc>
          <w:tcPr>
            <w:tcW w:w="3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256,201</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2,479</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355,605</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70,624</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84,581</w:t>
            </w: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r>
      <w:tr>
        <w:trPr>
          <w:trHeight w:val="196"/>
        </w:trPr>
        <w:tc>
          <w:tcPr>
            <w:tcW w:w="3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Ending balance: individually</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41"/>
        </w:trPr>
        <w:tc>
          <w:tcPr>
            <w:tcW w:w="3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evaluated for impairment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1,674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9,593</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3,236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6,803</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 collectively</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41"/>
        </w:trPr>
        <w:tc>
          <w:tcPr>
            <w:tcW w:w="33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evaluated for impairment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254,527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2,479</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346,012</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67,388</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77,778</w:t>
            </w: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r>
      <w:tr>
        <w:trPr>
          <w:trHeight w:val="486"/>
        </w:trPr>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Home equity</w:t>
            </w:r>
          </w:p>
        </w:tc>
        <w:tc>
          <w:tcPr>
            <w:tcW w:w="24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0"/>
        </w:trPr>
        <w:tc>
          <w:tcPr>
            <w:tcW w:w="33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Tax exempt</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8"/>
              </w:rPr>
              <w:t>and junior liens</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Consumer</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1"/>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45"/>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723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2,135</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17,869</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3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Adoption of New Accounting Standard</w:t>
            </w:r>
          </w:p>
        </w:tc>
        <w:tc>
          <w:tcPr>
            <w:tcW w:w="20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47"/>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3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39"/>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43"/>
        </w:trPr>
        <w:tc>
          <w:tcPr>
            <w:tcW w:w="33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Provisions (credits)</w:t>
            </w:r>
          </w:p>
        </w:tc>
        <w:tc>
          <w:tcPr>
            <w:tcW w:w="2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(41 )</w:t>
            </w: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1,183</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36"/>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682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2,186</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18,796</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33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Ending balance: related to loans</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41"/>
        </w:trPr>
        <w:tc>
          <w:tcPr>
            <w:tcW w:w="33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8,702</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11"/>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related to loans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41"/>
        </w:trPr>
        <w:tc>
          <w:tcPr>
            <w:tcW w:w="3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2,186</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10,094</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4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Loans receivables:</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3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3,963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34,028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84,646</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892,308</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33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Ending balance: individually</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41"/>
        </w:trPr>
        <w:tc>
          <w:tcPr>
            <w:tcW w:w="33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evaluated for impairment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619</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21,925</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11"/>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collectively</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41"/>
        </w:trPr>
        <w:tc>
          <w:tcPr>
            <w:tcW w:w="3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evaluated for impairment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3,963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33,409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84,646</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870,383</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32"/>
        </w:trPr>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29</w:t>
            </w:r>
            <w:r>
              <w:rPr>
                <w:rFonts w:ascii="Times New Roman" w:cs="Times New Roman" w:eastAsia="Times New Roman" w:hAnsi="Times New Roman"/>
                <w:sz w:val="18"/>
                <w:szCs w:val="18"/>
                <w:color w:val="auto"/>
              </w:rPr>
              <w:t xml:space="preserve"> -</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763"/>
        </w:trPr>
        <w:tc>
          <w:tcPr>
            <w:tcW w:w="3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41"/>
        </w:trPr>
        <w:tc>
          <w:tcPr>
            <w:tcW w:w="4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8"/>
                <w:szCs w:val="18"/>
                <w:color w:val="auto"/>
              </w:rPr>
              <w:t>For the six months ended June 30, 2023</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34"/>
        </w:trPr>
        <w:tc>
          <w:tcPr>
            <w:tcW w:w="4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 family</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8"/>
        </w:trPr>
        <w:tc>
          <w:tcPr>
            <w:tcW w:w="4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first-lien</w:t>
            </w:r>
          </w:p>
        </w:tc>
        <w:tc>
          <w:tcPr>
            <w:tcW w:w="20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Other</w:t>
            </w:r>
          </w:p>
        </w:tc>
      </w:tr>
      <w:tr>
        <w:trPr>
          <w:trHeight w:val="243"/>
        </w:trPr>
        <w:tc>
          <w:tcPr>
            <w:tcW w:w="4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construction</w:t>
            </w:r>
          </w:p>
        </w:tc>
        <w:tc>
          <w:tcPr>
            <w:tcW w:w="26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r>
      <w:tr>
        <w:trPr>
          <w:trHeight w:val="250"/>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mortgage</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lines of credit</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and industrial</w:t>
            </w:r>
          </w:p>
        </w:tc>
      </w:tr>
      <w:tr>
        <w:trPr>
          <w:trHeight w:val="24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3,990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2,944</w:t>
            </w:r>
          </w:p>
        </w:tc>
      </w:tr>
      <w:tr>
        <w:trPr>
          <w:trHeight w:val="24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Adoption of new accounting standard</w:t>
            </w: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1,396</w:t>
            </w: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969</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(1,744 )</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39"/>
        </w:trPr>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18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(299 )</w:t>
            </w:r>
          </w:p>
        </w:tc>
      </w:tr>
      <w:tr>
        <w:trPr>
          <w:trHeight w:val="247"/>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r>
      <w:tr>
        <w:trPr>
          <w:trHeight w:val="239"/>
        </w:trPr>
        <w:tc>
          <w:tcPr>
            <w:tcW w:w="4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Provisions (credits)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(74 )</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(335 )</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1,294</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(1,465 )</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2,411</w:t>
            </w:r>
          </w:p>
        </w:tc>
      </w:tr>
      <w:tr>
        <w:trPr>
          <w:trHeight w:val="277"/>
        </w:trPr>
        <w:tc>
          <w:tcPr>
            <w:tcW w:w="4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2,036</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634</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5,431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2,620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5,192</w:t>
            </w:r>
          </w:p>
        </w:tc>
      </w:tr>
      <w:tr>
        <w:trPr>
          <w:trHeight w:val="439"/>
        </w:trPr>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Home equity</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and junior</w:t>
            </w:r>
          </w:p>
        </w:tc>
        <w:tc>
          <w:tcPr>
            <w:tcW w:w="26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1"/>
        </w:trPr>
        <w:tc>
          <w:tcPr>
            <w:tcW w:w="4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Tax exempt</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liens</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741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15,319</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Adoption of new accounting standard</w:t>
            </w: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(97 )</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1,243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1,886</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9"/>
        </w:trPr>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18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(193 )</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(492 )</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7"/>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9"/>
        </w:trPr>
        <w:tc>
          <w:tcPr>
            <w:tcW w:w="4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Provisions (credits)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1,877</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6"/>
        </w:trPr>
        <w:tc>
          <w:tcPr>
            <w:tcW w:w="4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682</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2,186</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18,796</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methodology for determining its allowance for credit losses includes an analysis of qualitative factors that are added to the historical loss rates in arriving at the total allowance for credit losses needed for this general pool of loans. The qualitative factors include, but are not limited to, the following:</w:t>
      </w:r>
    </w:p>
    <w:p>
      <w:pPr>
        <w:spacing w:after="0" w:line="161"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national and local economic trends;</w:t>
      </w:r>
    </w:p>
    <w:p>
      <w:pPr>
        <w:spacing w:after="0" w:line="2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of growth in the portfolio;</w:t>
      </w: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Trends of delinquencies and nonaccrual balances;</w:t>
      </w: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loan policy; and</w:t>
      </w: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lending management experience and related staffing.</w:t>
      </w:r>
    </w:p>
    <w:p>
      <w:pPr>
        <w:spacing w:after="0" w:line="16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Each factor is assigned a value to reflect improving, stable or declining conditions based on management’s best judgment using relevant information available at the time of the evaluation. These qualitative factors, applied to each product class, make the evaluation inherently subjective, as it requires material estimates that may be susceptible to significant revision as more information becomes available. Adjustments to the factors are supported through documentation of changes in conditions in a narrative accompanying the allowance for credit losses analysis and calculation.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color w:val="auto"/>
        </w:rPr>
        <w:t>The allocation of the allowance for credit losses summarized on the basis of the Company’s calculation methodology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June 30, 2024</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34"/>
        </w:trPr>
        <w:tc>
          <w:tcPr>
            <w:tcW w:w="3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 family</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8"/>
        </w:trPr>
        <w:tc>
          <w:tcPr>
            <w:tcW w:w="3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first-lien</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Residential</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Other</w:t>
            </w:r>
          </w:p>
        </w:tc>
      </w:tr>
      <w:tr>
        <w:trPr>
          <w:trHeight w:val="243"/>
        </w:trPr>
        <w:tc>
          <w:tcPr>
            <w:tcW w:w="3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construction</w:t>
            </w:r>
          </w:p>
        </w:tc>
        <w:tc>
          <w:tcPr>
            <w:tcW w:w="4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r>
      <w:tr>
        <w:trPr>
          <w:trHeight w:val="250"/>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mortgage</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lines of credit</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and industrial</w:t>
            </w:r>
          </w:p>
        </w:tc>
      </w:tr>
      <w:tr>
        <w:trPr>
          <w:trHeight w:val="243"/>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Specifically reserved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1,511</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662</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2,044</w:t>
            </w:r>
          </w:p>
        </w:tc>
      </w:tr>
      <w:tr>
        <w:trPr>
          <w:trHeight w:val="23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Historical loss rate</w:t>
            </w:r>
          </w:p>
        </w:tc>
        <w:tc>
          <w:tcPr>
            <w:tcW w:w="2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1,473</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42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2,615</w:t>
            </w:r>
          </w:p>
        </w:tc>
        <w:tc>
          <w:tcPr>
            <w:tcW w:w="2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1,115</w:t>
            </w:r>
          </w:p>
        </w:tc>
      </w:tr>
      <w:tr>
        <w:trPr>
          <w:trHeight w:val="243"/>
        </w:trPr>
        <w:tc>
          <w:tcPr>
            <w:tcW w:w="3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Qualitative factors</w:t>
            </w:r>
          </w:p>
        </w:tc>
        <w:tc>
          <w:tcPr>
            <w:tcW w:w="2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(74 )</w:t>
            </w: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2,537</w:t>
            </w: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662</w:t>
            </w:r>
          </w:p>
        </w:tc>
      </w:tr>
      <w:tr>
        <w:trPr>
          <w:trHeight w:val="237"/>
        </w:trPr>
        <w:tc>
          <w:tcPr>
            <w:tcW w:w="3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1,536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6,663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3,821</w:t>
            </w: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57"/>
        </w:trPr>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Home equity</w:t>
            </w:r>
          </w:p>
        </w:tc>
        <w:tc>
          <w:tcPr>
            <w:tcW w:w="4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39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Tax exempt</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and junior liens</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Specifically reserved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1,887</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6,664</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Historical loss rate</w:t>
            </w:r>
          </w:p>
        </w:tc>
        <w:tc>
          <w:tcPr>
            <w:tcW w:w="2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42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6,641</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3"/>
        </w:trPr>
        <w:tc>
          <w:tcPr>
            <w:tcW w:w="3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Qualitative factors</w:t>
            </w:r>
          </w:p>
        </w:tc>
        <w:tc>
          <w:tcPr>
            <w:tcW w:w="2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3,587</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7"/>
        </w:trPr>
        <w:tc>
          <w:tcPr>
            <w:tcW w:w="3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2,209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16,892</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51"/>
        </w:trPr>
        <w:tc>
          <w:tcPr>
            <w:tcW w:w="3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34"/>
        </w:trPr>
        <w:tc>
          <w:tcPr>
            <w:tcW w:w="3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 family</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8"/>
        </w:trPr>
        <w:tc>
          <w:tcPr>
            <w:tcW w:w="3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first-lien</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Residential</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Other</w:t>
            </w:r>
          </w:p>
        </w:tc>
      </w:tr>
      <w:tr>
        <w:trPr>
          <w:trHeight w:val="243"/>
        </w:trPr>
        <w:tc>
          <w:tcPr>
            <w:tcW w:w="3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construction</w:t>
            </w:r>
          </w:p>
        </w:tc>
        <w:tc>
          <w:tcPr>
            <w:tcW w:w="4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r>
      <w:tr>
        <w:trPr>
          <w:trHeight w:val="250"/>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mortgage</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lines of credit</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and industrial</w:t>
            </w:r>
          </w:p>
        </w:tc>
      </w:tr>
      <w:tr>
        <w:trPr>
          <w:trHeight w:val="23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Specifically reserved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969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1,617</w:t>
            </w:r>
          </w:p>
        </w:tc>
      </w:tr>
      <w:tr>
        <w:trPr>
          <w:trHeight w:val="247"/>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Historical loss rate</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1,537</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2,645</w:t>
            </w: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1,026</w:t>
            </w:r>
          </w:p>
        </w:tc>
      </w:tr>
      <w:tr>
        <w:trPr>
          <w:trHeight w:val="239"/>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Qualitative factors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(66 )</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2,137</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638</w:t>
            </w:r>
          </w:p>
        </w:tc>
      </w:tr>
      <w:tr>
        <w:trPr>
          <w:trHeight w:val="276"/>
        </w:trPr>
        <w:tc>
          <w:tcPr>
            <w:tcW w:w="39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1,608</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5,751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1,674</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3,281</w:t>
            </w:r>
          </w:p>
        </w:tc>
      </w:tr>
      <w:tr>
        <w:trPr>
          <w:trHeight w:val="457"/>
        </w:trPr>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Home equity</w:t>
            </w:r>
          </w:p>
        </w:tc>
        <w:tc>
          <w:tcPr>
            <w:tcW w:w="4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39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Tax exempt</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and junior liens</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Specifically reserved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1,817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5,842</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Historical loss rate</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6,589</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9"/>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Qualitative factors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3,544</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6"/>
        </w:trPr>
        <w:tc>
          <w:tcPr>
            <w:tcW w:w="39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2,145</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15,975</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Collateral Dependent Disclosures</w:t>
      </w:r>
    </w:p>
    <w:p>
      <w:pPr>
        <w:spacing w:after="0" w:line="1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has certain loans for which repayment is dependent upon the operation or sale of collateral, as the borrower is experiencing financial difficulty. The underlying collateral can vary based upon the type of loan. The following provides more detail about the types of collateral that secure collateral dependent loans:</w:t>
      </w:r>
    </w:p>
    <w:p>
      <w:pPr>
        <w:spacing w:after="0" w:line="66" w:lineRule="exact"/>
        <w:rPr>
          <w:sz w:val="20"/>
          <w:szCs w:val="20"/>
          <w:color w:val="auto"/>
        </w:rPr>
      </w:pPr>
    </w:p>
    <w:p>
      <w:pPr>
        <w:jc w:val="both"/>
        <w:ind w:left="1020" w:hanging="503"/>
        <w:spacing w:after="0" w:line="246" w:lineRule="auto"/>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real estate loans can be secured by either owner occupied commercial real estate or non-owner occupied investment commercial real estate. Typically, owner occupied commercial real estate loans are secured by office buildings, warehouses, manufacturing facilities and other commercial and industrial properties occupied by operating companies. Non-owner occupied commercial real estate loans are generally secured by office buildings and complexes, retail facilities, multifamily complexes, land under development, industrial properties, as well as other commercial or industrial real estate.</w:t>
      </w:r>
    </w:p>
    <w:p>
      <w:pPr>
        <w:spacing w:after="0" w:line="7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Residential real estate loans are typically secured by first mortgages, and in some cases could be secured by a second mortgage.</w:t>
      </w:r>
    </w:p>
    <w:p>
      <w:pPr>
        <w:spacing w:after="0" w:line="119"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Home equity lines of credit are generally secured by second mortgages on residential real estate property.</w:t>
      </w:r>
    </w:p>
    <w:p>
      <w:pPr>
        <w:spacing w:after="0" w:line="107" w:lineRule="exact"/>
        <w:rPr>
          <w:rFonts w:ascii="Times New Roman" w:cs="Times New Roman" w:eastAsia="Times New Roman" w:hAnsi="Times New Roman"/>
          <w:sz w:val="20"/>
          <w:szCs w:val="20"/>
          <w:color w:val="auto"/>
        </w:rPr>
      </w:pPr>
    </w:p>
    <w:p>
      <w:pPr>
        <w:ind w:left="1020" w:right="20" w:hanging="503"/>
        <w:spacing w:after="0" w:line="269" w:lineRule="auto"/>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loans are generally secured by automobiles, motorcycles, recreational vehicles and other personal property. Some consumer loans are unsecured and have no underlying collateral.</w:t>
      </w:r>
    </w:p>
    <w:p>
      <w:pPr>
        <w:spacing w:after="0" w:line="51" w:lineRule="exact"/>
        <w:rPr>
          <w:rFonts w:ascii="Times New Roman" w:cs="Times New Roman" w:eastAsia="Times New Roman" w:hAnsi="Times New Roman"/>
          <w:sz w:val="20"/>
          <w:szCs w:val="20"/>
          <w:color w:val="auto"/>
        </w:rPr>
      </w:pPr>
    </w:p>
    <w:p>
      <w:pPr>
        <w:ind w:left="5540" w:hanging="111"/>
        <w:spacing w:after="0"/>
        <w:tabs>
          <w:tab w:leader="none" w:pos="5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color w:val="auto"/>
        </w:rPr>
        <w:t>The following table details the amortized cost of collateral dependent loans at June 30, 2024 and December 31,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30, 2024</w:t>
            </w:r>
          </w:p>
        </w:tc>
        <w:tc>
          <w:tcPr>
            <w:tcW w:w="5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4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52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7,788</w:t>
            </w: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520" w:type="dxa"/>
            <w:vAlign w:val="bottom"/>
          </w:tcPr>
          <w:p>
            <w:pPr>
              <w:spacing w:after="0"/>
              <w:rPr>
                <w:sz w:val="20"/>
                <w:szCs w:val="20"/>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11,814</w:t>
            </w:r>
          </w:p>
        </w:tc>
      </w:tr>
      <w:tr>
        <w:trPr>
          <w:trHeight w:val="247"/>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Residential (1-4 family) first mortgages</w:t>
            </w:r>
          </w:p>
        </w:tc>
        <w:tc>
          <w:tcPr>
            <w:tcW w:w="24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520" w:type="dxa"/>
            <w:vAlign w:val="bottom"/>
            <w:shd w:val="clear" w:color="auto" w:fill="CFF0FC"/>
          </w:tcPr>
          <w:p>
            <w:pPr>
              <w:spacing w:after="0"/>
              <w:rPr>
                <w:sz w:val="21"/>
                <w:szCs w:val="21"/>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699</w:t>
            </w: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equity loans and lines of credit</w:t>
            </w:r>
          </w:p>
        </w:tc>
        <w:tc>
          <w:tcPr>
            <w:tcW w:w="24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520" w:type="dxa"/>
            <w:vAlign w:val="bottom"/>
          </w:tcPr>
          <w:p>
            <w:pPr>
              <w:spacing w:after="0"/>
              <w:rPr>
                <w:sz w:val="20"/>
                <w:szCs w:val="20"/>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599</w:t>
            </w:r>
          </w:p>
        </w:tc>
      </w:tr>
      <w:tr>
        <w:trPr>
          <w:trHeight w:val="243"/>
        </w:trPr>
        <w:tc>
          <w:tcPr>
            <w:tcW w:w="49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loans</w:t>
            </w:r>
          </w:p>
        </w:tc>
        <w:tc>
          <w:tcPr>
            <w:tcW w:w="248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52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r>
      <w:tr>
        <w:trPr>
          <w:trHeight w:val="237"/>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2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16,217</w:t>
            </w:r>
          </w:p>
        </w:tc>
        <w:tc>
          <w:tcPr>
            <w:tcW w:w="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20,981</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Foreclosed Real Estate</w:t>
      </w:r>
    </w:p>
    <w:p>
      <w:pPr>
        <w:spacing w:after="0" w:line="2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is required to disclose the carrying amount of foreclosed real estate properties held as a result of obtaining physical possession of the property at each reporting period.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Number of</w:t>
            </w:r>
          </w:p>
        </w:tc>
        <w:tc>
          <w:tcPr>
            <w:tcW w:w="48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June 30,</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3840" w:type="dxa"/>
            <w:vAlign w:val="bottom"/>
            <w:tcBorders>
              <w:bottom w:val="single" w:sz="8" w:color="auto"/>
            </w:tcBorders>
            <w:vMerge w:val="continue"/>
          </w:tcPr>
          <w:p>
            <w:pPr>
              <w:spacing w:after="0"/>
              <w:rPr>
                <w:sz w:val="20"/>
                <w:szCs w:val="20"/>
                <w:color w:val="auto"/>
              </w:rPr>
            </w:pPr>
          </w:p>
        </w:tc>
        <w:tc>
          <w:tcPr>
            <w:tcW w:w="3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properties</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properties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79"/>
        </w:trPr>
        <w:tc>
          <w:tcPr>
            <w:tcW w:w="384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Foreclosed real estate</w:t>
            </w:r>
          </w:p>
        </w:tc>
        <w:tc>
          <w:tcPr>
            <w:tcW w:w="3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60</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At June 30, 2024 and December 31, 2023, the Company reported $1.8 million and $1.3 million, respectively, in real estate loans in the process of foreclosure.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Guarantees</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does not issue any guarantees that would require liability recognition or disclosure, other than its standby letters of credit. Generally, all letters of credit, when issued have expiration dates within one year. The credit risks involved in issuing letters of credit is essentially the same as those that are involved in extending loan facilities to customers. The Company generally holds collateral and/or personal guarantees supporting these commitments. The Company had $2.3 million of standby letters of credit as of June 30, 2024. Management believes that the proceeds obtained through a liquidation of collateral and the enforcement of guarantees would be sufficient to cover the potential amount of future payments required under the corresponding guarantees. No provision for credit losses has been made for these commitments. The fair value of standby letters of credit was not significant to the Company’s consolidated financial statements.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Fair Value Measurements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Accounting guidance related to fair value measurements and disclosures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 value hierarchy:</w:t>
      </w:r>
    </w:p>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Level 1 – Quoted prices (unadjusted) for identical assets or liabilities in active markets that the entity has the ability to access as of the measurement date.</w:t>
      </w:r>
    </w:p>
    <w:p>
      <w:pPr>
        <w:spacing w:after="0" w:line="14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Level 2 – Quoted prices for similar assets and liabilities in active markets; quoted prices for identical or similar assets or liabilities in markets that are not active; and model-derived valuations in which all significant inputs and significant value drivers are observable in active markets.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3 – Model-derived valuations in which one or more significant inputs or significant value drivers are unobservable.</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An asset’s or liability’s level within the fair value hierarchy is based on the lowest level of input that is significant to the fair value measurement.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32</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3" w:name="page34"/>
    <w:bookmarkEnd w:id="33"/>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 determining fair value, the Company utilizes valuation techniques that maximize the use of observable inputs, minimize the use of unobservable inputs, to the extent possible, and considers counterparty credit risk in its assessment of fair value.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used the following methods and significant assumptions to estimate fair value:</w:t>
      </w:r>
    </w:p>
    <w:p>
      <w:pPr>
        <w:spacing w:after="0" w:line="2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Investment securities: The fair values of available-for-sale and marketable equity securities are obtained from an independent third party and are based on quoted prices on nationally recognized securities exchanges where available (Level 1). If quoted prices are not available, fair values are measured by utilizing matrix pricing, which is a mathematical technique used widely in the industry to value debt securities without relying exclusively on quoted prices for specific securities but rather by relying on the securities’ relationship to other benchmark quoted securities (Level 2). Management made no adjustment to the fair value quotes that were received from the independent third party pricing service. Level 3 securities are assets whose fair value cannot be determined by using observable measures, such as market prices or pricing models. Level 3 assets are typically very illiquid, and fair values can only be calculated using estimates or risk-adjusted value ranges. Management applies known factors, such as currently applicable discount rates, to the valuation of those investments in order to determine fair value at the reporting date.</w:t>
      </w:r>
    </w:p>
    <w:p>
      <w:pPr>
        <w:spacing w:after="0" w:line="1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holds two corporate investment securities with an amortized historical cost of $4.1 million and an aggregate fair market value of $4.3 million as of June 30, 2024. These securities have an aggregate valuation that is determined using published net asset values (NAV) derived by an analysis of the securities’ underlying assets. These securities are comprised primarily of broadly-diversified real estate holdings and are traded in secondary markets on an infrequent basis. While these securities are redeemable at least annually through tender offers made by respective issuers, the liquidation value of these securities may be below stated NAVs and also subject to restrictions as to the amount that can be redeemed at any single scheduled redemption. The Company anticipates that these securities will be redeemed by respective issuers on indeterminate future dates as a consequence of the ultimate liquidation strategies employed by the managers of these portfolios.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also holds two limited partnership investments managed by an unrelated third party with an aggregate fair market value of $3.8 million. The investments are funds comprised of marketable equity securities, primarily issued by community banks and financial technology companies. These investments are recorded at fair value at the end of each reporting period using Level 1 valuation techniques. Unrealized changes in the fair value of these investments are recorded as components of periodic net income in the period in which the changes occur.</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Interest rate derivatives: The fair value of the interest rate derivatives, characterized as either fair value or cash flow hedges, are calculated based on a discounted cash flow model. All future floating rate cash flows are projected and both floating rate and fixed rate cash flows are discounted to the valuation date. The benchmark interest rate curve utilized for projecting cash flows and applying appropriate discount rates is built by obtaining publicly available third party market quotes for various swap maturity terms.</w:t>
      </w:r>
    </w:p>
    <w:p>
      <w:pPr>
        <w:spacing w:after="0" w:line="1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Individually evaluated loans: Specifically-identified loans are those loans in which the Company has measured impairment based on the fair value of the loan’s collateral or the discounted value of expected future cash flows. Fair value is generally determined based upon market value evaluations by third parties of the properties and/or estimates by management of working capital collateral or discounted cash flows based upon expected proceeds. These appraisals may include up to three approaches to value: the sales comparison approach, the income approach (for income-producing property), and the cost approach. Management modifies the appraised values, if needed, to take into account recent developments in the market or other factors, such as, changes in absorption rates or market conditions from the time of valuation and anticipated sales values considering management’s plans for disposition. Such modifications to the appraised values could result in lower valuations of such collateral. Estimated costs to sell are based on current amounts of disposal costs for similar assets. These measurements are classified as Level 3 within the valuation hierarchy. Specifically-identified loans are subject to nonrecurring fair value adjustment upon initial recognition or subsequent impairment. A portion of the allowance for credit losses is allocated to specifically-identified loans if the value of such loans is deemed to be less than the unpaid balance.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4" w:name="page35"/>
    <w:bookmarkEnd w:id="34"/>
    <w:p>
      <w:pPr>
        <w:spacing w:after="0" w:line="269" w:lineRule="auto"/>
        <w:rPr>
          <w:sz w:val="20"/>
          <w:szCs w:val="20"/>
          <w:color w:val="auto"/>
        </w:rPr>
      </w:pPr>
      <w:r>
        <w:rPr>
          <w:rFonts w:ascii="Times New Roman" w:cs="Times New Roman" w:eastAsia="Times New Roman" w:hAnsi="Times New Roman"/>
          <w:sz w:val="20"/>
          <w:szCs w:val="20"/>
          <w:color w:val="auto"/>
        </w:rPr>
        <w:t>The following tables summarize assets measured at fair value on a recurring basis as of the indicated dates, segregated by the level of valuation inputs within the hierarchy utilized to measure fair value:</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June 30, 2024</w:t>
            </w:r>
          </w:p>
        </w:tc>
        <w:tc>
          <w:tcPr>
            <w:tcW w:w="8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 Fair</w:t>
            </w:r>
          </w:p>
        </w:tc>
      </w:tr>
      <w:tr>
        <w:trPr>
          <w:trHeight w:val="245"/>
        </w:trPr>
        <w:tc>
          <w:tcPr>
            <w:tcW w:w="53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Level 1</w:t>
            </w: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Level 2</w:t>
            </w:r>
          </w:p>
        </w:tc>
        <w:tc>
          <w:tcPr>
            <w:tcW w:w="5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Level 3</w:t>
            </w: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r>
      <w:tr>
        <w:trPr>
          <w:trHeight w:val="243"/>
        </w:trPr>
        <w:tc>
          <w:tcPr>
            <w:tcW w:w="53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Portfolio</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r>
      <w:tr>
        <w:trPr>
          <w:trHeight w:val="189"/>
        </w:trPr>
        <w:tc>
          <w:tcPr>
            <w:tcW w:w="536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auto"/>
              </w:rPr>
              <w:t>Debt investment securities: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534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6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84,809</w:t>
            </w:r>
          </w:p>
        </w:tc>
        <w:tc>
          <w:tcPr>
            <w:tcW w:w="5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84,809</w:t>
            </w:r>
          </w:p>
        </w:tc>
      </w:tr>
      <w:tr>
        <w:trPr>
          <w:trHeight w:val="239"/>
        </w:trPr>
        <w:tc>
          <w:tcPr>
            <w:tcW w:w="20" w:type="dxa"/>
            <w:vAlign w:val="bottom"/>
          </w:tcPr>
          <w:p>
            <w:pPr>
              <w:spacing w:after="0"/>
              <w:rPr>
                <w:sz w:val="20"/>
                <w:szCs w:val="20"/>
                <w:color w:val="auto"/>
              </w:rPr>
            </w:pPr>
          </w:p>
        </w:tc>
        <w:tc>
          <w:tcPr>
            <w:tcW w:w="5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28,576</w:t>
            </w:r>
          </w:p>
        </w:tc>
        <w:tc>
          <w:tcPr>
            <w:tcW w:w="50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28,576</w:t>
            </w:r>
          </w:p>
        </w:tc>
      </w:tr>
      <w:tr>
        <w:trPr>
          <w:trHeight w:val="247"/>
        </w:trPr>
        <w:tc>
          <w:tcPr>
            <w:tcW w:w="20" w:type="dxa"/>
            <w:vAlign w:val="bottom"/>
            <w:shd w:val="clear" w:color="auto" w:fill="CFF0FC"/>
          </w:tcPr>
          <w:p>
            <w:pPr>
              <w:spacing w:after="0"/>
              <w:rPr>
                <w:sz w:val="21"/>
                <w:szCs w:val="21"/>
                <w:color w:val="auto"/>
              </w:rPr>
            </w:pPr>
          </w:p>
        </w:tc>
        <w:tc>
          <w:tcPr>
            <w:tcW w:w="534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6,599</w:t>
            </w: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6,599</w:t>
            </w:r>
          </w:p>
        </w:tc>
      </w:tr>
      <w:tr>
        <w:trPr>
          <w:trHeight w:val="239"/>
        </w:trPr>
        <w:tc>
          <w:tcPr>
            <w:tcW w:w="20" w:type="dxa"/>
            <w:vAlign w:val="bottom"/>
          </w:tcPr>
          <w:p>
            <w:pPr>
              <w:spacing w:after="0"/>
              <w:rPr>
                <w:sz w:val="20"/>
                <w:szCs w:val="20"/>
                <w:color w:val="auto"/>
              </w:rPr>
            </w:pPr>
          </w:p>
        </w:tc>
        <w:tc>
          <w:tcPr>
            <w:tcW w:w="5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Asset backed securities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17,890</w:t>
            </w:r>
          </w:p>
        </w:tc>
        <w:tc>
          <w:tcPr>
            <w:tcW w:w="50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17,890</w:t>
            </w:r>
          </w:p>
        </w:tc>
      </w:tr>
      <w:tr>
        <w:trPr>
          <w:trHeight w:val="247"/>
        </w:trPr>
        <w:tc>
          <w:tcPr>
            <w:tcW w:w="20" w:type="dxa"/>
            <w:vAlign w:val="bottom"/>
            <w:shd w:val="clear" w:color="auto" w:fill="CFF0FC"/>
          </w:tcPr>
          <w:p>
            <w:pPr>
              <w:spacing w:after="0"/>
              <w:rPr>
                <w:sz w:val="21"/>
                <w:szCs w:val="21"/>
                <w:color w:val="auto"/>
              </w:rPr>
            </w:pPr>
          </w:p>
        </w:tc>
        <w:tc>
          <w:tcPr>
            <w:tcW w:w="534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31,984</w:t>
            </w: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31,984</w:t>
            </w:r>
          </w:p>
        </w:tc>
      </w:tr>
      <w:tr>
        <w:trPr>
          <w:trHeight w:val="239"/>
        </w:trPr>
        <w:tc>
          <w:tcPr>
            <w:tcW w:w="20" w:type="dxa"/>
            <w:vAlign w:val="bottom"/>
          </w:tcPr>
          <w:p>
            <w:pPr>
              <w:spacing w:after="0"/>
              <w:rPr>
                <w:sz w:val="20"/>
                <w:szCs w:val="20"/>
                <w:color w:val="auto"/>
              </w:rPr>
            </w:pPr>
          </w:p>
        </w:tc>
        <w:tc>
          <w:tcPr>
            <w:tcW w:w="5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14,650</w:t>
            </w:r>
          </w:p>
        </w:tc>
        <w:tc>
          <w:tcPr>
            <w:tcW w:w="50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14,650</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5340" w:type="dxa"/>
            <w:vAlign w:val="bottom"/>
            <w:tcBorders>
              <w:bottom w:val="single" w:sz="8" w:color="auto"/>
            </w:tcBorders>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26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85,971</w:t>
            </w:r>
          </w:p>
        </w:tc>
        <w:tc>
          <w:tcPr>
            <w:tcW w:w="5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85,971</w:t>
            </w:r>
          </w:p>
        </w:tc>
      </w:tr>
      <w:tr>
        <w:trPr>
          <w:trHeight w:val="236"/>
        </w:trPr>
        <w:tc>
          <w:tcPr>
            <w:tcW w:w="20" w:type="dxa"/>
            <w:vAlign w:val="bottom"/>
          </w:tcPr>
          <w:p>
            <w:pPr>
              <w:spacing w:after="0"/>
              <w:rPr>
                <w:sz w:val="20"/>
                <w:szCs w:val="20"/>
                <w:color w:val="auto"/>
              </w:rPr>
            </w:pPr>
          </w:p>
        </w:tc>
        <w:tc>
          <w:tcPr>
            <w:tcW w:w="53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270,479</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270,479</w:t>
            </w:r>
          </w:p>
        </w:tc>
      </w:tr>
      <w:tr>
        <w:trPr>
          <w:trHeight w:val="227"/>
        </w:trPr>
        <w:tc>
          <w:tcPr>
            <w:tcW w:w="20" w:type="dxa"/>
            <w:vAlign w:val="bottom"/>
            <w:tcBorders>
              <w:bottom w:val="single" w:sz="8" w:color="CFF0FC"/>
            </w:tcBorders>
            <w:shd w:val="clear" w:color="auto" w:fill="CFF0FC"/>
          </w:tcPr>
          <w:p>
            <w:pPr>
              <w:spacing w:after="0"/>
              <w:rPr>
                <w:sz w:val="19"/>
                <w:szCs w:val="19"/>
                <w:color w:val="auto"/>
              </w:rPr>
            </w:pPr>
          </w:p>
        </w:tc>
        <w:tc>
          <w:tcPr>
            <w:tcW w:w="2100" w:type="dxa"/>
            <w:vAlign w:val="bottom"/>
            <w:tcBorders>
              <w:bottom w:val="single" w:sz="8" w:color="auto"/>
            </w:tcBorders>
            <w:gridSpan w:val="3"/>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w w:val="99"/>
              </w:rPr>
              <w:t>Equity investment securities:</w:t>
            </w:r>
          </w:p>
        </w:tc>
        <w:tc>
          <w:tcPr>
            <w:tcW w:w="3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5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Common stock - financial services industry</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c>
          <w:tcPr>
            <w:tcW w:w="5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r>
      <w:tr>
        <w:trPr>
          <w:trHeight w:val="227"/>
        </w:trPr>
        <w:tc>
          <w:tcPr>
            <w:tcW w:w="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w w:val="98"/>
              </w:rPr>
              <w:t>Other Securities:</w:t>
            </w:r>
          </w:p>
        </w:tc>
        <w:tc>
          <w:tcPr>
            <w:tcW w:w="4120" w:type="dxa"/>
            <w:vAlign w:val="bottom"/>
            <w:tcBorders>
              <w:bottom w:val="single" w:sz="8" w:color="CFF0FC"/>
            </w:tcBorders>
            <w:gridSpan w:val="3"/>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Corporate issuances measured at NAV</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4,292</w:t>
            </w:r>
          </w:p>
        </w:tc>
      </w:tr>
      <w:tr>
        <w:trPr>
          <w:trHeight w:val="276"/>
        </w:trPr>
        <w:tc>
          <w:tcPr>
            <w:tcW w:w="536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620" w:type="dxa"/>
            <w:vAlign w:val="bottom"/>
            <w:tcBorders>
              <w:bottom w:val="single" w:sz="8" w:color="auto"/>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c>
          <w:tcPr>
            <w:tcW w:w="5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270,479</w:t>
            </w:r>
          </w:p>
        </w:tc>
        <w:tc>
          <w:tcPr>
            <w:tcW w:w="50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274,977</w:t>
            </w: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9"/>
        </w:trPr>
        <w:tc>
          <w:tcPr>
            <w:tcW w:w="536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equity securities measured at NAV</w:t>
            </w:r>
          </w:p>
        </w:tc>
        <w:tc>
          <w:tcPr>
            <w:tcW w:w="620" w:type="dxa"/>
            <w:vAlign w:val="bottom"/>
            <w:tcBorders>
              <w:bottom w:val="single" w:sz="8" w:color="auto"/>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3,793</w:t>
            </w: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1"/>
        </w:trPr>
        <w:tc>
          <w:tcPr>
            <w:tcW w:w="53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 derivative fair value hedges (unrealized gain carried as</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81"/>
        </w:trPr>
        <w:tc>
          <w:tcPr>
            <w:tcW w:w="536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receivable from derivative counterparties)</w:t>
            </w:r>
          </w:p>
        </w:tc>
        <w:tc>
          <w:tcPr>
            <w:tcW w:w="620" w:type="dxa"/>
            <w:vAlign w:val="bottom"/>
            <w:tcBorders>
              <w:bottom w:val="single" w:sz="8" w:color="auto"/>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7,138</w:t>
            </w:r>
          </w:p>
        </w:tc>
        <w:tc>
          <w:tcPr>
            <w:tcW w:w="50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7,138</w:t>
            </w:r>
          </w:p>
        </w:tc>
      </w:tr>
      <w:tr>
        <w:trPr>
          <w:trHeight w:val="45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December 31, 2023</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 Fair</w:t>
            </w:r>
          </w:p>
        </w:tc>
      </w:tr>
      <w:tr>
        <w:trPr>
          <w:trHeight w:val="245"/>
        </w:trPr>
        <w:tc>
          <w:tcPr>
            <w:tcW w:w="53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Level 1</w:t>
            </w: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Level 2</w:t>
            </w:r>
          </w:p>
        </w:tc>
        <w:tc>
          <w:tcPr>
            <w:tcW w:w="5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Level 3</w:t>
            </w: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r>
      <w:tr>
        <w:trPr>
          <w:trHeight w:val="243"/>
        </w:trPr>
        <w:tc>
          <w:tcPr>
            <w:tcW w:w="53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Portfolio</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r>
      <w:tr>
        <w:trPr>
          <w:trHeight w:val="189"/>
        </w:trPr>
        <w:tc>
          <w:tcPr>
            <w:tcW w:w="536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auto"/>
              </w:rPr>
              <w:t>Debt investment securities: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534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6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80,083</w:t>
            </w:r>
          </w:p>
        </w:tc>
        <w:tc>
          <w:tcPr>
            <w:tcW w:w="5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80,083</w:t>
            </w:r>
          </w:p>
        </w:tc>
      </w:tr>
      <w:tr>
        <w:trPr>
          <w:trHeight w:val="239"/>
        </w:trPr>
        <w:tc>
          <w:tcPr>
            <w:tcW w:w="20" w:type="dxa"/>
            <w:vAlign w:val="bottom"/>
          </w:tcPr>
          <w:p>
            <w:pPr>
              <w:spacing w:after="0"/>
              <w:rPr>
                <w:sz w:val="20"/>
                <w:szCs w:val="20"/>
                <w:color w:val="auto"/>
              </w:rPr>
            </w:pPr>
          </w:p>
        </w:tc>
        <w:tc>
          <w:tcPr>
            <w:tcW w:w="5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32,924</w:t>
            </w:r>
          </w:p>
        </w:tc>
        <w:tc>
          <w:tcPr>
            <w:tcW w:w="5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32,924</w:t>
            </w:r>
          </w:p>
        </w:tc>
      </w:tr>
      <w:tr>
        <w:trPr>
          <w:trHeight w:val="247"/>
        </w:trPr>
        <w:tc>
          <w:tcPr>
            <w:tcW w:w="20" w:type="dxa"/>
            <w:vAlign w:val="bottom"/>
            <w:shd w:val="clear" w:color="auto" w:fill="CFF0FC"/>
          </w:tcPr>
          <w:p>
            <w:pPr>
              <w:spacing w:after="0"/>
              <w:rPr>
                <w:sz w:val="21"/>
                <w:szCs w:val="21"/>
                <w:color w:val="auto"/>
              </w:rPr>
            </w:pPr>
          </w:p>
        </w:tc>
        <w:tc>
          <w:tcPr>
            <w:tcW w:w="534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6,576</w:t>
            </w: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6,576</w:t>
            </w:r>
          </w:p>
        </w:tc>
      </w:tr>
      <w:tr>
        <w:trPr>
          <w:trHeight w:val="239"/>
        </w:trPr>
        <w:tc>
          <w:tcPr>
            <w:tcW w:w="20" w:type="dxa"/>
            <w:vAlign w:val="bottom"/>
          </w:tcPr>
          <w:p>
            <w:pPr>
              <w:spacing w:after="0"/>
              <w:rPr>
                <w:sz w:val="20"/>
                <w:szCs w:val="20"/>
                <w:color w:val="auto"/>
              </w:rPr>
            </w:pPr>
          </w:p>
        </w:tc>
        <w:tc>
          <w:tcPr>
            <w:tcW w:w="5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Asset backed securities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19,892</w:t>
            </w:r>
          </w:p>
        </w:tc>
        <w:tc>
          <w:tcPr>
            <w:tcW w:w="5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19,892</w:t>
            </w:r>
          </w:p>
        </w:tc>
      </w:tr>
      <w:tr>
        <w:trPr>
          <w:trHeight w:val="247"/>
        </w:trPr>
        <w:tc>
          <w:tcPr>
            <w:tcW w:w="20" w:type="dxa"/>
            <w:vAlign w:val="bottom"/>
            <w:shd w:val="clear" w:color="auto" w:fill="CFF0FC"/>
          </w:tcPr>
          <w:p>
            <w:pPr>
              <w:spacing w:after="0"/>
              <w:rPr>
                <w:sz w:val="21"/>
                <w:szCs w:val="21"/>
                <w:color w:val="auto"/>
              </w:rPr>
            </w:pPr>
          </w:p>
        </w:tc>
        <w:tc>
          <w:tcPr>
            <w:tcW w:w="534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24,418</w:t>
            </w: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24,418</w:t>
            </w:r>
          </w:p>
        </w:tc>
      </w:tr>
      <w:tr>
        <w:trPr>
          <w:trHeight w:val="239"/>
        </w:trPr>
        <w:tc>
          <w:tcPr>
            <w:tcW w:w="20" w:type="dxa"/>
            <w:vAlign w:val="bottom"/>
          </w:tcPr>
          <w:p>
            <w:pPr>
              <w:spacing w:after="0"/>
              <w:rPr>
                <w:sz w:val="20"/>
                <w:szCs w:val="20"/>
                <w:color w:val="auto"/>
              </w:rPr>
            </w:pPr>
          </w:p>
        </w:tc>
        <w:tc>
          <w:tcPr>
            <w:tcW w:w="5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12,179</w:t>
            </w:r>
          </w:p>
        </w:tc>
        <w:tc>
          <w:tcPr>
            <w:tcW w:w="5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12,179</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5340" w:type="dxa"/>
            <w:vAlign w:val="bottom"/>
            <w:tcBorders>
              <w:bottom w:val="single" w:sz="8" w:color="auto"/>
            </w:tcBorders>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26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78,095</w:t>
            </w:r>
          </w:p>
        </w:tc>
        <w:tc>
          <w:tcPr>
            <w:tcW w:w="5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78,095</w:t>
            </w:r>
          </w:p>
        </w:tc>
      </w:tr>
      <w:tr>
        <w:trPr>
          <w:trHeight w:val="236"/>
        </w:trPr>
        <w:tc>
          <w:tcPr>
            <w:tcW w:w="20" w:type="dxa"/>
            <w:vAlign w:val="bottom"/>
          </w:tcPr>
          <w:p>
            <w:pPr>
              <w:spacing w:after="0"/>
              <w:rPr>
                <w:sz w:val="20"/>
                <w:szCs w:val="20"/>
                <w:color w:val="auto"/>
              </w:rPr>
            </w:pPr>
          </w:p>
        </w:tc>
        <w:tc>
          <w:tcPr>
            <w:tcW w:w="53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254,167</w:t>
            </w:r>
          </w:p>
        </w:tc>
        <w:tc>
          <w:tcPr>
            <w:tcW w:w="5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254,167</w:t>
            </w:r>
          </w:p>
        </w:tc>
      </w:tr>
      <w:tr>
        <w:trPr>
          <w:trHeight w:val="227"/>
        </w:trPr>
        <w:tc>
          <w:tcPr>
            <w:tcW w:w="20" w:type="dxa"/>
            <w:vAlign w:val="bottom"/>
            <w:tcBorders>
              <w:bottom w:val="single" w:sz="8" w:color="CFF0FC"/>
            </w:tcBorders>
            <w:shd w:val="clear" w:color="auto" w:fill="CFF0FC"/>
          </w:tcPr>
          <w:p>
            <w:pPr>
              <w:spacing w:after="0"/>
              <w:rPr>
                <w:sz w:val="19"/>
                <w:szCs w:val="19"/>
                <w:color w:val="auto"/>
              </w:rPr>
            </w:pPr>
          </w:p>
        </w:tc>
        <w:tc>
          <w:tcPr>
            <w:tcW w:w="2100" w:type="dxa"/>
            <w:vAlign w:val="bottom"/>
            <w:tcBorders>
              <w:bottom w:val="single" w:sz="8" w:color="auto"/>
            </w:tcBorders>
            <w:gridSpan w:val="3"/>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w w:val="99"/>
              </w:rPr>
              <w:t>Equity investment securities:</w:t>
            </w:r>
          </w:p>
        </w:tc>
        <w:tc>
          <w:tcPr>
            <w:tcW w:w="3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5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Common stock - financial services industry</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206</w:t>
            </w:r>
          </w:p>
        </w:tc>
        <w:tc>
          <w:tcPr>
            <w:tcW w:w="5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r>
      <w:tr>
        <w:trPr>
          <w:trHeight w:val="227"/>
        </w:trPr>
        <w:tc>
          <w:tcPr>
            <w:tcW w:w="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w w:val="98"/>
              </w:rPr>
              <w:t>Other Securities:</w:t>
            </w:r>
          </w:p>
        </w:tc>
        <w:tc>
          <w:tcPr>
            <w:tcW w:w="4120" w:type="dxa"/>
            <w:vAlign w:val="bottom"/>
            <w:tcBorders>
              <w:bottom w:val="single" w:sz="8" w:color="CFF0FC"/>
            </w:tcBorders>
            <w:gridSpan w:val="3"/>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Corporate issuances measured at NAV</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4,343</w:t>
            </w:r>
          </w:p>
        </w:tc>
      </w:tr>
      <w:tr>
        <w:trPr>
          <w:trHeight w:val="276"/>
        </w:trPr>
        <w:tc>
          <w:tcPr>
            <w:tcW w:w="536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620" w:type="dxa"/>
            <w:vAlign w:val="bottom"/>
            <w:tcBorders>
              <w:bottom w:val="single" w:sz="8" w:color="auto"/>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206</w:t>
            </w:r>
          </w:p>
        </w:tc>
        <w:tc>
          <w:tcPr>
            <w:tcW w:w="5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254,167</w:t>
            </w:r>
          </w:p>
        </w:tc>
        <w:tc>
          <w:tcPr>
            <w:tcW w:w="5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258,716</w:t>
            </w: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9"/>
        </w:trPr>
        <w:tc>
          <w:tcPr>
            <w:tcW w:w="536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equity securities measured at NAV</w:t>
            </w:r>
          </w:p>
        </w:tc>
        <w:tc>
          <w:tcPr>
            <w:tcW w:w="620" w:type="dxa"/>
            <w:vAlign w:val="bottom"/>
            <w:tcBorders>
              <w:bottom w:val="single" w:sz="8" w:color="auto"/>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3,206</w:t>
            </w: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1"/>
        </w:trPr>
        <w:tc>
          <w:tcPr>
            <w:tcW w:w="53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 derivative fair value hedges (unrealized gain carried as</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81"/>
        </w:trPr>
        <w:tc>
          <w:tcPr>
            <w:tcW w:w="536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receivable from derivative counterparties)</w:t>
            </w:r>
          </w:p>
        </w:tc>
        <w:tc>
          <w:tcPr>
            <w:tcW w:w="620" w:type="dxa"/>
            <w:vAlign w:val="bottom"/>
            <w:tcBorders>
              <w:bottom w:val="single" w:sz="8" w:color="auto"/>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5,160</w:t>
            </w:r>
          </w:p>
        </w:tc>
        <w:tc>
          <w:tcPr>
            <w:tcW w:w="5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5,160</w:t>
            </w: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1"/>
        </w:trPr>
        <w:tc>
          <w:tcPr>
            <w:tcW w:w="53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 derivative cash flow hedges (unrealized gain carried</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81"/>
        </w:trPr>
        <w:tc>
          <w:tcPr>
            <w:tcW w:w="536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 receivable from derivative counterparties)</w:t>
            </w:r>
          </w:p>
        </w:tc>
        <w:tc>
          <w:tcPr>
            <w:tcW w:w="620" w:type="dxa"/>
            <w:vAlign w:val="bottom"/>
            <w:tcBorders>
              <w:bottom w:val="single" w:sz="8" w:color="auto"/>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45</w:t>
            </w:r>
          </w:p>
        </w:tc>
        <w:tc>
          <w:tcPr>
            <w:tcW w:w="5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419"/>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34</w:t>
            </w:r>
            <w:r>
              <w:rPr>
                <w:rFonts w:ascii="Times New Roman" w:cs="Times New Roman" w:eastAsia="Times New Roman" w:hAnsi="Times New Roman"/>
                <w:sz w:val="18"/>
                <w:szCs w:val="18"/>
                <w:color w:val="auto"/>
              </w:rPr>
              <w:t xml:space="preserve"> -</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0" w:right="339" w:bottom="501"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color w:val="auto"/>
        </w:rPr>
        <w:t>Pathfinder Bank had the following assets measured at fair value on a nonrecurring basis as of June 30, 2024 and December 31,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June 30, 2024</w:t>
            </w: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34"/>
        </w:trPr>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 Fair</w:t>
            </w:r>
          </w:p>
        </w:tc>
      </w:tr>
      <w:tr>
        <w:trPr>
          <w:trHeight w:val="245"/>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Level 1</w:t>
            </w: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Level 2</w:t>
            </w:r>
          </w:p>
        </w:tc>
        <w:tc>
          <w:tcPr>
            <w:tcW w:w="7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Level 3</w:t>
            </w: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r>
      <w:tr>
        <w:trPr>
          <w:trHeight w:val="243"/>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10,991</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10,991</w:t>
            </w:r>
          </w:p>
        </w:tc>
      </w:tr>
      <w:tr>
        <w:trPr>
          <w:trHeight w:val="23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Foreclosed real estate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r>
      <w:tr>
        <w:trPr>
          <w:trHeight w:val="475"/>
        </w:trPr>
        <w:tc>
          <w:tcPr>
            <w:tcW w:w="55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34"/>
        </w:trPr>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 Fair</w:t>
            </w:r>
          </w:p>
        </w:tc>
      </w:tr>
      <w:tr>
        <w:trPr>
          <w:trHeight w:val="245"/>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Level 1</w:t>
            </w: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Level 2</w:t>
            </w:r>
          </w:p>
        </w:tc>
        <w:tc>
          <w:tcPr>
            <w:tcW w:w="7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Level 3</w:t>
            </w: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r>
      <w:tr>
        <w:trPr>
          <w:trHeight w:val="243"/>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9,722</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9,722</w:t>
            </w:r>
          </w:p>
        </w:tc>
      </w:tr>
      <w:tr>
        <w:trPr>
          <w:trHeight w:val="23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Foreclosed real estate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r>
    </w:tbl>
    <w:p>
      <w:pPr>
        <w:spacing w:after="0" w:line="2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tables presents additional quantitative information about assets measured at fair value on a nonrecurring basis and for which Level 3 inputs were used to determine fair value at the indicated dates.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Quantitative Information about Level 3 Fair Value Measurements</w:t>
            </w:r>
          </w:p>
        </w:tc>
        <w:tc>
          <w:tcPr>
            <w:tcW w:w="1840" w:type="dxa"/>
            <w:vAlign w:val="bottom"/>
            <w:tcBorders>
              <w:bottom w:val="single" w:sz="8" w:color="auto"/>
            </w:tcBorders>
          </w:tcPr>
          <w:p>
            <w:pPr>
              <w:spacing w:after="0"/>
              <w:rPr>
                <w:sz w:val="19"/>
                <w:szCs w:val="19"/>
                <w:color w:val="auto"/>
              </w:rPr>
            </w:pPr>
          </w:p>
        </w:tc>
      </w:tr>
      <w:tr>
        <w:trPr>
          <w:trHeight w:val="210"/>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w w:val="98"/>
              </w:rPr>
              <w:t>Valuation</w:t>
            </w:r>
          </w:p>
        </w:tc>
        <w:tc>
          <w:tcPr>
            <w:tcW w:w="508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Unobservable</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Range</w:t>
            </w:r>
          </w:p>
        </w:tc>
      </w:tr>
      <w:tr>
        <w:trPr>
          <w:trHeight w:val="242"/>
        </w:trPr>
        <w:tc>
          <w:tcPr>
            <w:tcW w:w="2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color w:val="auto"/>
              </w:rPr>
              <w:t>Techniques</w:t>
            </w:r>
          </w:p>
        </w:tc>
        <w:tc>
          <w:tcPr>
            <w:tcW w:w="50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Input</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(Weighted Avg.)</w:t>
            </w:r>
          </w:p>
        </w:tc>
      </w:tr>
      <w:tr>
        <w:trPr>
          <w:trHeight w:val="223"/>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At June 30, 2024</w:t>
            </w:r>
          </w:p>
        </w:tc>
        <w:tc>
          <w:tcPr>
            <w:tcW w:w="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r>
      <w:tr>
        <w:trPr>
          <w:trHeight w:val="223"/>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Individually evaluated loans</w:t>
            </w:r>
          </w:p>
        </w:tc>
        <w:tc>
          <w:tcPr>
            <w:tcW w:w="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color w:val="auto"/>
              </w:rPr>
              <w:t>Appraisal of collateral</w:t>
            </w:r>
          </w:p>
        </w:tc>
        <w:tc>
          <w:tcPr>
            <w:tcW w:w="50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Discounted Cash Flow</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 - 50% (26%)</w:t>
            </w:r>
          </w:p>
        </w:tc>
      </w:tr>
      <w:tr>
        <w:trPr>
          <w:trHeight w:val="223"/>
        </w:trPr>
        <w:tc>
          <w:tcPr>
            <w:tcW w:w="2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Foreclosed real estate</w:t>
            </w:r>
          </w:p>
        </w:tc>
        <w:tc>
          <w:tcPr>
            <w:tcW w:w="140" w:type="dxa"/>
            <w:vAlign w:val="bottom"/>
            <w:tcBorders>
              <w:bottom w:val="single" w:sz="8" w:color="auto"/>
            </w:tcBorders>
            <w:shd w:val="clear" w:color="auto" w:fill="CFF0FC"/>
          </w:tcPr>
          <w:p>
            <w:pPr>
              <w:spacing w:after="0"/>
              <w:rPr>
                <w:sz w:val="19"/>
                <w:szCs w:val="19"/>
                <w:color w:val="auto"/>
              </w:rPr>
            </w:pPr>
          </w:p>
        </w:tc>
        <w:tc>
          <w:tcPr>
            <w:tcW w:w="2020" w:type="dxa"/>
            <w:vAlign w:val="bottom"/>
            <w:tcBorders>
              <w:bottom w:val="single" w:sz="8" w:color="auto"/>
            </w:tcBorders>
            <w:shd w:val="clear" w:color="auto" w:fill="CFF0FC"/>
          </w:tcPr>
          <w:p>
            <w:pPr>
              <w:jc w:val="center"/>
              <w:ind w:right="359"/>
              <w:spacing w:after="0"/>
              <w:rPr>
                <w:sz w:val="20"/>
                <w:szCs w:val="20"/>
                <w:color w:val="auto"/>
              </w:rPr>
            </w:pPr>
            <w:r>
              <w:rPr>
                <w:rFonts w:ascii="Times New Roman" w:cs="Times New Roman" w:eastAsia="Times New Roman" w:hAnsi="Times New Roman"/>
                <w:sz w:val="16"/>
                <w:szCs w:val="16"/>
                <w:color w:val="auto"/>
              </w:rPr>
              <w:t>Appraisal of collateral</w:t>
            </w:r>
          </w:p>
        </w:tc>
        <w:tc>
          <w:tcPr>
            <w:tcW w:w="5080" w:type="dxa"/>
            <w:vAlign w:val="bottom"/>
            <w:tcBorders>
              <w:bottom w:val="single" w:sz="8" w:color="auto"/>
            </w:tcBorders>
            <w:shd w:val="clear" w:color="auto" w:fill="CFF0FC"/>
          </w:tcPr>
          <w:p>
            <w:pPr>
              <w:jc w:val="center"/>
              <w:ind w:right="139"/>
              <w:spacing w:after="0"/>
              <w:rPr>
                <w:sz w:val="20"/>
                <w:szCs w:val="20"/>
                <w:color w:val="auto"/>
              </w:rPr>
            </w:pPr>
            <w:r>
              <w:rPr>
                <w:rFonts w:ascii="Times New Roman" w:cs="Times New Roman" w:eastAsia="Times New Roman" w:hAnsi="Times New Roman"/>
                <w:sz w:val="16"/>
                <w:szCs w:val="16"/>
                <w:color w:val="auto"/>
              </w:rPr>
              <w:t>Costs to Sell</w:t>
            </w:r>
          </w:p>
        </w:tc>
        <w:tc>
          <w:tcPr>
            <w:tcW w:w="18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21% - 24% (22%)</w:t>
            </w:r>
          </w:p>
        </w:tc>
      </w:tr>
      <w:tr>
        <w:trPr>
          <w:trHeight w:val="682"/>
        </w:trPr>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Quantitative Information about Level 3 Fair Value Measurements</w:t>
            </w:r>
          </w:p>
        </w:tc>
        <w:tc>
          <w:tcPr>
            <w:tcW w:w="1840" w:type="dxa"/>
            <w:vAlign w:val="bottom"/>
            <w:tcBorders>
              <w:bottom w:val="single" w:sz="8" w:color="auto"/>
            </w:tcBorders>
          </w:tcPr>
          <w:p>
            <w:pPr>
              <w:spacing w:after="0"/>
              <w:rPr>
                <w:sz w:val="24"/>
                <w:szCs w:val="24"/>
                <w:color w:val="auto"/>
              </w:rPr>
            </w:pPr>
          </w:p>
        </w:tc>
      </w:tr>
      <w:tr>
        <w:trPr>
          <w:trHeight w:val="210"/>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Valuation</w:t>
            </w:r>
          </w:p>
        </w:tc>
        <w:tc>
          <w:tcPr>
            <w:tcW w:w="50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8"/>
              </w:rPr>
              <w:t>Unobservable</w:t>
            </w:r>
          </w:p>
        </w:tc>
        <w:tc>
          <w:tcPr>
            <w:tcW w:w="18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7"/>
              </w:rPr>
              <w:t>Range</w:t>
            </w:r>
          </w:p>
        </w:tc>
      </w:tr>
      <w:tr>
        <w:trPr>
          <w:trHeight w:val="242"/>
        </w:trPr>
        <w:tc>
          <w:tcPr>
            <w:tcW w:w="2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Techniques</w:t>
            </w:r>
          </w:p>
        </w:tc>
        <w:tc>
          <w:tcPr>
            <w:tcW w:w="508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Input</w:t>
            </w:r>
          </w:p>
        </w:tc>
        <w:tc>
          <w:tcPr>
            <w:tcW w:w="184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w w:val="99"/>
              </w:rPr>
              <w:t>(Weighted Avg.)</w:t>
            </w:r>
          </w:p>
        </w:tc>
      </w:tr>
      <w:tr>
        <w:trPr>
          <w:trHeight w:val="223"/>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At December 31, 2023</w:t>
            </w:r>
          </w:p>
        </w:tc>
        <w:tc>
          <w:tcPr>
            <w:tcW w:w="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r>
      <w:tr>
        <w:trPr>
          <w:trHeight w:val="223"/>
        </w:trPr>
        <w:tc>
          <w:tcPr>
            <w:tcW w:w="2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Individually evaluated loans</w:t>
            </w:r>
          </w:p>
        </w:tc>
        <w:tc>
          <w:tcPr>
            <w:tcW w:w="140" w:type="dxa"/>
            <w:vAlign w:val="bottom"/>
            <w:tcBorders>
              <w:bottom w:val="single" w:sz="8" w:color="auto"/>
            </w:tcBorders>
            <w:shd w:val="clear" w:color="auto" w:fill="CFF0FC"/>
          </w:tcPr>
          <w:p>
            <w:pPr>
              <w:spacing w:after="0"/>
              <w:rPr>
                <w:sz w:val="19"/>
                <w:szCs w:val="19"/>
                <w:color w:val="auto"/>
              </w:rPr>
            </w:pPr>
          </w:p>
        </w:tc>
        <w:tc>
          <w:tcPr>
            <w:tcW w:w="20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Appraisal of collateral</w:t>
            </w:r>
          </w:p>
        </w:tc>
        <w:tc>
          <w:tcPr>
            <w:tcW w:w="5080" w:type="dxa"/>
            <w:vAlign w:val="bottom"/>
            <w:tcBorders>
              <w:bottom w:val="single" w:sz="8" w:color="auto"/>
            </w:tcBorders>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Discounted Cash Flow</w:t>
            </w:r>
          </w:p>
        </w:tc>
        <w:tc>
          <w:tcPr>
            <w:tcW w:w="1840" w:type="dxa"/>
            <w:vAlign w:val="bottom"/>
            <w:tcBorders>
              <w:bottom w:val="single" w:sz="8" w:color="auto"/>
            </w:tcBorders>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9"/>
              </w:rPr>
              <w:t>10% - 75% (21%)</w:t>
            </w:r>
          </w:p>
        </w:tc>
      </w:tr>
      <w:tr>
        <w:trPr>
          <w:trHeight w:val="223"/>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Foreclosed real estate</w:t>
            </w:r>
          </w:p>
        </w:tc>
        <w:tc>
          <w:tcPr>
            <w:tcW w:w="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Appraisal of collateral</w:t>
            </w:r>
          </w:p>
        </w:tc>
        <w:tc>
          <w:tcPr>
            <w:tcW w:w="508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w w:val="98"/>
              </w:rPr>
              <w:t>Costs to Sell</w:t>
            </w:r>
          </w:p>
        </w:tc>
        <w:tc>
          <w:tcPr>
            <w:tcW w:w="184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w w:val="99"/>
              </w:rPr>
              <w:t>21% - 24% (22%)</w:t>
            </w:r>
          </w:p>
        </w:tc>
      </w:tr>
    </w:tbl>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have been no transfers of assets into or out of any fair value measurement level during the three or six months ended June 30, 2024 or 2023.</w:t>
      </w:r>
    </w:p>
    <w:p>
      <w:pPr>
        <w:spacing w:after="0" w:line="1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Required disclosures include fair value information of financial instruments, whether or not recognized in the consolidated statements of condition, for which it is practicable to estimate that value. In cases where quoted market prices are not available, fair values are based on estimates using present value or other valuation techniques. Those techniques are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w:t>
      </w:r>
    </w:p>
    <w:p>
      <w:pPr>
        <w:spacing w:after="0" w:line="15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Company has various processes and controls in place to ensure that fair value is reasonably estimated. The Company performs due diligence procedures over third-party pricing service providers in order to support their use in the valuation process.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While the Company believes its valuation methods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6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Management uses its best judgment in estimating the fair value of the Company’s financial instruments; however, there are inherent limitations in any estimation technique. Therefore, for substantially all financial instruments, the fair value estimates herein are not necessarily indicative of the amounts the Company could have realized in a sales transaction on the dates indicated. The estimated fair value amounts have been measured as of their respective period-ends, and have not been re-evaluated or updated for purposes of these financial statements subsequent to those respective dates. As such,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6" w:name="page37"/>
    <w:bookmarkEnd w:id="36"/>
    <w:p>
      <w:pPr>
        <w:jc w:val="both"/>
        <w:spacing w:after="0" w:line="269" w:lineRule="auto"/>
        <w:rPr>
          <w:sz w:val="20"/>
          <w:szCs w:val="20"/>
          <w:color w:val="auto"/>
        </w:rPr>
      </w:pPr>
      <w:r>
        <w:rPr>
          <w:rFonts w:ascii="Times New Roman" w:cs="Times New Roman" w:eastAsia="Times New Roman" w:hAnsi="Times New Roman"/>
          <w:sz w:val="20"/>
          <w:szCs w:val="20"/>
          <w:color w:val="auto"/>
        </w:rPr>
        <w:t>estimated fair values of these financial instruments subsequent to the respective reporting dates may be different than the amounts reported at each period-end.</w:t>
      </w:r>
    </w:p>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Under FASB ASC Topic 820 for Fair Value Measurements and Disclosures, the financial assets and liabilities were valued at a price that represents the Company’s exit price or the price at which these instruments would be sold or transferred.</w:t>
      </w:r>
    </w:p>
    <w:p>
      <w:pPr>
        <w:spacing w:after="0" w:line="1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following information should not be interpreted as an estimate of the fair value of the entire Company since a fair value calculation is only provided for a limited portion of the Company’s assets and liabilities. Due to a wide range of valuation techniques and the degree of subjectivity used in making the estimates, comparisons between the Company’s disclosures and those of other companies may not be meaningful. The Company, in estimating its fair value disclosures for financial instruments, used the following methods and assumptions: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and cash equivalents – The carrying amounts of these assets approximate their fair value and are classified as Level 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Federal Home Loan Bank stock – The carrying amount of these assets approximates their fair value and are classified as Level 2.</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Net loans – For variable-rate loans that re-price frequently, fair value is based on carrying amounts. The fair value of other loans (for example, fixed-rate commercial real estate loans, mortgage loans, and commercial and industrial loans) is estimated using discounted cash flow analysis, based on interest rates currently being offered in the market for loans with similar terms to borrowers of similar credit quality. Loan value estimates include judgments based on expected prepayment rates. The measurement of the fair value of loans, including individually evaluated loans, is classified within Level 3 of the fair value hierarchy.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interest receivable and payable – The carrying amount of these assets approximates their fair value and are classified as Level 1.</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Deposits – The fair values disclosed for demand deposits (e.g., interest-bearing and noninterest-bearing checking, passbook savings and certain types of money management accounts) are, by definition, equal to the amount payable on demand at the reporting date (i.e., their carrying amounts) and are classified within Level 1 of the fair value hierarchy. Fair values for fixed-rate certificates of deposit are estimated using a discounted cash flow calculation that applies interest rates currently being offered in the market on certificates of deposits to a schedule of aggregated expected monthly maturities on time deposits. Measurements of the fair value of time deposits are classified within Level 2 of the fair value hierarchy.</w:t>
      </w:r>
    </w:p>
    <w:p>
      <w:pPr>
        <w:spacing w:after="0" w:line="1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Borrowings – Fixed/variable term “bullet” structures are valued using a replacement cost of funds approach. These borrowings are discounted to the FHLBNY advance curve. Option structured borrowings’ fair values are determined by the FHLB for borrowings that include a call or conversion option. If market pricing is not available from this source, current market indications from the FHLBNY are obtained and the borrowings are discounted to the FHLBNY advance curve less an appropriate spread to adjust for the option. These measurements are classified as Level 2 within the fair value hierarchy.</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Subordinated debt – The Company secures quotes from its pricing service based on a discounted cash flow methodology or utilizes observations of recent highly-similar transactions which result in a Level 2 classification.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color w:val="auto"/>
        </w:rPr>
        <w:t>The carrying amounts and fair values of the Company’s financial instruments as of the indicated dates are presented in the following table: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June 30, 2024</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Fair Value</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Carrying</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Estimated</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Carrying</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Estimated</w:t>
            </w:r>
          </w:p>
        </w:tc>
      </w:tr>
      <w:tr>
        <w:trPr>
          <w:trHeight w:val="245"/>
        </w:trPr>
        <w:tc>
          <w:tcPr>
            <w:tcW w:w="46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Hierarchy</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Amounts</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Fair Values</w:t>
            </w: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Amounts</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Fair Values</w:t>
            </w:r>
          </w:p>
        </w:tc>
      </w:tr>
      <w:tr>
        <w:trPr>
          <w:trHeight w:val="189"/>
        </w:trPr>
        <w:tc>
          <w:tcPr>
            <w:tcW w:w="20" w:type="dxa"/>
            <w:vAlign w:val="bottom"/>
            <w:shd w:val="clear" w:color="auto" w:fill="CFF0FC"/>
          </w:tcPr>
          <w:p>
            <w:pPr>
              <w:spacing w:after="0"/>
              <w:rPr>
                <w:sz w:val="16"/>
                <w:szCs w:val="16"/>
                <w:color w:val="auto"/>
              </w:rPr>
            </w:pPr>
          </w:p>
        </w:tc>
        <w:tc>
          <w:tcPr>
            <w:tcW w:w="4620" w:type="dxa"/>
            <w:vAlign w:val="bottom"/>
            <w:gridSpan w:val="3"/>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Financial assets:</w:t>
            </w:r>
          </w:p>
        </w:tc>
        <w:tc>
          <w:tcPr>
            <w:tcW w:w="1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1180" w:type="dxa"/>
            <w:vAlign w:val="bottom"/>
            <w:tcBorders>
              <w:top w:val="single" w:sz="8" w:color="auto"/>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31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90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90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r>
      <w:tr>
        <w:trPr>
          <w:trHeight w:val="239"/>
        </w:trPr>
        <w:tc>
          <w:tcPr>
            <w:tcW w:w="20" w:type="dxa"/>
            <w:vAlign w:val="bottom"/>
          </w:tcPr>
          <w:p>
            <w:pPr>
              <w:spacing w:after="0"/>
              <w:rPr>
                <w:sz w:val="20"/>
                <w:szCs w:val="20"/>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31,819</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31,819</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48,732</w:t>
            </w:r>
          </w:p>
        </w:tc>
      </w:tr>
      <w:tr>
        <w:trPr>
          <w:trHeight w:val="247"/>
        </w:trPr>
        <w:tc>
          <w:tcPr>
            <w:tcW w:w="4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 available-for-sale</w:t>
            </w:r>
          </w:p>
        </w:tc>
        <w:tc>
          <w:tcPr>
            <w:tcW w:w="1440" w:type="dxa"/>
            <w:vAlign w:val="bottom"/>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270,479</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270,479</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254,167</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254,167</w:t>
            </w:r>
          </w:p>
        </w:tc>
      </w:tr>
      <w:tr>
        <w:trPr>
          <w:trHeight w:val="239"/>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Investment securities - available-for-sale</w:t>
            </w: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2"/>
              </w:rPr>
              <w:t>NAV</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4,292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4,343</w:t>
            </w:r>
          </w:p>
        </w:tc>
      </w:tr>
      <w:tr>
        <w:trPr>
          <w:trHeight w:val="247"/>
        </w:trPr>
        <w:tc>
          <w:tcPr>
            <w:tcW w:w="4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 marketable equity</w:t>
            </w:r>
          </w:p>
        </w:tc>
        <w:tc>
          <w:tcPr>
            <w:tcW w:w="144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92"/>
              </w:rPr>
              <w:t>NAV</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3,793</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3,206</w:t>
            </w:r>
          </w:p>
        </w:tc>
      </w:tr>
      <w:tr>
        <w:trPr>
          <w:trHeight w:val="239"/>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Investment securities - held-to-maturity</w:t>
            </w: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166,271</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156,280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179,286</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168,034</w:t>
            </w:r>
          </w:p>
        </w:tc>
      </w:tr>
      <w:tr>
        <w:trPr>
          <w:trHeight w:val="247"/>
        </w:trPr>
        <w:tc>
          <w:tcPr>
            <w:tcW w:w="4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Home Loan Bank stock</w:t>
            </w:r>
          </w:p>
        </w:tc>
        <w:tc>
          <w:tcPr>
            <w:tcW w:w="1440" w:type="dxa"/>
            <w:vAlign w:val="bottom"/>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8,702</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8,748</w:t>
            </w:r>
          </w:p>
        </w:tc>
      </w:tr>
      <w:tr>
        <w:trPr>
          <w:trHeight w:val="239"/>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loans</w:t>
            </w: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871,371</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817,057</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881,232</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823,052</w:t>
            </w:r>
          </w:p>
        </w:tc>
      </w:tr>
      <w:tr>
        <w:trPr>
          <w:trHeight w:val="247"/>
        </w:trPr>
        <w:tc>
          <w:tcPr>
            <w:tcW w:w="4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440" w:type="dxa"/>
            <w:vAlign w:val="bottom"/>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7,076</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7,286</w:t>
            </w:r>
          </w:p>
        </w:tc>
      </w:tr>
      <w:tr>
        <w:trPr>
          <w:trHeight w:val="239"/>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Interest rate derivative cash flow hedge receivable/(payable)</w:t>
            </w: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215"/>
        </w:trPr>
        <w:tc>
          <w:tcPr>
            <w:tcW w:w="4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derivative fair value hedges receivable - AFS</w:t>
            </w: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48"/>
        </w:trPr>
        <w:tc>
          <w:tcPr>
            <w:tcW w:w="4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40" w:type="dxa"/>
            <w:vAlign w:val="bottom"/>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3,565</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3,113</w:t>
            </w:r>
          </w:p>
        </w:tc>
      </w:tr>
      <w:tr>
        <w:trPr>
          <w:trHeight w:val="239"/>
        </w:trPr>
        <w:tc>
          <w:tcPr>
            <w:tcW w:w="46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Interest rate derivative fair value hedges receivable - loans</w:t>
            </w:r>
          </w:p>
        </w:tc>
        <w:tc>
          <w:tcPr>
            <w:tcW w:w="14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3,573</w:t>
            </w: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1,477</w:t>
            </w:r>
          </w:p>
        </w:tc>
      </w:tr>
      <w:tr>
        <w:trPr>
          <w:trHeight w:val="241"/>
        </w:trPr>
        <w:tc>
          <w:tcPr>
            <w:tcW w:w="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18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r>
      <w:tr>
        <w:trPr>
          <w:trHeight w:val="189"/>
        </w:trPr>
        <w:tc>
          <w:tcPr>
            <w:tcW w:w="464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Financial liabilities:</w:t>
            </w: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Demand Deposits, Savings, NOW and MMDA</w:t>
            </w:r>
          </w:p>
        </w:tc>
        <w:tc>
          <w:tcPr>
            <w:tcW w:w="1440" w:type="dxa"/>
            <w:vAlign w:val="bottom"/>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575,993</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575,993</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607,301</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607,301</w:t>
            </w:r>
          </w:p>
        </w:tc>
      </w:tr>
      <w:tr>
        <w:trPr>
          <w:trHeight w:val="239"/>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525,284</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524,705</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512,766</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517,514</w:t>
            </w:r>
          </w:p>
        </w:tc>
      </w:tr>
      <w:tr>
        <w:trPr>
          <w:trHeight w:val="247"/>
        </w:trPr>
        <w:tc>
          <w:tcPr>
            <w:tcW w:w="4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440" w:type="dxa"/>
            <w:vAlign w:val="bottom"/>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173,446</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172,381</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175,599</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174,071</w:t>
            </w:r>
          </w:p>
        </w:tc>
      </w:tr>
      <w:tr>
        <w:trPr>
          <w:trHeight w:val="239"/>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Subordinated debt</w:t>
            </w: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30,008</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28,276</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29,914</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28,026</w:t>
            </w:r>
          </w:p>
        </w:tc>
      </w:tr>
      <w:tr>
        <w:trPr>
          <w:trHeight w:val="243"/>
        </w:trPr>
        <w:tc>
          <w:tcPr>
            <w:tcW w:w="4640" w:type="dxa"/>
            <w:vAlign w:val="bottom"/>
            <w:tcBorders>
              <w:bottom w:val="single" w:sz="8" w:color="auto"/>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440" w:type="dxa"/>
            <w:vAlign w:val="bottom"/>
            <w:tcBorders>
              <w:bottom w:val="single" w:sz="8" w:color="auto"/>
            </w:tcBorders>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2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2,092</w:t>
            </w:r>
          </w:p>
        </w:tc>
        <w:tc>
          <w:tcPr>
            <w:tcW w:w="1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2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2,245</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Interest Rate Derivatives</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is exposed to certain risks relate to both its business operations and changes in economic conditions. As part of managing interest rate risk, the Company periodically enters into standardized interest rate derivative contracts (designated as hedging agreements) to modify the repricing characteristics of certain portions of the Company’s earning assets and interest-bearing liabilities portfolios. The Company designates interest rate hedging agreements utilized in the management of interest rate risk as either fair value hedges or cash flow hedges. Interest rate hedging agreements are recorded at fair value as other assets or liabilities. The Company had no material derivative contracts not designated as hedging agreements at June 30, 2024 or December 31, 2023.</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As a result of interest rate fluctuations, fixed-rate interest-earning assets and interest-bearing liabilities will appreciate or depreciate in fair value. When effectively hedged, this fair value appreciation or depreciation will generally be offset by substantially identical changes in the fair value of derivative instruments that are linked to the hedged assets and liabilities. This strategy is referred to as fair value hedging and the derivative instruments employed in this strategy are therefore designated as fair value hedges. In a fair value hedge, the fair value of the derivative (the interest rate hedging agreement) is recorded in the Company’s consolidated balance sheet with the corresponding gain or loss recognized as an adjustment to the carrying balance of the hedged asset or liability. Changes in the correlation between the hedging instrument and the hedged asset or liability that give rise to differences between the changes in the fair value of the interest rate hedging agreements and the hedged items represents hedge ineffectiveness and are recorded as adjustments to the interest income or interest expense of the respective hedged instrument. In the case of pay-fixed or receive-fixed interest rate swap agreements, designated as fair value hedges, the periodic difference in the net cash flows due to (due from) the Company from (to) a counterparty are recorded in current period earnings as adjustments to the interest income or interest expense of the respective hedged asset or liability.</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Cash flows related to floating rate assets and liabilities will fluctuate with changes in underlying rate indices. When effectively hedged, the increases or decreases in cash flows related to the floating-rate asset or liability will generally be offset by changes in cash flows of the derivative instruments designated as a hedge. This strategy is referred to as cash flow hedging and the derivative instruments employed in these strategies are therefore designated as cash flow hedges. In a cash</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8" w:name="page39"/>
    <w:bookmarkEnd w:id="38"/>
    <w:p>
      <w:pPr>
        <w:jc w:val="both"/>
        <w:spacing w:after="0" w:line="246" w:lineRule="auto"/>
        <w:rPr>
          <w:sz w:val="20"/>
          <w:szCs w:val="20"/>
          <w:color w:val="auto"/>
        </w:rPr>
      </w:pPr>
      <w:r>
        <w:rPr>
          <w:rFonts w:ascii="Times New Roman" w:cs="Times New Roman" w:eastAsia="Times New Roman" w:hAnsi="Times New Roman"/>
          <w:sz w:val="20"/>
          <w:szCs w:val="20"/>
          <w:color w:val="auto"/>
        </w:rPr>
        <w:t>flow hedge, the effective portion of the derivative’s gain or loss is initially reported as a component of accumulated other comprehensive income and subsequently reclassified into earnings when the forecasted transaction affects earnings. In the case of pay-fixed or receive-fixed interest rate swap agreements, designated as cash flow hedges, the periodic difference in the net cash flows due to (due from) the Company from (to) a counterparty are recorded in current period earnings as adjustments to the interest income or interest expense of the respective hedged asset or liability.</w:t>
      </w:r>
    </w:p>
    <w:p>
      <w:pPr>
        <w:spacing w:after="0" w:line="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Among the array of interest rate hedging contracts, potentially available to the Company, are interest rate swap and interest rate cap (or floor) contracts. The Company uses interest rate swaps, cap or floor contracts as part of its interest rate risk management strategy. Interest rate swaps involve the receipt of variable amounts from a counterparty in exchange for the Company making fixed payments over the life of the agreements without the exchange of the underlying notional amount. An interest rate cap is a type of interest rate derivative in which the buyer receives payments at the end of each contractual period in which the index interest rate exceeds the contractually agreed upon strike price rate. The purchaser of a cap contract will continue to benefit from any rise in interest rates above the strike price. Similarly, an interest rate floor is a derivative contract in which the buyer receives payments at the end of each period in which the interest rate is below the agreed strike price. The purchaser of a floor contract will continue to benefit from any decrease in interest rates below the strike price. The Company had no interest rate cap or floor contracts in place at June 30, 2024 or December 31, 2023.</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records various hedges in the consolidated statements of condition at fair value. The Company’s accounting treatment for these derivative instruments is based on the instrument's hedge designation determined at the inception of each derivative instrument's contractual term. The following tables show the Company’s outstanding fair value hedges at June 30, 2024 and December 31,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Cumulative Amount of</w:t>
            </w: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Cumulative Amount of</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Fair Value Hedging</w:t>
            </w: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Fair Value Hedging</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rPr>
              <w:t>Adjustment Subtracted</w:t>
            </w:r>
          </w:p>
        </w:tc>
        <w:tc>
          <w:tcPr>
            <w:tcW w:w="300" w:type="dxa"/>
            <w:vAlign w:val="bottom"/>
          </w:tcPr>
          <w:p>
            <w:pPr>
              <w:spacing w:after="0"/>
              <w:rPr>
                <w:sz w:val="18"/>
                <w:szCs w:val="18"/>
                <w:color w:val="auto"/>
              </w:rPr>
            </w:pPr>
          </w:p>
        </w:tc>
        <w:tc>
          <w:tcPr>
            <w:tcW w:w="18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Hedge-Adjusted</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Adjustment Subtracted</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Carrying Amount of the</w:t>
            </w:r>
          </w:p>
        </w:tc>
        <w:tc>
          <w:tcPr>
            <w:tcW w:w="20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from Carrying Amount</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Carrying Amount of the</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from Carrying Amount</w:t>
            </w:r>
          </w:p>
        </w:tc>
        <w:tc>
          <w:tcPr>
            <w:tcW w:w="0" w:type="dxa"/>
            <w:vAlign w:val="bottom"/>
          </w:tcPr>
          <w:p>
            <w:pPr>
              <w:spacing w:after="0"/>
              <w:rPr>
                <w:sz w:val="1"/>
                <w:szCs w:val="1"/>
                <w:color w:val="auto"/>
              </w:rPr>
            </w:pPr>
          </w:p>
        </w:tc>
      </w:tr>
      <w:tr>
        <w:trPr>
          <w:trHeight w:val="216"/>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00" w:type="dxa"/>
            <w:vAlign w:val="bottom"/>
          </w:tcPr>
          <w:p>
            <w:pPr>
              <w:spacing w:after="0"/>
              <w:rPr>
                <w:sz w:val="18"/>
                <w:szCs w:val="18"/>
                <w:color w:val="auto"/>
              </w:rPr>
            </w:pPr>
          </w:p>
        </w:tc>
        <w:tc>
          <w:tcPr>
            <w:tcW w:w="19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Hedged Assets at</w:t>
            </w:r>
          </w:p>
        </w:tc>
        <w:tc>
          <w:tcPr>
            <w:tcW w:w="20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of the Hedged Assets at</w:t>
            </w:r>
          </w:p>
        </w:tc>
        <w:tc>
          <w:tcPr>
            <w:tcW w:w="300" w:type="dxa"/>
            <w:vAlign w:val="bottom"/>
          </w:tcPr>
          <w:p>
            <w:pPr>
              <w:spacing w:after="0"/>
              <w:rPr>
                <w:sz w:val="18"/>
                <w:szCs w:val="18"/>
                <w:color w:val="auto"/>
              </w:rPr>
            </w:pPr>
          </w:p>
        </w:tc>
        <w:tc>
          <w:tcPr>
            <w:tcW w:w="18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Hedged Assets at</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of the Hedged Assets at</w:t>
            </w:r>
          </w:p>
        </w:tc>
        <w:tc>
          <w:tcPr>
            <w:tcW w:w="0" w:type="dxa"/>
            <w:vAlign w:val="bottom"/>
          </w:tcPr>
          <w:p>
            <w:pPr>
              <w:spacing w:after="0"/>
              <w:rPr>
                <w:sz w:val="1"/>
                <w:szCs w:val="1"/>
                <w:color w:val="auto"/>
              </w:rPr>
            </w:pPr>
          </w:p>
        </w:tc>
      </w:tr>
      <w:tr>
        <w:trPr>
          <w:trHeight w:val="241"/>
        </w:trPr>
        <w:tc>
          <w:tcPr>
            <w:tcW w:w="254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9"/>
              </w:rPr>
              <w:t>June 30, 2024</w:t>
            </w: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June 30, 2024</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8"/>
              </w:rPr>
              <w:t>December 31, 2023</w:t>
            </w: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8"/>
              </w:rPr>
              <w:t>December 31, 2023</w:t>
            </w:r>
          </w:p>
        </w:tc>
        <w:tc>
          <w:tcPr>
            <w:tcW w:w="0" w:type="dxa"/>
            <w:vAlign w:val="bottom"/>
          </w:tcPr>
          <w:p>
            <w:pPr>
              <w:spacing w:after="0"/>
              <w:rPr>
                <w:sz w:val="1"/>
                <w:szCs w:val="1"/>
                <w:color w:val="auto"/>
              </w:rPr>
            </w:pPr>
          </w:p>
        </w:tc>
      </w:tr>
      <w:tr>
        <w:trPr>
          <w:trHeight w:val="218"/>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Line item on the balance sheet in which the hedged item is included:</w:t>
            </w: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54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Available-for-sale securities </w:t>
            </w:r>
            <w:r>
              <w:rPr>
                <w:rFonts w:ascii="Times New Roman" w:cs="Times New Roman" w:eastAsia="Times New Roman" w:hAnsi="Times New Roman"/>
                <w:sz w:val="24"/>
                <w:szCs w:val="24"/>
                <w:color w:val="auto"/>
                <w:vertAlign w:val="superscript"/>
              </w:rPr>
              <w:t>(1)</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86,978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3,565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95,887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3,113</w:t>
            </w:r>
          </w:p>
        </w:tc>
        <w:tc>
          <w:tcPr>
            <w:tcW w:w="0" w:type="dxa"/>
            <w:vAlign w:val="bottom"/>
          </w:tcPr>
          <w:p>
            <w:pPr>
              <w:spacing w:after="0"/>
              <w:rPr>
                <w:sz w:val="1"/>
                <w:szCs w:val="1"/>
                <w:color w:val="auto"/>
              </w:rPr>
            </w:pPr>
          </w:p>
        </w:tc>
      </w:tr>
      <w:tr>
        <w:trPr>
          <w:trHeight w:val="243"/>
        </w:trPr>
        <w:tc>
          <w:tcPr>
            <w:tcW w:w="254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Loans receivable </w:t>
            </w:r>
            <w:r>
              <w:rPr>
                <w:rFonts w:ascii="Times New Roman" w:cs="Times New Roman" w:eastAsia="Times New Roman" w:hAnsi="Times New Roman"/>
                <w:sz w:val="24"/>
                <w:szCs w:val="24"/>
                <w:color w:val="auto"/>
                <w:vertAlign w:val="superscript"/>
              </w:rPr>
              <w:t>(2)</w:t>
            </w:r>
          </w:p>
        </w:tc>
        <w:tc>
          <w:tcPr>
            <w:tcW w:w="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140,092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3,573</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156,836</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760" w:hanging="374"/>
        <w:spacing w:after="0" w:line="248" w:lineRule="auto"/>
        <w:tabs>
          <w:tab w:leader="none" w:pos="76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$87.0 million carrying amount of hedged assets represents the hedge-adjusted amortized cost basis of specifically-identified municipal and GSE-backed securities designated as the underlying assets for the hedging relationships. The notional amount of the designated hedges were $82.3 million and $89.1 million at June 30, 2024 and December 31, 2023, respectively. The fair value of the derivatives (an unrealized gain, receivable from derivative counterparties) recorded in other assets resulted in a net asset position of $3.6 million and $3.1 million at June 30, 2024 and December 31, 2023, respectively. The Company's participation in fair value hedging transactions increased investment security interest income by $1.2 million and $940,000 at June 30, 2024 and June 30, 2023, respectively.</w:t>
      </w:r>
    </w:p>
    <w:p>
      <w:pPr>
        <w:spacing w:after="0" w:line="395" w:lineRule="exact"/>
        <w:rPr>
          <w:rFonts w:ascii="Times New Roman" w:cs="Times New Roman" w:eastAsia="Times New Roman" w:hAnsi="Times New Roman"/>
          <w:sz w:val="22"/>
          <w:szCs w:val="22"/>
          <w:color w:val="auto"/>
          <w:vertAlign w:val="superscript"/>
        </w:rPr>
      </w:pPr>
    </w:p>
    <w:p>
      <w:pPr>
        <w:ind w:left="760" w:right="1660" w:hanging="374"/>
        <w:spacing w:after="0" w:line="226" w:lineRule="auto"/>
        <w:tabs>
          <w:tab w:leader="none" w:pos="76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$140.1 million carrying amount of hedged assets represents the hedge-adjusted amortized cost of a designated pool of residential mortgages and the aggregate hedge-adjusted amortized cost of four specified purchased consumer loan pools. These pools of loans were</w:t>
      </w:r>
    </w:p>
    <w:p>
      <w:pPr>
        <w:spacing w:after="0" w:line="1" w:lineRule="exact"/>
        <w:rPr>
          <w:rFonts w:ascii="Times New Roman" w:cs="Times New Roman" w:eastAsia="Times New Roman" w:hAnsi="Times New Roman"/>
          <w:sz w:val="22"/>
          <w:szCs w:val="22"/>
          <w:color w:val="auto"/>
          <w:vertAlign w:val="superscript"/>
        </w:rPr>
      </w:pPr>
    </w:p>
    <w:p>
      <w:pPr>
        <w:jc w:val="both"/>
        <w:ind w:left="760"/>
        <w:spacing w:after="0" w:line="268"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designated as the underlying assets for the hedging relationships in which the hedged underlying asset's notional amounts were the amortized cost projected to be remaining at the end of the contractual term of the hedging instruments. The amount of the designated hedged items were $134.8 million and $141.0 million at June 30, 2024 and December 31, 2023, respectively. At June 30, 2024, the fair value of the derivatives recorded in other assets (an unrealized gain, receivable from derivative counterparties) resulted in a net asset position of $3.6 million, recorded by the Company in other assets. The Company’s participation in fair value hedging transactions increased interest income by $1.3 million and $796,000, for the periods ended June 30, 2024 and June 30, 2023, respectively. Details of the two hedging strategies, in place at June 30, 2024 are presented below:</w:t>
      </w:r>
    </w:p>
    <w:p>
      <w:pPr>
        <w:spacing w:after="0" w:line="190" w:lineRule="exact"/>
        <w:rPr>
          <w:rFonts w:ascii="Times New Roman" w:cs="Times New Roman" w:eastAsia="Times New Roman" w:hAnsi="Times New Roman"/>
          <w:sz w:val="22"/>
          <w:szCs w:val="22"/>
          <w:color w:val="auto"/>
          <w:vertAlign w:val="superscript"/>
        </w:rPr>
      </w:pPr>
    </w:p>
    <w:p>
      <w:pPr>
        <w:ind w:left="1500" w:hanging="369"/>
        <w:spacing w:after="0"/>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On April 7, 2023 the Bank entered into an amortizing swap transaction with an initial notional amount of $100.0 million whereby</w:t>
      </w:r>
    </w:p>
    <w:p>
      <w:pPr>
        <w:spacing w:after="0" w:line="9" w:lineRule="exact"/>
        <w:rPr>
          <w:rFonts w:ascii="Times New Roman" w:cs="Times New Roman" w:eastAsia="Times New Roman" w:hAnsi="Times New Roman"/>
          <w:sz w:val="18"/>
          <w:szCs w:val="18"/>
          <w:color w:val="auto"/>
        </w:rPr>
      </w:pPr>
    </w:p>
    <w:p>
      <w:pPr>
        <w:jc w:val="both"/>
        <w:ind w:left="150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Bank will receive on a monthly basis a rate equal to the prevailing 3-month SOFR based on the notional amount of the swap contract at the at the beginning of each month until the swap transaction expires in 2035. The notional amount of the swap declines monthly according to a predetermined amortization schedule and was $83.8 million at June 30, 2024. The Bank will pay a fixed rate of 3.208% to the contract's counterparty throughout the life of the contract based on a notional amount of the swap contract at the beginning of each month. The fair value of this swap contract was $3.1 million at June 30, 2024.</w:t>
      </w:r>
    </w:p>
    <w:p>
      <w:pPr>
        <w:spacing w:after="0" w:line="187" w:lineRule="exact"/>
        <w:rPr>
          <w:rFonts w:ascii="Times New Roman" w:cs="Times New Roman" w:eastAsia="Times New Roman" w:hAnsi="Times New Roman"/>
          <w:sz w:val="18"/>
          <w:szCs w:val="18"/>
          <w:color w:val="auto"/>
        </w:rPr>
      </w:pPr>
    </w:p>
    <w:p>
      <w:pPr>
        <w:ind w:left="1500" w:right="1360" w:hanging="369"/>
        <w:spacing w:after="0" w:line="253"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On December 7, 2023, the Bank entered into five fixed-pay interest rate swap contracts with a total notional amount of $50.0 million, whereby the Bank will receive 3-month SOFR monthly until the respective maturity dates of the contracts. The contracts</w:t>
      </w:r>
    </w:p>
    <w:p>
      <w:pPr>
        <w:jc w:val="both"/>
        <w:ind w:left="150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expire in annual increments on December 1 of 2025 ($5.0 million, fixed rate of 4.463%), 2026 ($5.0 million, fixed rate of 4.136%), 2027 ($10.0 million, fixed rate of 3.973%), 2028 ($15.0 million, fixed rate of 3.887%), and 2029 ($15.0 million, fixed rate of 3.845%). The fair value of these swap contracts in aggregate was $462,000 at June 30, 2024.</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hedging contracts accounted for as fair value hedges, increased the yield on investment securities and loans by 0.28% and 0.29%, respectively, in the six months ended June 30, 2024. The hedging contracts noted above, accounted for as fair value hedges, increased the yield on investment securities and loans by 0.25% and 0.18%, respectively, in the six months ended June 30,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summarize the net effects of the Company's fair value and cash flow hedges for the six months ended June 30, 2024 and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30, 2023, respectively: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6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50"/>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color w:val="auto"/>
              </w:rPr>
              <w:t>Six Months Ended June 30, 2024</w:t>
            </w:r>
          </w:p>
        </w:tc>
        <w:tc>
          <w:tcPr>
            <w:tcW w:w="2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r>
      <w:tr>
        <w:trPr>
          <w:trHeight w:val="211"/>
        </w:trPr>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Period Ending Notional</w:t>
            </w:r>
          </w:p>
        </w:tc>
        <w:tc>
          <w:tcPr>
            <w:tcW w:w="260" w:type="dxa"/>
            <w:vAlign w:val="bottom"/>
          </w:tcPr>
          <w:p>
            <w:pPr>
              <w:spacing w:after="0"/>
              <w:rPr>
                <w:sz w:val="18"/>
                <w:szCs w:val="18"/>
                <w:color w:val="auto"/>
              </w:rPr>
            </w:pPr>
          </w:p>
        </w:tc>
        <w:tc>
          <w:tcPr>
            <w:tcW w:w="1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Net Cash Received</w:t>
            </w:r>
          </w:p>
        </w:tc>
        <w:tc>
          <w:tcPr>
            <w:tcW w:w="260" w:type="dxa"/>
            <w:vAlign w:val="bottom"/>
          </w:tcPr>
          <w:p>
            <w:pPr>
              <w:spacing w:after="0"/>
              <w:rPr>
                <w:sz w:val="18"/>
                <w:szCs w:val="18"/>
                <w:color w:val="auto"/>
              </w:rPr>
            </w:pPr>
          </w:p>
        </w:tc>
        <w:tc>
          <w:tcPr>
            <w:tcW w:w="2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Fair Value Receivable at</w:t>
            </w:r>
          </w:p>
        </w:tc>
      </w:tr>
      <w:tr>
        <w:trPr>
          <w:trHeight w:val="241"/>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Hedge Category</w:t>
            </w:r>
          </w:p>
        </w:tc>
        <w:tc>
          <w:tcPr>
            <w:tcW w:w="6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Average Notional Balance</w:t>
            </w: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Balance</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Recorded In Net Income</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Period End</w:t>
            </w:r>
          </w:p>
        </w:tc>
      </w:tr>
      <w:tr>
        <w:trPr>
          <w:trHeight w:val="243"/>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85,101</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82,292</w:t>
            </w:r>
          </w:p>
        </w:tc>
        <w:tc>
          <w:tcPr>
            <w:tcW w:w="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3,565</w:t>
            </w:r>
          </w:p>
        </w:tc>
      </w:tr>
      <w:tr>
        <w:trPr>
          <w:trHeight w:val="239"/>
        </w:trPr>
        <w:tc>
          <w:tcPr>
            <w:tcW w:w="1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Loans</w:t>
            </w:r>
          </w:p>
        </w:tc>
        <w:tc>
          <w:tcPr>
            <w:tcW w:w="6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137,344</w:t>
            </w: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134,763</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3,573</w:t>
            </w:r>
          </w:p>
        </w:tc>
      </w:tr>
      <w:tr>
        <w:trPr>
          <w:trHeight w:val="277"/>
        </w:trPr>
        <w:tc>
          <w:tcPr>
            <w:tcW w:w="18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222,445</w:t>
            </w: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217,055</w:t>
            </w:r>
          </w:p>
        </w:tc>
        <w:tc>
          <w:tcPr>
            <w:tcW w:w="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7,138</w:t>
            </w:r>
          </w:p>
        </w:tc>
      </w:tr>
      <w:tr>
        <w:trPr>
          <w:trHeight w:val="707"/>
        </w:trPr>
        <w:tc>
          <w:tcPr>
            <w:tcW w:w="18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color w:val="auto"/>
              </w:rPr>
              <w:t>Six Months Ended June 30, 2023</w:t>
            </w: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211"/>
        </w:trPr>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Net Cash Received</w:t>
            </w:r>
          </w:p>
        </w:tc>
        <w:tc>
          <w:tcPr>
            <w:tcW w:w="260" w:type="dxa"/>
            <w:vAlign w:val="bottom"/>
          </w:tcPr>
          <w:p>
            <w:pPr>
              <w:spacing w:after="0"/>
              <w:rPr>
                <w:sz w:val="18"/>
                <w:szCs w:val="18"/>
                <w:color w:val="auto"/>
              </w:rPr>
            </w:pPr>
          </w:p>
        </w:tc>
        <w:tc>
          <w:tcPr>
            <w:tcW w:w="2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Fair Value Receivable at</w:t>
            </w:r>
          </w:p>
        </w:tc>
      </w:tr>
      <w:tr>
        <w:trPr>
          <w:trHeight w:val="241"/>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Hedge Category</w:t>
            </w:r>
          </w:p>
        </w:tc>
        <w:tc>
          <w:tcPr>
            <w:tcW w:w="6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Average Notional Balance</w:t>
            </w: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Ending Notional Balance</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Recorded In Net Income</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Period End</w:t>
            </w:r>
          </w:p>
        </w:tc>
      </w:tr>
      <w:tr>
        <w:trPr>
          <w:trHeight w:val="243"/>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54,574</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52,120</w:t>
            </w:r>
          </w:p>
        </w:tc>
        <w:tc>
          <w:tcPr>
            <w:tcW w:w="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6,080</w:t>
            </w:r>
          </w:p>
        </w:tc>
      </w:tr>
      <w:tr>
        <w:trPr>
          <w:trHeight w:val="239"/>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6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69,357</w:t>
            </w: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115,687</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3,742</w:t>
            </w:r>
          </w:p>
        </w:tc>
      </w:tr>
      <w:tr>
        <w:trPr>
          <w:trHeight w:val="277"/>
        </w:trPr>
        <w:tc>
          <w:tcPr>
            <w:tcW w:w="18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123,931</w:t>
            </w: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167,807</w:t>
            </w:r>
          </w:p>
        </w:tc>
        <w:tc>
          <w:tcPr>
            <w:tcW w:w="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9,822</w:t>
            </w:r>
          </w:p>
        </w:tc>
      </w:tr>
      <w:tr>
        <w:trPr>
          <w:trHeight w:val="44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18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color w:val="auto"/>
              </w:rPr>
              <w:t>Six Months Ended June 30, 2024</w:t>
            </w:r>
          </w:p>
        </w:tc>
        <w:tc>
          <w:tcPr>
            <w:tcW w:w="2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r>
      <w:tr>
        <w:trPr>
          <w:trHeight w:val="211"/>
        </w:trPr>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Net Cash Received</w:t>
            </w:r>
          </w:p>
        </w:tc>
        <w:tc>
          <w:tcPr>
            <w:tcW w:w="260" w:type="dxa"/>
            <w:vAlign w:val="bottom"/>
          </w:tcPr>
          <w:p>
            <w:pPr>
              <w:spacing w:after="0"/>
              <w:rPr>
                <w:sz w:val="18"/>
                <w:szCs w:val="18"/>
                <w:color w:val="auto"/>
              </w:rPr>
            </w:pPr>
          </w:p>
        </w:tc>
        <w:tc>
          <w:tcPr>
            <w:tcW w:w="2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Fair Value Receivable at</w:t>
            </w:r>
          </w:p>
        </w:tc>
      </w:tr>
      <w:tr>
        <w:trPr>
          <w:trHeight w:val="241"/>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Hedge Category</w:t>
            </w:r>
          </w:p>
        </w:tc>
        <w:tc>
          <w:tcPr>
            <w:tcW w:w="6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Average Notional Balance</w:t>
            </w: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Ending Notional Balance</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Recorded In Net Income</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Period End</w:t>
            </w:r>
          </w:p>
        </w:tc>
      </w:tr>
      <w:tr>
        <w:trPr>
          <w:trHeight w:val="279"/>
        </w:trPr>
        <w:tc>
          <w:tcPr>
            <w:tcW w:w="18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Borrowed Funds</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23,778</w:t>
            </w: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707"/>
        </w:trPr>
        <w:tc>
          <w:tcPr>
            <w:tcW w:w="18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color w:val="auto"/>
              </w:rPr>
              <w:t>Six Months Ended June 30, 2023</w:t>
            </w: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211"/>
        </w:trPr>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Net Cash Received</w:t>
            </w:r>
          </w:p>
        </w:tc>
        <w:tc>
          <w:tcPr>
            <w:tcW w:w="2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 Payable at Period</w:t>
            </w:r>
          </w:p>
        </w:tc>
      </w:tr>
      <w:tr>
        <w:trPr>
          <w:trHeight w:val="241"/>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Hedge Category</w:t>
            </w:r>
          </w:p>
        </w:tc>
        <w:tc>
          <w:tcPr>
            <w:tcW w:w="6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Average Notional Balance</w:t>
            </w: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Ending Notional Balance</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Recorded In Net Income</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End</w:t>
            </w:r>
          </w:p>
        </w:tc>
      </w:tr>
      <w:tr>
        <w:trPr>
          <w:trHeight w:val="279"/>
        </w:trPr>
        <w:tc>
          <w:tcPr>
            <w:tcW w:w="18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Borrowed Funds</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53,333</w:t>
            </w: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(99 )</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shows the pre-tax gains of the Company’s derivatives designated as cash flow hedges in AOCI at June 30, 2024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June 30, 2024</w:t>
            </w:r>
          </w:p>
        </w:tc>
        <w:tc>
          <w:tcPr>
            <w:tcW w:w="6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7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2080" w:type="dxa"/>
            <w:vAlign w:val="bottom"/>
            <w:shd w:val="clear" w:color="auto" w:fill="CFF0FC"/>
          </w:tcPr>
          <w:p>
            <w:pPr>
              <w:spacing w:after="0"/>
              <w:rPr>
                <w:sz w:val="23"/>
                <w:szCs w:val="23"/>
                <w:color w:val="auto"/>
              </w:rPr>
            </w:pPr>
          </w:p>
        </w:tc>
        <w:tc>
          <w:tcPr>
            <w:tcW w:w="1720" w:type="dxa"/>
            <w:vAlign w:val="bottom"/>
            <w:shd w:val="clear" w:color="auto" w:fill="CFF0FC"/>
          </w:tcPr>
          <w:p>
            <w:pPr>
              <w:spacing w:after="0"/>
              <w:rPr>
                <w:sz w:val="23"/>
                <w:szCs w:val="23"/>
                <w:color w:val="auto"/>
              </w:rPr>
            </w:pPr>
          </w:p>
        </w:tc>
        <w:tc>
          <w:tcPr>
            <w:tcW w:w="620" w:type="dxa"/>
            <w:vAlign w:val="bottom"/>
            <w:shd w:val="clear" w:color="auto" w:fill="CFF0FC"/>
          </w:tcPr>
          <w:p>
            <w:pPr>
              <w:spacing w:after="0"/>
              <w:rPr>
                <w:sz w:val="23"/>
                <w:szCs w:val="23"/>
                <w:color w:val="auto"/>
              </w:rPr>
            </w:pPr>
          </w:p>
        </w:tc>
        <w:tc>
          <w:tcPr>
            <w:tcW w:w="1900" w:type="dxa"/>
            <w:vAlign w:val="bottom"/>
            <w:shd w:val="clear" w:color="auto" w:fill="CFF0FC"/>
          </w:tcPr>
          <w:p>
            <w:pPr>
              <w:spacing w:after="0"/>
              <w:rPr>
                <w:sz w:val="23"/>
                <w:szCs w:val="23"/>
                <w:color w:val="auto"/>
              </w:rPr>
            </w:pPr>
          </w:p>
        </w:tc>
      </w:tr>
      <w:tr>
        <w:trPr>
          <w:trHeight w:val="263"/>
        </w:trPr>
        <w:tc>
          <w:tcPr>
            <w:tcW w:w="4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Fair market value adjustment interest rate swap</w:t>
            </w:r>
          </w:p>
        </w:tc>
        <w:tc>
          <w:tcPr>
            <w:tcW w:w="2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303"/>
        </w:trPr>
        <w:tc>
          <w:tcPr>
            <w:tcW w:w="49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gain in comprehensive income</w:t>
            </w:r>
          </w:p>
        </w:tc>
        <w:tc>
          <w:tcPr>
            <w:tcW w:w="20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bl>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April 17, 2024 the Bank elected to settle its previously established cash flow hedges designated against $40.0 million of floating-rate liabilities. This election was made in response to planned reductions in the Bank’s future levels of floating rate brokered certificates of deposit (CDs). Due to increases in interest rates since the inception dates of the cash flow hedges, the Bank realized a cash basis gain of $766,000 on that date, recorded for financial statement purposes, as a deferred gain in other assets. $458,000 of this gain will be recognized in substantially equal monthly installments through April 30, 2026 and $308,000 of this gain will be recognized in substantially equal monthly installments through April 30, 2027, which were the respective original maturity dates of the settled hedging contracts.</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amounts of hedge ineffectiveness, recognized at June 30, 2024 and December 31, 2023 for cash flow hedges were not material to the Company’s consolidated results of operations. A portion of, or the entire amount included in accumulated other comprehensive loss would be reclassified into current earnings should a portion of, or the entire hedge, no longer be considered effective. Management believes that the hedges will remain fully effective during the remaining term of the respective hedging contracts. The changes in the fair values of the interest rate hedging agreements primarily result from the effects of changing index interest rates and the reduction of the time each quarter between the measurement date and the contractual maturity date of the hedging instrument.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41" w:name="page42"/>
    <w:bookmarkEnd w:id="41"/>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manages its potential credit exposure on interest rate swap transactions by entering into bilateral credit support agreements with each contractual counterparty. These agreements require collateralization of credit exposures beyond specified minimum threshold amounts. Interest rate hedging agreements are entered into with counterparties that meet the Company's established credit standards and the agreements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at June 30, 2024.</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41</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2" w:name="page43"/>
    <w:bookmarkEnd w:id="42"/>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Accumulated Other Comprehensive (Loss) Income</w:t>
      </w:r>
    </w:p>
    <w:p>
      <w:pPr>
        <w:spacing w:after="0" w:line="233"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Changes in the components of accumulated other comprehensive (loss) income (“AOCI”), net of tax, for the periods indicated are summarized in the tables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6"/>
                <w:szCs w:val="16"/>
                <w:color w:val="auto"/>
              </w:rPr>
              <w:t>For the three months ended June 30, 2024</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6"/>
                <w:szCs w:val="16"/>
                <w:color w:val="auto"/>
              </w:rPr>
              <w:t>Net</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6"/>
                <w:szCs w:val="16"/>
                <w:color w:val="auto"/>
              </w:rPr>
              <w:t>Unrealized</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0" w:type="dxa"/>
            <w:vAlign w:val="bottom"/>
            <w:gridSpan w:val="2"/>
          </w:tcPr>
          <w:p>
            <w:pPr>
              <w:jc w:val="right"/>
              <w:ind w:right="134"/>
              <w:spacing w:after="0"/>
              <w:rPr>
                <w:sz w:val="20"/>
                <w:szCs w:val="20"/>
                <w:color w:val="auto"/>
              </w:rPr>
            </w:pPr>
            <w:r>
              <w:rPr>
                <w:rFonts w:ascii="Times New Roman" w:cs="Times New Roman" w:eastAsia="Times New Roman" w:hAnsi="Times New Roman"/>
                <w:sz w:val="16"/>
                <w:szCs w:val="16"/>
                <w:color w:val="auto"/>
              </w:rPr>
              <w:t>Unrealized Gain</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6"/>
                <w:szCs w:val="16"/>
                <w:color w:val="auto"/>
              </w:rPr>
              <w:t>Loss on</w:t>
            </w:r>
          </w:p>
        </w:tc>
        <w:tc>
          <w:tcPr>
            <w:tcW w:w="1660" w:type="dxa"/>
            <w:vAlign w:val="bottom"/>
            <w:gridSpan w:val="2"/>
          </w:tcPr>
          <w:p>
            <w:pPr>
              <w:jc w:val="right"/>
              <w:ind w:right="134"/>
              <w:spacing w:after="0"/>
              <w:rPr>
                <w:sz w:val="20"/>
                <w:szCs w:val="20"/>
                <w:color w:val="auto"/>
              </w:rPr>
            </w:pPr>
            <w:r>
              <w:rPr>
                <w:rFonts w:ascii="Times New Roman" w:cs="Times New Roman" w:eastAsia="Times New Roman" w:hAnsi="Times New Roman"/>
                <w:sz w:val="16"/>
                <w:szCs w:val="16"/>
                <w:color w:val="auto"/>
              </w:rPr>
              <w:t>Unrealized Loss on</w:t>
            </w:r>
          </w:p>
        </w:tc>
        <w:tc>
          <w:tcPr>
            <w:tcW w:w="220" w:type="dxa"/>
            <w:vAlign w:val="bottom"/>
          </w:tcPr>
          <w:p>
            <w:pPr>
              <w:spacing w:after="0"/>
              <w:rPr>
                <w:sz w:val="17"/>
                <w:szCs w:val="17"/>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6"/>
                <w:szCs w:val="16"/>
                <w:color w:val="auto"/>
              </w:rPr>
              <w:t>on Derivatives</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6"/>
                <w:szCs w:val="16"/>
                <w:color w:val="auto"/>
              </w:rPr>
              <w:t>Retirement</w:t>
            </w:r>
          </w:p>
        </w:tc>
        <w:tc>
          <w:tcPr>
            <w:tcW w:w="1660" w:type="dxa"/>
            <w:vAlign w:val="bottom"/>
            <w:gridSpan w:val="2"/>
          </w:tcPr>
          <w:p>
            <w:pPr>
              <w:jc w:val="right"/>
              <w:ind w:right="134"/>
              <w:spacing w:after="0"/>
              <w:rPr>
                <w:sz w:val="20"/>
                <w:szCs w:val="20"/>
                <w:color w:val="auto"/>
              </w:rPr>
            </w:pPr>
            <w:r>
              <w:rPr>
                <w:rFonts w:ascii="Times New Roman" w:cs="Times New Roman" w:eastAsia="Times New Roman" w:hAnsi="Times New Roman"/>
                <w:sz w:val="16"/>
                <w:szCs w:val="16"/>
                <w:color w:val="auto"/>
              </w:rPr>
              <w:t>Available-for-Sale</w:t>
            </w:r>
          </w:p>
        </w:tc>
        <w:tc>
          <w:tcPr>
            <w:tcW w:w="220" w:type="dxa"/>
            <w:vAlign w:val="bottom"/>
          </w:tcPr>
          <w:p>
            <w:pPr>
              <w:spacing w:after="0"/>
              <w:rPr>
                <w:sz w:val="17"/>
                <w:szCs w:val="17"/>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6"/>
                <w:szCs w:val="16"/>
                <w:color w:val="auto"/>
              </w:rPr>
              <w:t>and Hedging</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color w:val="auto"/>
              </w:rPr>
              <w:t>Plans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color w:val="auto"/>
              </w:rPr>
              <w:t>Securities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114"/>
              <w:spacing w:after="0"/>
              <w:rPr>
                <w:sz w:val="20"/>
                <w:szCs w:val="20"/>
                <w:color w:val="auto"/>
              </w:rPr>
            </w:pPr>
            <w:r>
              <w:rPr>
                <w:rFonts w:ascii="Times New Roman" w:cs="Times New Roman" w:eastAsia="Times New Roman" w:hAnsi="Times New Roman"/>
                <w:sz w:val="16"/>
                <w:szCs w:val="16"/>
                <w:color w:val="auto"/>
                <w:w w:val="99"/>
              </w:rPr>
              <w:t>Activities</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0"/>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3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(2,046 )</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6"/>
                <w:szCs w:val="16"/>
                <w:color w:val="auto"/>
              </w:rPr>
              <w:t>(7,227 )</w:t>
            </w:r>
          </w:p>
        </w:tc>
        <w:tc>
          <w:tcPr>
            <w:tcW w:w="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center"/>
              <w:ind w:left="494"/>
              <w:spacing w:after="0"/>
              <w:rPr>
                <w:sz w:val="20"/>
                <w:szCs w:val="20"/>
                <w:color w:val="auto"/>
              </w:rPr>
            </w:pPr>
            <w:r>
              <w:rPr>
                <w:rFonts w:ascii="Times New Roman" w:cs="Times New Roman" w:eastAsia="Times New Roman" w:hAnsi="Times New Roman"/>
                <w:sz w:val="16"/>
                <w:szCs w:val="16"/>
                <w:color w:val="auto"/>
                <w:w w:val="99"/>
              </w:rPr>
              <w:t>411</w:t>
            </w:r>
          </w:p>
        </w:tc>
        <w:tc>
          <w:tcPr>
            <w:tcW w:w="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(8,862 )</w:t>
            </w:r>
          </w:p>
        </w:tc>
        <w:tc>
          <w:tcPr>
            <w:tcW w:w="0" w:type="dxa"/>
            <w:vAlign w:val="bottom"/>
          </w:tcPr>
          <w:p>
            <w:pPr>
              <w:spacing w:after="0"/>
              <w:rPr>
                <w:sz w:val="1"/>
                <w:szCs w:val="1"/>
                <w:color w:val="auto"/>
              </w:rPr>
            </w:pPr>
          </w:p>
        </w:tc>
      </w:tr>
      <w:tr>
        <w:trPr>
          <w:trHeight w:val="23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6"/>
                <w:szCs w:val="16"/>
                <w:color w:val="auto"/>
              </w:rPr>
              <w:t>(47 )</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jc w:val="center"/>
              <w:ind w:left="494"/>
              <w:spacing w:after="0"/>
              <w:rPr>
                <w:sz w:val="20"/>
                <w:szCs w:val="20"/>
                <w:color w:val="auto"/>
              </w:rPr>
            </w:pPr>
            <w:r>
              <w:rPr>
                <w:rFonts w:ascii="Times New Roman" w:cs="Times New Roman" w:eastAsia="Times New Roman" w:hAnsi="Times New Roman"/>
                <w:sz w:val="16"/>
                <w:szCs w:val="16"/>
                <w:color w:val="auto"/>
                <w:w w:val="99"/>
              </w:rPr>
              <w:t>106</w:t>
            </w: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color w:val="auto"/>
              </w:rPr>
              <w:t>(11 )</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63"/>
        </w:trPr>
        <w:tc>
          <w:tcPr>
            <w:tcW w:w="4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320" w:type="dxa"/>
            <w:vAlign w:val="bottom"/>
            <w:tcBorders>
              <w:bottom w:val="single" w:sz="8" w:color="auto"/>
            </w:tcBorders>
            <w:gridSpan w:val="2"/>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(2,018 )</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6"/>
                <w:szCs w:val="16"/>
                <w:color w:val="auto"/>
              </w:rPr>
              <w:t>(7,285 )</w:t>
            </w:r>
          </w:p>
        </w:tc>
        <w:tc>
          <w:tcPr>
            <w:tcW w:w="2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center"/>
              <w:ind w:left="494"/>
              <w:spacing w:after="0"/>
              <w:rPr>
                <w:sz w:val="20"/>
                <w:szCs w:val="20"/>
                <w:color w:val="auto"/>
              </w:rPr>
            </w:pPr>
            <w:r>
              <w:rPr>
                <w:rFonts w:ascii="Times New Roman" w:cs="Times New Roman" w:eastAsia="Times New Roman" w:hAnsi="Times New Roman"/>
                <w:sz w:val="16"/>
                <w:szCs w:val="16"/>
                <w:color w:val="auto"/>
                <w:w w:val="99"/>
              </w:rPr>
              <w:t>517</w:t>
            </w:r>
          </w:p>
        </w:tc>
        <w:tc>
          <w:tcPr>
            <w:tcW w:w="3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(8,786 )</w:t>
            </w:r>
          </w:p>
        </w:tc>
        <w:tc>
          <w:tcPr>
            <w:tcW w:w="0" w:type="dxa"/>
            <w:vAlign w:val="bottom"/>
          </w:tcPr>
          <w:p>
            <w:pPr>
              <w:spacing w:after="0"/>
              <w:rPr>
                <w:sz w:val="1"/>
                <w:szCs w:val="1"/>
                <w:color w:val="auto"/>
              </w:rPr>
            </w:pPr>
          </w:p>
        </w:tc>
      </w:tr>
      <w:tr>
        <w:trPr>
          <w:trHeight w:val="413"/>
        </w:trPr>
        <w:tc>
          <w:tcPr>
            <w:tcW w:w="4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6"/>
                <w:szCs w:val="16"/>
                <w:color w:val="auto"/>
              </w:rPr>
              <w:t>For the three months ended June 30, 2023</w:t>
            </w: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6"/>
                <w:szCs w:val="16"/>
                <w:color w:val="auto"/>
              </w:rPr>
              <w:t>Net</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6"/>
                <w:szCs w:val="16"/>
                <w:color w:val="auto"/>
              </w:rPr>
              <w:t>Unrealized</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0" w:type="dxa"/>
            <w:vAlign w:val="bottom"/>
            <w:gridSpan w:val="2"/>
          </w:tcPr>
          <w:p>
            <w:pPr>
              <w:jc w:val="right"/>
              <w:ind w:right="134"/>
              <w:spacing w:after="0"/>
              <w:rPr>
                <w:sz w:val="20"/>
                <w:szCs w:val="20"/>
                <w:color w:val="auto"/>
              </w:rPr>
            </w:pPr>
            <w:r>
              <w:rPr>
                <w:rFonts w:ascii="Times New Roman" w:cs="Times New Roman" w:eastAsia="Times New Roman" w:hAnsi="Times New Roman"/>
                <w:sz w:val="16"/>
                <w:szCs w:val="16"/>
                <w:color w:val="auto"/>
              </w:rPr>
              <w:t>Unrealized Gain</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6"/>
                <w:szCs w:val="16"/>
                <w:color w:val="auto"/>
              </w:rPr>
              <w:t>Loss on</w:t>
            </w:r>
          </w:p>
        </w:tc>
        <w:tc>
          <w:tcPr>
            <w:tcW w:w="1660" w:type="dxa"/>
            <w:vAlign w:val="bottom"/>
            <w:gridSpan w:val="2"/>
          </w:tcPr>
          <w:p>
            <w:pPr>
              <w:jc w:val="right"/>
              <w:ind w:right="134"/>
              <w:spacing w:after="0"/>
              <w:rPr>
                <w:sz w:val="20"/>
                <w:szCs w:val="20"/>
                <w:color w:val="auto"/>
              </w:rPr>
            </w:pPr>
            <w:r>
              <w:rPr>
                <w:rFonts w:ascii="Times New Roman" w:cs="Times New Roman" w:eastAsia="Times New Roman" w:hAnsi="Times New Roman"/>
                <w:sz w:val="16"/>
                <w:szCs w:val="16"/>
                <w:color w:val="auto"/>
              </w:rPr>
              <w:t>Unrealized Loss on</w:t>
            </w:r>
          </w:p>
        </w:tc>
        <w:tc>
          <w:tcPr>
            <w:tcW w:w="220" w:type="dxa"/>
            <w:vAlign w:val="bottom"/>
          </w:tcPr>
          <w:p>
            <w:pPr>
              <w:spacing w:after="0"/>
              <w:rPr>
                <w:sz w:val="17"/>
                <w:szCs w:val="17"/>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6"/>
                <w:szCs w:val="16"/>
                <w:color w:val="auto"/>
              </w:rPr>
              <w:t>on Derivatives</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6"/>
                <w:szCs w:val="16"/>
                <w:color w:val="auto"/>
              </w:rPr>
              <w:t>Retirement</w:t>
            </w:r>
          </w:p>
        </w:tc>
        <w:tc>
          <w:tcPr>
            <w:tcW w:w="1660" w:type="dxa"/>
            <w:vAlign w:val="bottom"/>
            <w:gridSpan w:val="2"/>
          </w:tcPr>
          <w:p>
            <w:pPr>
              <w:jc w:val="right"/>
              <w:ind w:right="134"/>
              <w:spacing w:after="0"/>
              <w:rPr>
                <w:sz w:val="20"/>
                <w:szCs w:val="20"/>
                <w:color w:val="auto"/>
              </w:rPr>
            </w:pPr>
            <w:r>
              <w:rPr>
                <w:rFonts w:ascii="Times New Roman" w:cs="Times New Roman" w:eastAsia="Times New Roman" w:hAnsi="Times New Roman"/>
                <w:sz w:val="16"/>
                <w:szCs w:val="16"/>
                <w:color w:val="auto"/>
              </w:rPr>
              <w:t>Available-for-Sale</w:t>
            </w:r>
          </w:p>
        </w:tc>
        <w:tc>
          <w:tcPr>
            <w:tcW w:w="220" w:type="dxa"/>
            <w:vAlign w:val="bottom"/>
          </w:tcPr>
          <w:p>
            <w:pPr>
              <w:spacing w:after="0"/>
              <w:rPr>
                <w:sz w:val="17"/>
                <w:szCs w:val="17"/>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6"/>
                <w:szCs w:val="16"/>
                <w:color w:val="auto"/>
              </w:rPr>
              <w:t>and Hedging</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color w:val="auto"/>
              </w:rPr>
              <w:t>Plans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color w:val="auto"/>
              </w:rPr>
              <w:t>Securities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114"/>
              <w:spacing w:after="0"/>
              <w:rPr>
                <w:sz w:val="20"/>
                <w:szCs w:val="20"/>
                <w:color w:val="auto"/>
              </w:rPr>
            </w:pPr>
            <w:r>
              <w:rPr>
                <w:rFonts w:ascii="Times New Roman" w:cs="Times New Roman" w:eastAsia="Times New Roman" w:hAnsi="Times New Roman"/>
                <w:sz w:val="16"/>
                <w:szCs w:val="16"/>
                <w:color w:val="auto"/>
                <w:w w:val="99"/>
              </w:rPr>
              <w:t>Activities</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0"/>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3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(2,386 )</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6"/>
                <w:szCs w:val="16"/>
                <w:color w:val="auto"/>
              </w:rPr>
              <w:t>(9,075 )</w:t>
            </w:r>
          </w:p>
        </w:tc>
        <w:tc>
          <w:tcPr>
            <w:tcW w:w="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6"/>
                <w:szCs w:val="16"/>
                <w:color w:val="auto"/>
              </w:rPr>
              <w:t>(73 )</w:t>
            </w:r>
          </w:p>
        </w:tc>
        <w:tc>
          <w:tcPr>
            <w:tcW w:w="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(11,534 )</w:t>
            </w:r>
          </w:p>
        </w:tc>
        <w:tc>
          <w:tcPr>
            <w:tcW w:w="0" w:type="dxa"/>
            <w:vAlign w:val="bottom"/>
          </w:tcPr>
          <w:p>
            <w:pPr>
              <w:spacing w:after="0"/>
              <w:rPr>
                <w:sz w:val="1"/>
                <w:szCs w:val="1"/>
                <w:color w:val="auto"/>
              </w:rPr>
            </w:pPr>
          </w:p>
        </w:tc>
      </w:tr>
      <w:tr>
        <w:trPr>
          <w:trHeight w:val="23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6"/>
                <w:szCs w:val="16"/>
                <w:color w:val="auto"/>
              </w:rPr>
              <w:t>(420 )</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jc w:val="center"/>
              <w:ind w:left="494"/>
              <w:spacing w:after="0"/>
              <w:rPr>
                <w:sz w:val="20"/>
                <w:szCs w:val="20"/>
                <w:color w:val="auto"/>
              </w:rPr>
            </w:pPr>
            <w:r>
              <w:rPr>
                <w:rFonts w:ascii="Times New Roman" w:cs="Times New Roman" w:eastAsia="Times New Roman" w:hAnsi="Times New Roman"/>
                <w:sz w:val="16"/>
                <w:szCs w:val="16"/>
                <w:color w:val="auto"/>
                <w:w w:val="99"/>
              </w:rPr>
              <w:t>543</w:t>
            </w: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color w:val="auto"/>
              </w:rPr>
              <w:t>41</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63"/>
        </w:trPr>
        <w:tc>
          <w:tcPr>
            <w:tcW w:w="4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320" w:type="dxa"/>
            <w:vAlign w:val="bottom"/>
            <w:tcBorders>
              <w:bottom w:val="single" w:sz="8" w:color="auto"/>
            </w:tcBorders>
            <w:gridSpan w:val="2"/>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(2,345 )</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6"/>
                <w:szCs w:val="16"/>
                <w:color w:val="auto"/>
              </w:rPr>
              <w:t>(9,495 )</w:t>
            </w:r>
          </w:p>
        </w:tc>
        <w:tc>
          <w:tcPr>
            <w:tcW w:w="2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center"/>
              <w:ind w:left="494"/>
              <w:spacing w:after="0"/>
              <w:rPr>
                <w:sz w:val="20"/>
                <w:szCs w:val="20"/>
                <w:color w:val="auto"/>
              </w:rPr>
            </w:pPr>
            <w:r>
              <w:rPr>
                <w:rFonts w:ascii="Times New Roman" w:cs="Times New Roman" w:eastAsia="Times New Roman" w:hAnsi="Times New Roman"/>
                <w:sz w:val="16"/>
                <w:szCs w:val="16"/>
                <w:color w:val="auto"/>
                <w:w w:val="99"/>
              </w:rPr>
              <w:t>470</w:t>
            </w:r>
          </w:p>
        </w:tc>
        <w:tc>
          <w:tcPr>
            <w:tcW w:w="3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(11,370 )</w:t>
            </w:r>
          </w:p>
        </w:tc>
        <w:tc>
          <w:tcPr>
            <w:tcW w:w="0" w:type="dxa"/>
            <w:vAlign w:val="bottom"/>
          </w:tcPr>
          <w:p>
            <w:pPr>
              <w:spacing w:after="0"/>
              <w:rPr>
                <w:sz w:val="1"/>
                <w:szCs w:val="1"/>
                <w:color w:val="auto"/>
              </w:rPr>
            </w:pPr>
          </w:p>
        </w:tc>
      </w:tr>
      <w:tr>
        <w:trPr>
          <w:trHeight w:val="453"/>
        </w:trPr>
        <w:tc>
          <w:tcPr>
            <w:tcW w:w="4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8"/>
                <w:szCs w:val="18"/>
                <w:color w:val="auto"/>
              </w:rPr>
              <w:t>For the six months ended June 30, 2024</w:t>
            </w: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Unrealized</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Unrealized</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Gain on</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Loss on</w:t>
            </w:r>
          </w:p>
        </w:tc>
        <w:tc>
          <w:tcPr>
            <w:tcW w:w="260" w:type="dxa"/>
            <w:vAlign w:val="bottom"/>
          </w:tcPr>
          <w:p>
            <w:pPr>
              <w:spacing w:after="0"/>
              <w:rPr>
                <w:sz w:val="18"/>
                <w:szCs w:val="18"/>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98"/>
              </w:rPr>
              <w:t>Unrealized Loss</w:t>
            </w:r>
          </w:p>
        </w:tc>
        <w:tc>
          <w:tcPr>
            <w:tcW w:w="220" w:type="dxa"/>
            <w:vAlign w:val="bottom"/>
          </w:tcPr>
          <w:p>
            <w:pPr>
              <w:spacing w:after="0"/>
              <w:rPr>
                <w:sz w:val="18"/>
                <w:szCs w:val="18"/>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Derivatives</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Retirement</w:t>
            </w:r>
          </w:p>
        </w:tc>
        <w:tc>
          <w:tcPr>
            <w:tcW w:w="166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on Available-for-</w:t>
            </w:r>
          </w:p>
        </w:tc>
        <w:tc>
          <w:tcPr>
            <w:tcW w:w="220" w:type="dxa"/>
            <w:vAlign w:val="bottom"/>
          </w:tcPr>
          <w:p>
            <w:pPr>
              <w:spacing w:after="0"/>
              <w:rPr>
                <w:sz w:val="18"/>
                <w:szCs w:val="18"/>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and Hedging</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Plans</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Sale Securities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8"/>
                <w:szCs w:val="18"/>
                <w:color w:val="auto"/>
                <w:w w:val="99"/>
              </w:rPr>
              <w:t>Activities</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3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(7,564 )</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(9,605 )</w:t>
            </w:r>
          </w:p>
        </w:tc>
        <w:tc>
          <w:tcPr>
            <w:tcW w:w="0" w:type="dxa"/>
            <w:vAlign w:val="bottom"/>
          </w:tcPr>
          <w:p>
            <w:pPr>
              <w:spacing w:after="0"/>
              <w:rPr>
                <w:sz w:val="1"/>
                <w:szCs w:val="1"/>
                <w:color w:val="auto"/>
              </w:rPr>
            </w:pPr>
          </w:p>
        </w:tc>
      </w:tr>
      <w:tr>
        <w:trPr>
          <w:trHeight w:val="247"/>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center"/>
              <w:ind w:left="494"/>
              <w:spacing w:after="0"/>
              <w:rPr>
                <w:sz w:val="20"/>
                <w:szCs w:val="20"/>
                <w:color w:val="auto"/>
              </w:rPr>
            </w:pPr>
            <w:r>
              <w:rPr>
                <w:rFonts w:ascii="Times New Roman" w:cs="Times New Roman" w:eastAsia="Times New Roman" w:hAnsi="Times New Roman"/>
                <w:sz w:val="18"/>
                <w:szCs w:val="18"/>
                <w:color w:val="auto"/>
              </w:rPr>
              <w:t>485</w:t>
            </w: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39"/>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77"/>
        </w:trPr>
        <w:tc>
          <w:tcPr>
            <w:tcW w:w="4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320" w:type="dxa"/>
            <w:vAlign w:val="bottom"/>
            <w:tcBorders>
              <w:bottom w:val="single" w:sz="8" w:color="auto"/>
            </w:tcBorders>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(2,018 )</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(7,285 )</w:t>
            </w:r>
          </w:p>
        </w:tc>
        <w:tc>
          <w:tcPr>
            <w:tcW w:w="2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center"/>
              <w:ind w:left="494"/>
              <w:spacing w:after="0"/>
              <w:rPr>
                <w:sz w:val="20"/>
                <w:szCs w:val="20"/>
                <w:color w:val="auto"/>
              </w:rPr>
            </w:pPr>
            <w:r>
              <w:rPr>
                <w:rFonts w:ascii="Times New Roman" w:cs="Times New Roman" w:eastAsia="Times New Roman" w:hAnsi="Times New Roman"/>
                <w:sz w:val="18"/>
                <w:szCs w:val="18"/>
                <w:color w:val="auto"/>
              </w:rPr>
              <w:t>517</w:t>
            </w:r>
          </w:p>
        </w:tc>
        <w:tc>
          <w:tcPr>
            <w:tcW w:w="3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(8,786 )</w:t>
            </w:r>
          </w:p>
        </w:tc>
        <w:tc>
          <w:tcPr>
            <w:tcW w:w="0" w:type="dxa"/>
            <w:vAlign w:val="bottom"/>
          </w:tcPr>
          <w:p>
            <w:pPr>
              <w:spacing w:after="0"/>
              <w:rPr>
                <w:sz w:val="1"/>
                <w:szCs w:val="1"/>
                <w:color w:val="auto"/>
              </w:rPr>
            </w:pPr>
          </w:p>
        </w:tc>
      </w:tr>
      <w:tr>
        <w:trPr>
          <w:trHeight w:val="451"/>
        </w:trPr>
        <w:tc>
          <w:tcPr>
            <w:tcW w:w="4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8"/>
                <w:szCs w:val="18"/>
                <w:color w:val="auto"/>
              </w:rPr>
              <w:t>For the six months ended June 30, 2023</w:t>
            </w: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Unrealized</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Unrealized</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Gain on</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Loss on</w:t>
            </w:r>
          </w:p>
        </w:tc>
        <w:tc>
          <w:tcPr>
            <w:tcW w:w="260" w:type="dxa"/>
            <w:vAlign w:val="bottom"/>
          </w:tcPr>
          <w:p>
            <w:pPr>
              <w:spacing w:after="0"/>
              <w:rPr>
                <w:sz w:val="18"/>
                <w:szCs w:val="18"/>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98"/>
              </w:rPr>
              <w:t>Unrealized Loss</w:t>
            </w:r>
          </w:p>
        </w:tc>
        <w:tc>
          <w:tcPr>
            <w:tcW w:w="220" w:type="dxa"/>
            <w:vAlign w:val="bottom"/>
          </w:tcPr>
          <w:p>
            <w:pPr>
              <w:spacing w:after="0"/>
              <w:rPr>
                <w:sz w:val="18"/>
                <w:szCs w:val="18"/>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Derivatives</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Retirement</w:t>
            </w:r>
          </w:p>
        </w:tc>
        <w:tc>
          <w:tcPr>
            <w:tcW w:w="166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on Available-for-</w:t>
            </w:r>
          </w:p>
        </w:tc>
        <w:tc>
          <w:tcPr>
            <w:tcW w:w="220" w:type="dxa"/>
            <w:vAlign w:val="bottom"/>
          </w:tcPr>
          <w:p>
            <w:pPr>
              <w:spacing w:after="0"/>
              <w:rPr>
                <w:sz w:val="18"/>
                <w:szCs w:val="18"/>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and Hedging</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Plans</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Sale Securities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8"/>
                <w:szCs w:val="18"/>
                <w:color w:val="auto"/>
                <w:w w:val="99"/>
              </w:rPr>
              <w:t>Activities</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3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(10,127 )</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center"/>
              <w:ind w:left="494"/>
              <w:spacing w:after="0"/>
              <w:rPr>
                <w:sz w:val="20"/>
                <w:szCs w:val="20"/>
                <w:color w:val="auto"/>
              </w:rPr>
            </w:pPr>
            <w:r>
              <w:rPr>
                <w:rFonts w:ascii="Times New Roman" w:cs="Times New Roman" w:eastAsia="Times New Roman" w:hAnsi="Times New Roman"/>
                <w:sz w:val="18"/>
                <w:szCs w:val="18"/>
                <w:color w:val="auto"/>
              </w:rPr>
              <w:t>382</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(12,172 )</w:t>
            </w:r>
          </w:p>
        </w:tc>
        <w:tc>
          <w:tcPr>
            <w:tcW w:w="0" w:type="dxa"/>
            <w:vAlign w:val="bottom"/>
          </w:tcPr>
          <w:p>
            <w:pPr>
              <w:spacing w:after="0"/>
              <w:rPr>
                <w:sz w:val="1"/>
                <w:szCs w:val="1"/>
                <w:color w:val="auto"/>
              </w:rPr>
            </w:pPr>
          </w:p>
        </w:tc>
      </w:tr>
      <w:tr>
        <w:trPr>
          <w:trHeight w:val="247"/>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(796 )</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(708 )</w:t>
            </w:r>
          </w:p>
        </w:tc>
        <w:tc>
          <w:tcPr>
            <w:tcW w:w="0" w:type="dxa"/>
            <w:vAlign w:val="bottom"/>
          </w:tcPr>
          <w:p>
            <w:pPr>
              <w:spacing w:after="0"/>
              <w:rPr>
                <w:sz w:val="1"/>
                <w:szCs w:val="1"/>
                <w:color w:val="auto"/>
              </w:rPr>
            </w:pPr>
          </w:p>
        </w:tc>
      </w:tr>
      <w:tr>
        <w:trPr>
          <w:trHeight w:val="239"/>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1,428</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76"/>
        </w:trPr>
        <w:tc>
          <w:tcPr>
            <w:tcW w:w="4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320" w:type="dxa"/>
            <w:vAlign w:val="bottom"/>
            <w:tcBorders>
              <w:bottom w:val="single" w:sz="8" w:color="auto"/>
            </w:tcBorders>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(2,345 )</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(9,495 )</w:t>
            </w:r>
          </w:p>
        </w:tc>
        <w:tc>
          <w:tcPr>
            <w:tcW w:w="2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center"/>
              <w:ind w:left="494"/>
              <w:spacing w:after="0"/>
              <w:rPr>
                <w:sz w:val="20"/>
                <w:szCs w:val="20"/>
                <w:color w:val="auto"/>
              </w:rPr>
            </w:pPr>
            <w:r>
              <w:rPr>
                <w:rFonts w:ascii="Times New Roman" w:cs="Times New Roman" w:eastAsia="Times New Roman" w:hAnsi="Times New Roman"/>
                <w:sz w:val="18"/>
                <w:szCs w:val="18"/>
                <w:color w:val="auto"/>
              </w:rPr>
              <w:t>470</w:t>
            </w:r>
          </w:p>
        </w:tc>
        <w:tc>
          <w:tcPr>
            <w:tcW w:w="3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(11,370 )</w:t>
            </w:r>
          </w:p>
        </w:tc>
        <w:tc>
          <w:tcPr>
            <w:tcW w:w="0" w:type="dxa"/>
            <w:vAlign w:val="bottom"/>
          </w:tcPr>
          <w:p>
            <w:pPr>
              <w:spacing w:after="0"/>
              <w:rPr>
                <w:sz w:val="1"/>
                <w:szCs w:val="1"/>
                <w:color w:val="auto"/>
              </w:rPr>
            </w:pPr>
          </w:p>
        </w:tc>
      </w:tr>
      <w:tr>
        <w:trPr>
          <w:trHeight w:val="646"/>
        </w:trPr>
        <w:tc>
          <w:tcPr>
            <w:tcW w:w="4860" w:type="dxa"/>
            <w:vAlign w:val="bottom"/>
          </w:tcPr>
          <w:p>
            <w:pPr>
              <w:spacing w:after="0"/>
              <w:rPr>
                <w:sz w:val="24"/>
                <w:szCs w:val="24"/>
                <w:color w:val="auto"/>
              </w:rPr>
            </w:pP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42</w:t>
            </w:r>
            <w:r>
              <w:rPr>
                <w:rFonts w:ascii="Times New Roman" w:cs="Times New Roman" w:eastAsia="Times New Roman" w:hAnsi="Times New Roman"/>
                <w:sz w:val="18"/>
                <w:szCs w:val="18"/>
                <w:color w:val="auto"/>
              </w:rPr>
              <w:t xml:space="preserve"> -</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color w:val="auto"/>
        </w:rPr>
        <w:t>The following table presents the amounts reclassified out of each component of AOCI for the indicated periods: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Amount Reclassified</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8"/>
              </w:rPr>
              <w:t>Amount Reclassified</w:t>
            </w:r>
          </w:p>
        </w:tc>
      </w:tr>
      <w:tr>
        <w:trPr>
          <w:trHeight w:val="243"/>
        </w:trPr>
        <w:tc>
          <w:tcPr>
            <w:tcW w:w="29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from AOCI (1)</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from AOCI (1)</w:t>
            </w:r>
          </w:p>
        </w:tc>
      </w:tr>
      <w:tr>
        <w:trPr>
          <w:trHeight w:val="250"/>
        </w:trPr>
        <w:tc>
          <w:tcPr>
            <w:tcW w:w="29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(Unaudited)</w:t>
            </w:r>
          </w:p>
        </w:tc>
        <w:tc>
          <w:tcPr>
            <w:tcW w:w="4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8"/>
              </w:rPr>
              <w:t>(Unaudited)</w:t>
            </w:r>
          </w:p>
        </w:tc>
      </w:tr>
      <w:tr>
        <w:trPr>
          <w:trHeight w:val="239"/>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8"/>
                <w:szCs w:val="18"/>
                <w:color w:val="auto"/>
                <w:w w:val="99"/>
              </w:rPr>
              <w:t>For the 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9"/>
              </w:rPr>
              <w:t>For the six months ended</w:t>
            </w:r>
          </w:p>
        </w:tc>
      </w:tr>
      <w:tr>
        <w:trPr>
          <w:trHeight w:val="209"/>
        </w:trPr>
        <w:tc>
          <w:tcPr>
            <w:tcW w:w="2940" w:type="dxa"/>
            <w:vAlign w:val="bottom"/>
          </w:tcPr>
          <w:p>
            <w:pPr>
              <w:spacing w:after="0"/>
              <w:rPr>
                <w:sz w:val="18"/>
                <w:szCs w:val="18"/>
                <w:color w:val="auto"/>
              </w:rPr>
            </w:pP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Affected Line Item in the Statement of</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June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June 30,</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June 30,</w:t>
            </w:r>
          </w:p>
        </w:tc>
      </w:tr>
      <w:tr>
        <w:trPr>
          <w:trHeight w:val="241"/>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Details about AOCI (1) components</w:t>
            </w:r>
          </w:p>
        </w:tc>
        <w:tc>
          <w:tcPr>
            <w:tcW w:w="3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Income</w:t>
            </w: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June 30, 2024</w:t>
            </w:r>
          </w:p>
        </w:tc>
        <w:tc>
          <w:tcPr>
            <w:tcW w:w="6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4"/>
              </w:rPr>
              <w:t>2023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r>
      <w:tr>
        <w:trPr>
          <w:trHeight w:val="243"/>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Retirement plan items</w:t>
            </w:r>
          </w:p>
        </w:tc>
        <w:tc>
          <w:tcPr>
            <w:tcW w:w="3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r>
      <w:tr>
        <w:trPr>
          <w:trHeight w:val="211"/>
        </w:trPr>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Retirement plan net (losses)</w:t>
            </w: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1"/>
        </w:trPr>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recognized in plan expenses (2)</w:t>
            </w:r>
          </w:p>
        </w:tc>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(75 )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45"/>
        </w:trPr>
        <w:tc>
          <w:tcPr>
            <w:tcW w:w="29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effect</w:t>
            </w:r>
          </w:p>
        </w:tc>
        <w:tc>
          <w:tcPr>
            <w:tcW w:w="354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20</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r>
      <w:tr>
        <w:trPr>
          <w:trHeight w:val="236"/>
        </w:trPr>
        <w:tc>
          <w:tcPr>
            <w:tcW w:w="29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6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(55 )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8"/>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11"/>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 (losses) on sale of</w:t>
            </w:r>
          </w:p>
        </w:tc>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gains on sales and redemptions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1"/>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of investment securities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(139 )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(1,933 )</w:t>
            </w:r>
          </w:p>
        </w:tc>
      </w:tr>
      <w:tr>
        <w:trPr>
          <w:trHeight w:val="245"/>
        </w:trPr>
        <w:tc>
          <w:tcPr>
            <w:tcW w:w="29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effect</w:t>
            </w:r>
          </w:p>
        </w:tc>
        <w:tc>
          <w:tcPr>
            <w:tcW w:w="354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6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36</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505</w:t>
            </w:r>
          </w:p>
        </w:tc>
      </w:tr>
      <w:tr>
        <w:trPr>
          <w:trHeight w:val="237"/>
        </w:trPr>
        <w:tc>
          <w:tcPr>
            <w:tcW w:w="29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6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(103 )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(1,428 )</w:t>
            </w: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parentheses indicates debits in net income.</w:t>
      </w:r>
    </w:p>
    <w:p>
      <w:pPr>
        <w:spacing w:after="0" w:line="26" w:lineRule="exact"/>
        <w:rPr>
          <w:rFonts w:ascii="Times New Roman" w:cs="Times New Roman" w:eastAsia="Times New Roman" w:hAnsi="Times New Roman"/>
          <w:sz w:val="16"/>
          <w:szCs w:val="16"/>
          <w:color w:val="auto"/>
        </w:rPr>
      </w:pPr>
    </w:p>
    <w:p>
      <w:pPr>
        <w:ind w:left="380" w:right="7380" w:hanging="372"/>
        <w:spacing w:after="0" w:line="288" w:lineRule="auto"/>
        <w:tabs>
          <w:tab w:leader="none" w:pos="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items are included in net periodic pension cost. See Note 5 for additional information.</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4" w:name="page45"/>
    <w:bookmarkEnd w:id="44"/>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Noninterest Income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included the following table regarding the Company’s noninterest income for the periods presented.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624"/>
              <w:spacing w:after="0"/>
              <w:rPr>
                <w:sz w:val="20"/>
                <w:szCs w:val="20"/>
                <w:color w:val="auto"/>
              </w:rPr>
            </w:pPr>
            <w:r>
              <w:rPr>
                <w:rFonts w:ascii="Times New Roman" w:cs="Times New Roman" w:eastAsia="Times New Roman" w:hAnsi="Times New Roman"/>
                <w:sz w:val="15"/>
                <w:szCs w:val="15"/>
                <w:color w:val="auto"/>
              </w:rPr>
              <w:t>For the three months ended</w:t>
            </w: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564"/>
              <w:spacing w:after="0"/>
              <w:rPr>
                <w:sz w:val="20"/>
                <w:szCs w:val="20"/>
                <w:color w:val="auto"/>
              </w:rPr>
            </w:pPr>
            <w:r>
              <w:rPr>
                <w:rFonts w:ascii="Times New Roman" w:cs="Times New Roman" w:eastAsia="Times New Roman" w:hAnsi="Times New Roman"/>
                <w:sz w:val="15"/>
                <w:szCs w:val="15"/>
                <w:color w:val="auto"/>
              </w:rPr>
              <w:t>For six months ended</w:t>
            </w:r>
          </w:p>
        </w:tc>
      </w:tr>
      <w:tr>
        <w:trPr>
          <w:trHeight w:val="183"/>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June 30, 2024</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June 30, 2023</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June 30, 2024</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June 30, 2023</w:t>
            </w:r>
          </w:p>
        </w:tc>
      </w:tr>
      <w:tr>
        <w:trPr>
          <w:trHeight w:val="18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Service charges on deposit accounts</w:t>
            </w: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89"/>
        </w:trPr>
        <w:tc>
          <w:tcPr>
            <w:tcW w:w="5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Insufficient funds fees</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194</w:t>
            </w:r>
          </w:p>
        </w:tc>
        <w:tc>
          <w:tcPr>
            <w:tcW w:w="3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163</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373</w:t>
            </w:r>
          </w:p>
        </w:tc>
        <w:tc>
          <w:tcPr>
            <w:tcW w:w="2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307</w:t>
            </w:r>
          </w:p>
        </w:tc>
      </w:tr>
      <w:tr>
        <w:trPr>
          <w:trHeight w:val="189"/>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Deposit related fees</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114</w:t>
            </w: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112</w:t>
            </w: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223</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209</w:t>
            </w:r>
          </w:p>
        </w:tc>
      </w:tr>
      <w:tr>
        <w:trPr>
          <w:trHeight w:val="189"/>
        </w:trPr>
        <w:tc>
          <w:tcPr>
            <w:tcW w:w="5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ATM fees</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22</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28</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43</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54</w:t>
            </w:r>
          </w:p>
        </w:tc>
      </w:tr>
      <w:tr>
        <w:trPr>
          <w:trHeight w:val="183"/>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Total service charges on deposit accounts</w:t>
            </w: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330</w:t>
            </w: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303</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639</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570</w:t>
            </w:r>
          </w:p>
        </w:tc>
      </w:tr>
      <w:tr>
        <w:trPr>
          <w:trHeight w:val="189"/>
        </w:trPr>
        <w:tc>
          <w:tcPr>
            <w:tcW w:w="57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Fee Income</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Insurance agency revenue</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260</w:t>
            </w: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271</w:t>
            </w: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657</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691</w:t>
            </w:r>
          </w:p>
        </w:tc>
      </w:tr>
      <w:tr>
        <w:trPr>
          <w:trHeight w:val="189"/>
        </w:trPr>
        <w:tc>
          <w:tcPr>
            <w:tcW w:w="5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Investment services revenue</w:t>
            </w:r>
          </w:p>
        </w:tc>
        <w:tc>
          <w:tcPr>
            <w:tcW w:w="22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115</w:t>
            </w:r>
          </w:p>
        </w:tc>
        <w:tc>
          <w:tcPr>
            <w:tcW w:w="340" w:type="dxa"/>
            <w:vAlign w:val="bottom"/>
          </w:tcPr>
          <w:p>
            <w:pPr>
              <w:spacing w:after="0"/>
              <w:rPr>
                <w:sz w:val="16"/>
                <w:szCs w:val="16"/>
                <w:color w:val="auto"/>
              </w:rPr>
            </w:pP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97</w:t>
            </w:r>
          </w:p>
        </w:tc>
        <w:tc>
          <w:tcPr>
            <w:tcW w:w="220" w:type="dxa"/>
            <w:vAlign w:val="bottom"/>
          </w:tcPr>
          <w:p>
            <w:pPr>
              <w:spacing w:after="0"/>
              <w:rPr>
                <w:sz w:val="16"/>
                <w:szCs w:val="16"/>
                <w:color w:val="auto"/>
              </w:rPr>
            </w:pP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257</w:t>
            </w:r>
          </w:p>
        </w:tc>
        <w:tc>
          <w:tcPr>
            <w:tcW w:w="260" w:type="dxa"/>
            <w:vAlign w:val="bottom"/>
          </w:tcPr>
          <w:p>
            <w:pPr>
              <w:spacing w:after="0"/>
              <w:rPr>
                <w:sz w:val="16"/>
                <w:szCs w:val="16"/>
                <w:color w:val="auto"/>
              </w:rPr>
            </w:pPr>
          </w:p>
        </w:tc>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232</w:t>
            </w:r>
          </w:p>
        </w:tc>
      </w:tr>
      <w:tr>
        <w:trPr>
          <w:trHeight w:val="189"/>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ATM fees surcharge</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58</w:t>
            </w: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59</w:t>
            </w: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108</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107</w:t>
            </w:r>
          </w:p>
        </w:tc>
      </w:tr>
      <w:tr>
        <w:trPr>
          <w:trHeight w:val="189"/>
        </w:trPr>
        <w:tc>
          <w:tcPr>
            <w:tcW w:w="5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Banking house rents collected</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54</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48</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109</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96</w:t>
            </w:r>
          </w:p>
        </w:tc>
      </w:tr>
      <w:tr>
        <w:trPr>
          <w:trHeight w:val="183"/>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Total fee income</w:t>
            </w: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487</w:t>
            </w: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475</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1,131</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1,126</w:t>
            </w:r>
          </w:p>
        </w:tc>
      </w:tr>
      <w:tr>
        <w:trPr>
          <w:trHeight w:val="189"/>
        </w:trPr>
        <w:tc>
          <w:tcPr>
            <w:tcW w:w="57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Card income</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Debit card interchange fees</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191</w:t>
            </w: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112</w:t>
            </w: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310</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433</w:t>
            </w:r>
          </w:p>
        </w:tc>
      </w:tr>
      <w:tr>
        <w:trPr>
          <w:trHeight w:val="189"/>
        </w:trPr>
        <w:tc>
          <w:tcPr>
            <w:tcW w:w="5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Merchant card fees</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14</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15</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26</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27</w:t>
            </w:r>
          </w:p>
        </w:tc>
      </w:tr>
      <w:tr>
        <w:trPr>
          <w:trHeight w:val="183"/>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Total card income</w:t>
            </w: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205</w:t>
            </w: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127</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336</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460</w:t>
            </w:r>
          </w:p>
        </w:tc>
      </w:tr>
      <w:tr>
        <w:trPr>
          <w:trHeight w:val="154"/>
        </w:trPr>
        <w:tc>
          <w:tcPr>
            <w:tcW w:w="574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b w:val="1"/>
                <w:bCs w:val="1"/>
                <w:color w:val="auto"/>
              </w:rPr>
              <w:t>Mortgage fee income and realized gains on sales of loans</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7"/>
        </w:trPr>
        <w:tc>
          <w:tcPr>
            <w:tcW w:w="57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and foreclosed real estate</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9"/>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Loan servicing fees</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112</w:t>
            </w: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67</w:t>
            </w: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200</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139</w:t>
            </w:r>
          </w:p>
        </w:tc>
      </w:tr>
      <w:tr>
        <w:trPr>
          <w:trHeight w:val="189"/>
        </w:trPr>
        <w:tc>
          <w:tcPr>
            <w:tcW w:w="5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Net gains on sales of loans and foreclosed real estate</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40</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117</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58</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142</w:t>
            </w:r>
          </w:p>
        </w:tc>
      </w:tr>
      <w:tr>
        <w:trPr>
          <w:trHeight w:val="152"/>
        </w:trPr>
        <w:tc>
          <w:tcPr>
            <w:tcW w:w="5740" w:type="dxa"/>
            <w:vAlign w:val="bottom"/>
            <w:shd w:val="clear" w:color="auto" w:fill="CFF0FC"/>
          </w:tcPr>
          <w:p>
            <w:pPr>
              <w:ind w:left="300"/>
              <w:spacing w:after="0" w:line="152" w:lineRule="exact"/>
              <w:rPr>
                <w:sz w:val="20"/>
                <w:szCs w:val="20"/>
                <w:color w:val="auto"/>
              </w:rPr>
            </w:pPr>
            <w:r>
              <w:rPr>
                <w:rFonts w:ascii="Times New Roman" w:cs="Times New Roman" w:eastAsia="Times New Roman" w:hAnsi="Times New Roman"/>
                <w:sz w:val="15"/>
                <w:szCs w:val="15"/>
                <w:color w:val="auto"/>
              </w:rPr>
              <w:t>Total mortgage fee income and realized gains on sales of</w:t>
            </w:r>
          </w:p>
        </w:tc>
        <w:tc>
          <w:tcPr>
            <w:tcW w:w="2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r>
      <w:tr>
        <w:trPr>
          <w:trHeight w:val="193"/>
        </w:trPr>
        <w:tc>
          <w:tcPr>
            <w:tcW w:w="574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loans and foreclosed real estate</w:t>
            </w:r>
          </w:p>
        </w:tc>
        <w:tc>
          <w:tcPr>
            <w:tcW w:w="2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152</w:t>
            </w:r>
          </w:p>
        </w:tc>
        <w:tc>
          <w:tcPr>
            <w:tcW w:w="34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184</w:t>
            </w:r>
          </w:p>
        </w:tc>
        <w:tc>
          <w:tcPr>
            <w:tcW w:w="2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258</w:t>
            </w: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281</w:t>
            </w:r>
          </w:p>
        </w:tc>
      </w:tr>
      <w:tr>
        <w:trPr>
          <w:trHeight w:val="183"/>
        </w:trPr>
        <w:tc>
          <w:tcPr>
            <w:tcW w:w="5740" w:type="dxa"/>
            <w:vAlign w:val="bottom"/>
          </w:tcPr>
          <w:p>
            <w:pPr>
              <w:ind w:left="3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20" w:type="dxa"/>
            <w:vAlign w:val="bottom"/>
          </w:tcPr>
          <w:p>
            <w:pPr>
              <w:spacing w:after="0"/>
              <w:rPr>
                <w:sz w:val="15"/>
                <w:szCs w:val="15"/>
                <w:color w:val="auto"/>
              </w:rPr>
            </w:pPr>
          </w:p>
        </w:tc>
        <w:tc>
          <w:tcPr>
            <w:tcW w:w="11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1,174</w:t>
            </w:r>
          </w:p>
        </w:tc>
        <w:tc>
          <w:tcPr>
            <w:tcW w:w="340" w:type="dxa"/>
            <w:vAlign w:val="bottom"/>
          </w:tcPr>
          <w:p>
            <w:pPr>
              <w:spacing w:after="0"/>
              <w:rPr>
                <w:sz w:val="15"/>
                <w:szCs w:val="15"/>
                <w:color w:val="auto"/>
              </w:rPr>
            </w:pP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1,089</w:t>
            </w:r>
          </w:p>
        </w:tc>
        <w:tc>
          <w:tcPr>
            <w:tcW w:w="22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2,364</w:t>
            </w:r>
          </w:p>
        </w:tc>
        <w:tc>
          <w:tcPr>
            <w:tcW w:w="26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2,437</w:t>
            </w:r>
          </w:p>
        </w:tc>
      </w:tr>
      <w:tr>
        <w:trPr>
          <w:trHeight w:val="189"/>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Earnings and gains on bank owned life insurance</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167</w:t>
            </w: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143</w:t>
            </w: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324</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301</w:t>
            </w:r>
          </w:p>
        </w:tc>
      </w:tr>
      <w:tr>
        <w:trPr>
          <w:trHeight w:val="189"/>
        </w:trPr>
        <w:tc>
          <w:tcPr>
            <w:tcW w:w="5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gains (losses) on sales and redemptions of investment securities</w:t>
            </w:r>
          </w:p>
        </w:tc>
        <w:tc>
          <w:tcPr>
            <w:tcW w:w="22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16</w:t>
            </w:r>
          </w:p>
        </w:tc>
        <w:tc>
          <w:tcPr>
            <w:tcW w:w="340" w:type="dxa"/>
            <w:vAlign w:val="bottom"/>
          </w:tcPr>
          <w:p>
            <w:pPr>
              <w:spacing w:after="0"/>
              <w:rPr>
                <w:sz w:val="16"/>
                <w:szCs w:val="16"/>
                <w:color w:val="auto"/>
              </w:rPr>
            </w:pP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(132 )</w:t>
            </w:r>
          </w:p>
        </w:tc>
        <w:tc>
          <w:tcPr>
            <w:tcW w:w="260" w:type="dxa"/>
            <w:vAlign w:val="bottom"/>
          </w:tcPr>
          <w:p>
            <w:pPr>
              <w:spacing w:after="0"/>
              <w:rPr>
                <w:sz w:val="16"/>
                <w:szCs w:val="16"/>
                <w:color w:val="auto"/>
              </w:rPr>
            </w:pPr>
          </w:p>
        </w:tc>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73</w:t>
            </w:r>
          </w:p>
        </w:tc>
      </w:tr>
      <w:tr>
        <w:trPr>
          <w:trHeight w:val="189"/>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Net realized losses on sales of marketable equity securities</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(139 )</w:t>
            </w: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(169 )</w:t>
            </w: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(31 )</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(169 )</w:t>
            </w:r>
          </w:p>
        </w:tc>
      </w:tr>
      <w:tr>
        <w:trPr>
          <w:trHeight w:val="189"/>
        </w:trPr>
        <w:tc>
          <w:tcPr>
            <w:tcW w:w="5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Non-recurring gain on lease renegotiations</w:t>
            </w:r>
          </w:p>
        </w:tc>
        <w:tc>
          <w:tcPr>
            <w:tcW w:w="22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245</w:t>
            </w:r>
          </w:p>
        </w:tc>
        <w:tc>
          <w:tcPr>
            <w:tcW w:w="260" w:type="dxa"/>
            <w:vAlign w:val="bottom"/>
          </w:tcPr>
          <w:p>
            <w:pPr>
              <w:spacing w:after="0"/>
              <w:rPr>
                <w:sz w:val="16"/>
                <w:szCs w:val="16"/>
                <w:color w:val="auto"/>
              </w:rPr>
            </w:pPr>
          </w:p>
        </w:tc>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57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Other miscellaneous (loss) income</w:t>
            </w:r>
          </w:p>
        </w:tc>
        <w:tc>
          <w:tcPr>
            <w:tcW w:w="2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(7 )</w:t>
            </w:r>
          </w:p>
        </w:tc>
        <w:tc>
          <w:tcPr>
            <w:tcW w:w="34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24</w:t>
            </w:r>
          </w:p>
        </w:tc>
        <w:tc>
          <w:tcPr>
            <w:tcW w:w="2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178</w:t>
            </w: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37</w:t>
            </w:r>
          </w:p>
        </w:tc>
      </w:tr>
      <w:tr>
        <w:trPr>
          <w:trHeight w:val="183"/>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noninterest income</w:t>
            </w: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1,211</w:t>
            </w:r>
          </w:p>
        </w:tc>
        <w:tc>
          <w:tcPr>
            <w:tcW w:w="3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1,087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2,948</w:t>
            </w:r>
          </w:p>
        </w:tc>
        <w:tc>
          <w:tcPr>
            <w:tcW w:w="2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2,679</w:t>
            </w: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discussion of key revenues within the scope of ASC 606 guidance:</w:t>
      </w:r>
    </w:p>
    <w:p>
      <w:pPr>
        <w:spacing w:after="0" w:line="22" w:lineRule="exact"/>
        <w:rPr>
          <w:sz w:val="20"/>
          <w:szCs w:val="20"/>
          <w:color w:val="auto"/>
        </w:rPr>
      </w:pPr>
    </w:p>
    <w:p>
      <w:pPr>
        <w:jc w:val="both"/>
        <w:ind w:left="760" w:hanging="378"/>
        <w:spacing w:after="0" w:line="239" w:lineRule="auto"/>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Service charges on deposit accounts – </w:t>
      </w:r>
      <w:r>
        <w:rPr>
          <w:rFonts w:ascii="Times New Roman" w:cs="Times New Roman" w:eastAsia="Times New Roman" w:hAnsi="Times New Roman"/>
          <w:sz w:val="20"/>
          <w:szCs w:val="20"/>
          <w:color w:val="auto"/>
        </w:rPr>
        <w:t>Revenue is earned through insufficient funds fees, customer initiated activities or passage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time for deposit related fees, and ATM service fees. Transaction-based fees are recognized at the time the transaction is executed, which is the same time the Company’s performance obligation is satisfied. Account maintenance fees are earned over the course of the month as the monthly maintenance performance obligation to the customer is satisfied.</w:t>
      </w:r>
    </w:p>
    <w:p>
      <w:pPr>
        <w:spacing w:after="0" w:line="1" w:lineRule="exact"/>
        <w:rPr>
          <w:rFonts w:ascii="Times New Roman" w:cs="Times New Roman" w:eastAsia="Times New Roman" w:hAnsi="Times New Roman"/>
          <w:sz w:val="20"/>
          <w:szCs w:val="20"/>
          <w:color w:val="auto"/>
        </w:rPr>
      </w:pPr>
    </w:p>
    <w:p>
      <w:pPr>
        <w:jc w:val="both"/>
        <w:ind w:left="760" w:hanging="378"/>
        <w:spacing w:after="0" w:line="252" w:lineRule="auto"/>
        <w:tabs>
          <w:tab w:leader="none" w:pos="76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Fee income – </w:t>
      </w:r>
      <w:r>
        <w:rPr>
          <w:rFonts w:ascii="Times New Roman" w:cs="Times New Roman" w:eastAsia="Times New Roman" w:hAnsi="Times New Roman"/>
          <w:sz w:val="19"/>
          <w:szCs w:val="19"/>
          <w:color w:val="auto"/>
        </w:rPr>
        <w:t>Revenue is earned through commissions on insurance and securities sales, ATM surcharge fees, and banking house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rents collected. The Company earns investment advisory fee income by providing investment management services to customers under investment management contracts. As the direction of investment management accounts is provided over time, the performance obligation to investment management customers is satisfied over time, and therefore, revenue is recognized over time.</w:t>
      </w:r>
    </w:p>
    <w:p>
      <w:pPr>
        <w:jc w:val="both"/>
        <w:ind w:left="760" w:hanging="378"/>
        <w:spacing w:after="0" w:line="239" w:lineRule="auto"/>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Card income – </w:t>
      </w:r>
      <w:r>
        <w:rPr>
          <w:rFonts w:ascii="Times New Roman" w:cs="Times New Roman" w:eastAsia="Times New Roman" w:hAnsi="Times New Roman"/>
          <w:sz w:val="20"/>
          <w:szCs w:val="20"/>
          <w:color w:val="auto"/>
        </w:rPr>
        <w:t>Card income consists of interchange fees from consumer debit card networks and other related services. Interchange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rates are set by the card networks. Interchange fees are based on purchase volumes and other factors and are recognized as transactions occur.</w:t>
      </w:r>
    </w:p>
    <w:p>
      <w:pPr>
        <w:spacing w:after="0" w:line="1" w:lineRule="exact"/>
        <w:rPr>
          <w:rFonts w:ascii="Times New Roman" w:cs="Times New Roman" w:eastAsia="Times New Roman" w:hAnsi="Times New Roman"/>
          <w:sz w:val="20"/>
          <w:szCs w:val="20"/>
          <w:color w:val="auto"/>
        </w:rPr>
      </w:pPr>
    </w:p>
    <w:p>
      <w:pPr>
        <w:jc w:val="both"/>
        <w:ind w:left="760" w:hanging="378"/>
        <w:spacing w:after="0"/>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Mortgage fee income and realized gain on sale of loans and foreclosed real estate </w:t>
      </w:r>
      <w:r>
        <w:rPr>
          <w:rFonts w:ascii="Times New Roman" w:cs="Times New Roman" w:eastAsia="Times New Roman" w:hAnsi="Times New Roman"/>
          <w:sz w:val="20"/>
          <w:szCs w:val="20"/>
          <w:color w:val="auto"/>
        </w:rPr>
        <w:t>– Revenue from mortgage fee income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realized gain on sale of loans and foreclosed real estate is earned through the origination of residential and commercial mortgage loans, sales of one-to-four family residential mortgage loans, sales of government</w:t>
      </w:r>
    </w:p>
    <w:p>
      <w:pPr>
        <w:spacing w:after="0" w:line="1" w:lineRule="exact"/>
        <w:rPr>
          <w:rFonts w:ascii="Times New Roman" w:cs="Times New Roman" w:eastAsia="Times New Roman" w:hAnsi="Times New Roman"/>
          <w:sz w:val="20"/>
          <w:szCs w:val="20"/>
          <w:color w:val="auto"/>
        </w:rPr>
      </w:pPr>
    </w:p>
    <w:p>
      <w:pPr>
        <w:ind w:left="5540" w:hanging="111"/>
        <w:spacing w:after="0"/>
        <w:tabs>
          <w:tab w:leader="none" w:pos="5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ind w:left="760" w:right="60"/>
        <w:spacing w:after="0" w:line="269" w:lineRule="auto"/>
        <w:rPr>
          <w:sz w:val="20"/>
          <w:szCs w:val="20"/>
          <w:color w:val="auto"/>
        </w:rPr>
      </w:pPr>
      <w:r>
        <w:rPr>
          <w:rFonts w:ascii="Times New Roman" w:cs="Times New Roman" w:eastAsia="Times New Roman" w:hAnsi="Times New Roman"/>
          <w:sz w:val="20"/>
          <w:szCs w:val="20"/>
          <w:color w:val="auto"/>
        </w:rPr>
        <w:t>guarantees portions of Small Business Administration loans (“SBA loans”), and sales of foreclosed real estate, and is earned as the transaction occurs.</w:t>
      </w:r>
    </w:p>
    <w:p>
      <w:pPr>
        <w:spacing w:after="0" w:line="173"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In addition to the revenue items discussed above, for the six months ended June 30, 2024, the Company recognized a non-recurring gain of $245,000 related to refunds received from cumulative lessor related pass-through operating expense charges for a single leased branch location.</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Leases</w:t>
      </w:r>
    </w:p>
    <w:p>
      <w:pPr>
        <w:spacing w:after="0" w:line="233"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19"/>
          <w:szCs w:val="19"/>
          <w:color w:val="auto"/>
        </w:rPr>
        <w:t>The Company has operating and finance leases for certain banking offices and land under noncancelable agreements. Our leases have remaining lease terms that vary from 2 years up to 29 years, some of which include options to extend the leases for various renewal periods. All options to renew are included in the current lease term when we believe it is reasonably certain that the renewal options will be exercised.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lease expense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3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For the six months ended</w:t>
            </w:r>
          </w:p>
        </w:tc>
      </w:tr>
      <w:tr>
        <w:trPr>
          <w:trHeight w:val="239"/>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June 30, 2023</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June 30, 2024</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June 30, 2023</w:t>
            </w:r>
          </w:p>
        </w:tc>
      </w:tr>
      <w:tr>
        <w:trPr>
          <w:trHeight w:val="241"/>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r>
      <w:tr>
        <w:trPr>
          <w:trHeight w:val="239"/>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108</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217</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cash flow information related to leases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3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For the six months ended</w:t>
            </w:r>
          </w:p>
        </w:tc>
      </w:tr>
      <w:tr>
        <w:trPr>
          <w:trHeight w:val="239"/>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June 30, 2023</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June 30, 2024</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June 30, 2023</w:t>
            </w:r>
          </w:p>
        </w:tc>
      </w:tr>
      <w:tr>
        <w:trPr>
          <w:trHeight w:val="241"/>
        </w:trPr>
        <w:tc>
          <w:tcPr>
            <w:tcW w:w="6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 included in the measurement of lease liabilities:</w:t>
            </w: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r>
        <w:trPr>
          <w:trHeight w:val="239"/>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r>
      <w:tr>
        <w:trPr>
          <w:trHeight w:val="247"/>
        </w:trPr>
        <w:tc>
          <w:tcPr>
            <w:tcW w:w="4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108</w:t>
            </w: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217</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r>
      <w:tr>
        <w:trPr>
          <w:trHeight w:val="239"/>
        </w:trPr>
        <w:tc>
          <w:tcPr>
            <w:tcW w:w="4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balance sheet information related to leases was as follows: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lease term and discount rate)</w:t>
            </w:r>
          </w:p>
        </w:tc>
        <w:tc>
          <w:tcPr>
            <w:tcW w:w="2880" w:type="dxa"/>
            <w:vAlign w:val="bottom"/>
          </w:tcPr>
          <w:p>
            <w:pPr>
              <w:spacing w:after="0"/>
              <w:rPr>
                <w:sz w:val="21"/>
                <w:szCs w:val="21"/>
                <w:color w:val="auto"/>
              </w:rPr>
            </w:pP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June 30, 2024</w:t>
            </w:r>
          </w:p>
        </w:tc>
        <w:tc>
          <w:tcPr>
            <w:tcW w:w="400" w:type="dxa"/>
            <w:vAlign w:val="bottom"/>
          </w:tcPr>
          <w:p>
            <w:pPr>
              <w:spacing w:after="0"/>
              <w:rPr>
                <w:sz w:val="21"/>
                <w:szCs w:val="21"/>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43"/>
        </w:trPr>
        <w:tc>
          <w:tcPr>
            <w:tcW w:w="45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880" w:type="dxa"/>
            <w:vAlign w:val="bottom"/>
            <w:tcBorders>
              <w:top w:val="single" w:sz="8" w:color="auto"/>
            </w:tcBorders>
            <w:shd w:val="clear" w:color="auto" w:fill="CFF0FC"/>
          </w:tcPr>
          <w:p>
            <w:pPr>
              <w:spacing w:after="0"/>
              <w:rPr>
                <w:sz w:val="21"/>
                <w:szCs w:val="21"/>
                <w:color w:val="auto"/>
              </w:rPr>
            </w:pPr>
          </w:p>
        </w:tc>
        <w:tc>
          <w:tcPr>
            <w:tcW w:w="1700" w:type="dxa"/>
            <w:vAlign w:val="bottom"/>
            <w:tcBorders>
              <w:top w:val="single" w:sz="8" w:color="auto"/>
            </w:tcBorders>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1700" w:type="dxa"/>
            <w:vAlign w:val="bottom"/>
            <w:tcBorders>
              <w:top w:val="single" w:sz="8" w:color="auto"/>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1,459</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1,526</w:t>
            </w:r>
          </w:p>
        </w:tc>
        <w:tc>
          <w:tcPr>
            <w:tcW w:w="60" w:type="dxa"/>
            <w:vAlign w:val="bottom"/>
          </w:tcPr>
          <w:p>
            <w:pPr>
              <w:spacing w:after="0"/>
              <w:rPr>
                <w:sz w:val="20"/>
                <w:szCs w:val="20"/>
                <w:color w:val="auto"/>
              </w:rPr>
            </w:pPr>
          </w:p>
        </w:tc>
      </w:tr>
      <w:tr>
        <w:trPr>
          <w:trHeight w:val="247"/>
        </w:trPr>
        <w:tc>
          <w:tcPr>
            <w:tcW w:w="4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8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1,652</w:t>
            </w:r>
          </w:p>
        </w:tc>
        <w:tc>
          <w:tcPr>
            <w:tcW w:w="4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1,711</w:t>
            </w:r>
          </w:p>
        </w:tc>
        <w:tc>
          <w:tcPr>
            <w:tcW w:w="60" w:type="dxa"/>
            <w:vAlign w:val="bottom"/>
          </w:tcPr>
          <w:p>
            <w:pPr>
              <w:spacing w:after="0"/>
              <w:rPr>
                <w:sz w:val="21"/>
                <w:szCs w:val="21"/>
                <w:color w:val="auto"/>
              </w:rPr>
            </w:pPr>
          </w:p>
        </w:tc>
      </w:tr>
      <w:tr>
        <w:trPr>
          <w:trHeight w:val="243"/>
        </w:trPr>
        <w:tc>
          <w:tcPr>
            <w:tcW w:w="45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88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4,004</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4,073</w:t>
            </w:r>
          </w:p>
        </w:tc>
        <w:tc>
          <w:tcPr>
            <w:tcW w:w="60" w:type="dxa"/>
            <w:vAlign w:val="bottom"/>
          </w:tcPr>
          <w:p>
            <w:pPr>
              <w:spacing w:after="0"/>
              <w:rPr>
                <w:sz w:val="20"/>
                <w:szCs w:val="20"/>
                <w:color w:val="auto"/>
              </w:rPr>
            </w:pPr>
          </w:p>
        </w:tc>
      </w:tr>
      <w:tr>
        <w:trPr>
          <w:trHeight w:val="247"/>
        </w:trPr>
        <w:tc>
          <w:tcPr>
            <w:tcW w:w="4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88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4,359</w:t>
            </w:r>
          </w:p>
        </w:tc>
        <w:tc>
          <w:tcPr>
            <w:tcW w:w="4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4,381</w:t>
            </w:r>
          </w:p>
        </w:tc>
        <w:tc>
          <w:tcPr>
            <w:tcW w:w="60" w:type="dxa"/>
            <w:vAlign w:val="bottom"/>
          </w:tcPr>
          <w:p>
            <w:pPr>
              <w:spacing w:after="0"/>
              <w:rPr>
                <w:sz w:val="21"/>
                <w:szCs w:val="21"/>
                <w:color w:val="auto"/>
              </w:rPr>
            </w:pPr>
          </w:p>
        </w:tc>
      </w:tr>
      <w:tr>
        <w:trPr>
          <w:trHeight w:val="243"/>
        </w:trPr>
        <w:tc>
          <w:tcPr>
            <w:tcW w:w="45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288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880" w:type="dxa"/>
            <w:vAlign w:val="bottom"/>
          </w:tcPr>
          <w:p>
            <w:pPr>
              <w:spacing w:after="0"/>
              <w:rPr>
                <w:sz w:val="20"/>
                <w:szCs w:val="20"/>
                <w:color w:val="auto"/>
              </w:rPr>
            </w:pP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17.13 years</w:t>
            </w:r>
          </w:p>
        </w:tc>
        <w:tc>
          <w:tcPr>
            <w:tcW w:w="400" w:type="dxa"/>
            <w:vAlign w:val="bottom"/>
          </w:tcPr>
          <w:p>
            <w:pPr>
              <w:spacing w:after="0"/>
              <w:rPr>
                <w:sz w:val="20"/>
                <w:szCs w:val="20"/>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17.22 years</w:t>
            </w:r>
          </w:p>
        </w:tc>
        <w:tc>
          <w:tcPr>
            <w:tcW w:w="60" w:type="dxa"/>
            <w:vAlign w:val="bottom"/>
          </w:tcPr>
          <w:p>
            <w:pPr>
              <w:spacing w:after="0"/>
              <w:rPr>
                <w:sz w:val="20"/>
                <w:szCs w:val="20"/>
                <w:color w:val="auto"/>
              </w:rPr>
            </w:pPr>
          </w:p>
        </w:tc>
      </w:tr>
      <w:tr>
        <w:trPr>
          <w:trHeight w:val="252"/>
        </w:trPr>
        <w:tc>
          <w:tcPr>
            <w:tcW w:w="4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88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26.84 years</w:t>
            </w:r>
          </w:p>
        </w:tc>
        <w:tc>
          <w:tcPr>
            <w:tcW w:w="4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27.35 years</w:t>
            </w:r>
          </w:p>
        </w:tc>
        <w:tc>
          <w:tcPr>
            <w:tcW w:w="60" w:type="dxa"/>
            <w:vAlign w:val="bottom"/>
          </w:tcPr>
          <w:p>
            <w:pPr>
              <w:spacing w:after="0"/>
              <w:rPr>
                <w:sz w:val="21"/>
                <w:szCs w:val="21"/>
                <w:color w:val="auto"/>
              </w:rPr>
            </w:pPr>
          </w:p>
        </w:tc>
      </w:tr>
      <w:tr>
        <w:trPr>
          <w:trHeight w:val="243"/>
        </w:trPr>
        <w:tc>
          <w:tcPr>
            <w:tcW w:w="45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88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880" w:type="dxa"/>
            <w:vAlign w:val="bottom"/>
          </w:tcPr>
          <w:p>
            <w:pPr>
              <w:spacing w:after="0"/>
              <w:rPr>
                <w:sz w:val="20"/>
                <w:szCs w:val="20"/>
                <w:color w:val="auto"/>
              </w:rPr>
            </w:pP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3.89 %</w:t>
            </w:r>
          </w:p>
        </w:tc>
        <w:tc>
          <w:tcPr>
            <w:tcW w:w="40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3.88 %</w:t>
            </w:r>
          </w:p>
        </w:tc>
      </w:tr>
      <w:tr>
        <w:trPr>
          <w:trHeight w:val="245"/>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880" w:type="dxa"/>
            <w:vAlign w:val="bottom"/>
          </w:tcPr>
          <w:p>
            <w:pPr>
              <w:spacing w:after="0"/>
              <w:rPr>
                <w:sz w:val="21"/>
                <w:szCs w:val="21"/>
                <w:color w:val="auto"/>
              </w:rPr>
            </w:pP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9.40 %</w:t>
            </w:r>
          </w:p>
        </w:tc>
        <w:tc>
          <w:tcPr>
            <w:tcW w:w="40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9.40 %</w:t>
            </w:r>
          </w:p>
        </w:tc>
      </w:tr>
      <w:tr>
        <w:trPr>
          <w:trHeight w:val="432"/>
        </w:trPr>
        <w:tc>
          <w:tcPr>
            <w:tcW w:w="4560" w:type="dxa"/>
            <w:vAlign w:val="bottom"/>
            <w:tcBorders>
              <w:top w:val="single" w:sz="8" w:color="auto"/>
            </w:tcBorders>
          </w:tcPr>
          <w:p>
            <w:pPr>
              <w:spacing w:after="0"/>
              <w:rPr>
                <w:sz w:val="24"/>
                <w:szCs w:val="24"/>
                <w:color w:val="auto"/>
              </w:rPr>
            </w:pPr>
          </w:p>
        </w:tc>
        <w:tc>
          <w:tcPr>
            <w:tcW w:w="2880" w:type="dxa"/>
            <w:vAlign w:val="bottom"/>
            <w:tcBorders>
              <w:top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45</w:t>
            </w:r>
            <w:r>
              <w:rPr>
                <w:rFonts w:ascii="Times New Roman" w:cs="Times New Roman" w:eastAsia="Times New Roman" w:hAnsi="Times New Roman"/>
                <w:sz w:val="18"/>
                <w:szCs w:val="18"/>
                <w:color w:val="auto"/>
              </w:rPr>
              <w:t xml:space="preserve"> -</w:t>
            </w:r>
          </w:p>
        </w:tc>
        <w:tc>
          <w:tcPr>
            <w:tcW w:w="17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45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-933450</wp:posOffset>
            </wp:positionV>
            <wp:extent cx="713232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116" w:right="2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Maturities of lease liabilities are as follows:</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Twelve Months Ending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3492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47"/>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r>
      <w:tr>
        <w:trPr>
          <w:trHeight w:val="247"/>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r>
      <w:tr>
        <w:trPr>
          <w:trHeight w:val="243"/>
        </w:trPr>
        <w:tc>
          <w:tcPr>
            <w:tcW w:w="44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5,259</w:t>
            </w:r>
          </w:p>
        </w:tc>
      </w:tr>
      <w:tr>
        <w:trPr>
          <w:trHeight w:val="236"/>
        </w:trPr>
        <w:tc>
          <w:tcPr>
            <w:tcW w:w="4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8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6,011</w:t>
            </w: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The Company owns certain properties that it leases to unaffiliated third parties at market rates. Lease rental income was $53,000 and $48,000 for the three months ended June 30, 2024 and 2023, respectively. Lease rental income was $108,000 and $96,000 for the six months ended June 30, 2024 and 2023, respectively. The lease agreements in which the Company is the lessor are a mix of operating and finance leases.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Related Party Transactions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the ordinary course of business, the Company has granted loans to certain directors, executive officers and their affiliates (collectively referred to as “related parties”). None of the related party loans were classified as nonaccrual, past due, restructured, or potential problem loans at June 30, 2024 or December 31,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represents the activity associated with loans to related parties during the six months ended June 30, 2024 and the year ended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June 30,</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r>
      <w:tr>
        <w:trPr>
          <w:trHeight w:val="250"/>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r>
      <w:tr>
        <w:trPr>
          <w:trHeight w:val="243"/>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266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32,742</w:t>
            </w:r>
          </w:p>
        </w:tc>
        <w:tc>
          <w:tcPr>
            <w:tcW w:w="4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32,531</w:t>
            </w:r>
          </w:p>
        </w:tc>
      </w:tr>
      <w:tr>
        <w:trPr>
          <w:trHeight w:val="239"/>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Originations and related party additions</w:t>
            </w:r>
          </w:p>
        </w:tc>
        <w:tc>
          <w:tcPr>
            <w:tcW w:w="266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800</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4,360</w:t>
            </w:r>
          </w:p>
        </w:tc>
      </w:tr>
      <w:tr>
        <w:trPr>
          <w:trHeight w:val="243"/>
        </w:trPr>
        <w:tc>
          <w:tcPr>
            <w:tcW w:w="56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Principal payments and related party removals</w:t>
            </w:r>
          </w:p>
        </w:tc>
        <w:tc>
          <w:tcPr>
            <w:tcW w:w="26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(5,491 )</w:t>
            </w: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(4,149 )</w:t>
            </w:r>
          </w:p>
        </w:tc>
      </w:tr>
      <w:tr>
        <w:trPr>
          <w:trHeight w:val="237"/>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28,051</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32,742</w:t>
            </w: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Subsequent Events</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On July 19, 2024, the Bank completed the previously announced purchase and assumption of the East Syracuse, NY branch of Berkshire Bank, the banking subsidiary of Berkshire Hills Bancorp, Inc. In connection with the purchase, the Bank assumed approximately $186 million in deposit liabilities and acquired approximately $30 million in loans. With respect to the purchased loans, the Bank paid an amount equal to the sum of 95% of the aggregate unpaid principal balances, measured as of the closing date, plus any accrued interest related to the loans through the closing date. The Bank also paid a 5.8% premium on the aggregate amount of non-time deposits associated with the branch, measured as of the closing date (the “Core Deposits”), and assumed all non-Core Deposits associated with the branch, measured as of the closing date, at par value. The total deposit premium paid by the Bank therefore equates to approximately 3.8% when applied to the aggregated Core Deposits and non-Core Deposits. The average cost of deposits acquired in the East Syracuse branch acquisition was approximately 1.99% (excluding the effects of future Core Deposit Intangible amortization). The Company intends to utilize the additional liquidity obtained with this acquisition to pay down approximately $150 million of borrowings that had an average cost of approximately 5.33% at June 30, 2024, which is expected to benefit total funding costs beginning in the third quarter of 2024. Finally, the Bank assumed Berkshire Bank’s existing commercial lease for the real property associated with the branch with an annual lease payment of approximately $946,000, excluding property taxes and certain other associated property related obligations that the Bank also assumed, and purchased the personal property and fixtures located within the branch facility for approximately $264,000.</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7" w:name="page48"/>
    <w:bookmarkEnd w:id="47"/>
    <w:p>
      <w:pPr>
        <w:ind w:right="1940"/>
        <w:spacing w:after="0" w:line="445" w:lineRule="auto"/>
        <w:rPr>
          <w:sz w:val="20"/>
          <w:szCs w:val="20"/>
          <w:color w:val="auto"/>
        </w:rPr>
      </w:pPr>
      <w:r>
        <w:rPr>
          <w:rFonts w:ascii="Times New Roman" w:cs="Times New Roman" w:eastAsia="Times New Roman" w:hAnsi="Times New Roman"/>
          <w:sz w:val="20"/>
          <w:szCs w:val="20"/>
          <w:b w:val="1"/>
          <w:bCs w:val="1"/>
          <w:color w:val="auto"/>
        </w:rPr>
        <w:t>Item 2 - Management's Discussion and Analysis of Financial Condition and Results of Operations (Unaudited) General</w:t>
      </w:r>
    </w:p>
    <w:p>
      <w:pPr>
        <w:spacing w:after="0" w:line="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 is a Maryland corporation headquartered in Oswego, New York. The Company is 100% owned by public shareholders. The primary business of the Company is its investment in Pathfinder Bank (the "Bank"), a New York State chartered commercial bank, which is 100% owned by the Company. The Bank has two wholly owned operating subsidiaries, Pathfinder Risk Management Company, Inc. (“PRMC”) and Whispering Oaks Development Corp. All significant inter-company accounts and activity have been eliminated in consolidation. Although the Company owns, through its subsidiary PRMC, 51% of the membership interest in FitzGibbons Agency, LLC (“FitzGibbons” or “Agency”), the Company is required to consolidate 100% of FitzGibbons within the consolidated financial statements. The 49% of which the Company does not own, is accounted for separately as a noncontrolling interest within the consolidated financial statements. At June 30, 2024, the Company and subsidiaries had total consolidated assets of $1.45 billion, total consolidated liabilities of $1.32 billion and shareholders' equity of $123.3 million, plus noncontrolling interest of $826,000, which represents the 49% of FitzGibbons not owned by the Company.</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discussion reviews the Company's financial condition at June 30, 2024 and the results of operations for the three and six month periods ended June 30, 2024 and 2023. Operating results for the three and six months ended June 30, 2024 are not necessarily indicative of the results that may be expected for the year ending December 31, 2024 or any other period.</w:t>
      </w:r>
    </w:p>
    <w:p>
      <w:pPr>
        <w:spacing w:after="0" w:line="1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following material under the heading "Management's Discussion and Analysis of Financial Condition and Results of Operations" is written with the presumption that the users of the interim financial statements have read, or have access to, the Company's latest audited financial statements and notes thereto, together with Management's Discussion and Analysis of Financial Condition and Results of Operations included in the 2023 Annual Report on Form 10-K filed with the Securities and Exchange Commission on March 22, 2024 (“the consolidated annual financial statements”) as of December 31, 2023 and 2022 and for the two years then ended. Therefore, only material changes in financial condition and results of operations are discussed in the remainder of Item 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Statement Regarding Forward-Looking Statements</w:t>
      </w:r>
    </w:p>
    <w:p>
      <w:pPr>
        <w:spacing w:after="0" w:line="2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This report includes forward-looking statements within the meaning of Sections 27A of the Securities Act of 1933, as amended, and 21E of the Securities Exchange Act of 1934, as amended, that involve inherent risks and uncertainties. These forward-looking statements concern the financial condition, results of operations, plans, objectives, future performance and business of Pathfinder Bancorp, Inc. and its subsidiary, including statements preceded by, followed by or that include words or phrases such as “believes,” “expects,” “anticipates,” “plans,” “trend,” “objective,” “continue,” “remain,” “pattern” or similar expressions or future or conditional verbs such as “will,” “would,” “should,” “could,” “might,” “can,” “may” or similar expressions. There are a number of important factors that could cause future results to differ materially from historical performance and these forward-looking statements. Factors that might cause such a difference include, but are not limited to: (1) general economic conditions may be less favorable than expected; (2) competitive pressures among depository institutions may increase significantly; (3) changes in the interest rate environment may reduce interest margins; (4) loan origination and sale volumes, charge-offs and credit loss provisions may vary substantially from period to period; (5) the impact of a pandemic or other health crises and the government's response to such pandemic or crises on our operations as well as those of our customers and on the economy generally and in our market area specifically; (6) political developments, wars or other hostilities may disrupt or increase volatility in securities markets or other economic conditions; (7) legislative or regulatory changes or actions may adversely affect the businesses in which Pathfinder Bancorp, Inc. is engaged; (8) changes and trends in the securities markets may adversely impact Pathfinder Bancorp, Inc.; (9) a delayed or incomplete resolution of regulatory issues could adversely impact our planning; (10) difficulties in integrating any businesses that we may acquire, including our recently completed acquisition of the East Syracuse branch of Berkshire Bank, which may increase our expenses and delay the achievement of any benefits that we may expect from such acquisitions; (11) the impact of reputation risk created by the developments discussed above on such matters as business generation and retention, funding and liquidity could be significant; (12) our ability to prevent or mitigate fraudulent activity</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color w:val="auto"/>
        </w:rPr>
        <w:t>and cybersecurity threats; and (13) the outcome of any future regulatory and legal investigations and proceedings may not be anticipated.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Because of these and other uncertainties, our actual future results may be materially different from the results indicated by these forward-looking statements. Except as required by law, we disclaim any obligation to revise or update any forward-looking statements contained in this Quarterly Report on Form 10-Q to reflect future events or developments.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Application of Critical Accounting Estimates</w:t>
      </w:r>
    </w:p>
    <w:p>
      <w:pPr>
        <w:spacing w:after="0" w:line="2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Company's consolidated quarterly financial statements are prepared in accordance with accounting principles generally accepted in the United States and follow practices within the banking industry. Application of these principles requires management to make estimates, assumptions, and judgments that affect the amounts reported in the consolidated quarterly financial statements and accompanying notes. These estimates, assumptions, and judgments are based on information available as of the date of the financial statements; accordingly, as this information changes, the financial statements could reflect different estimates, assumptions, and judgments. Certain accounting policies inherently have a greater reliance on the use of estimates, assumptions, and judgments and, as such, have a greater possibility of producing results that could be materially different than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 financial statement volatility. The fair values and information used to record valuation adjustments for certain assets and liabilities are based on quoted market prices or are provided by unaffiliated third-party sources, when available. When third party information is not available, valuation adjustments are estimated in good faith by management.</w:t>
      </w:r>
    </w:p>
    <w:p>
      <w:pPr>
        <w:spacing w:after="0" w:line="16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most significant accounting policies followed by the Company are presented in Note 1 to the annual audited consolidated financial statements. These policies, along with the disclosures presented in the other financial statement notes and in this discussion, provide information on how significant assets and liabilities are valued in the consolidated quarterly financial statements and how those values are determined. Based on the valuation techniques used and the sensitivity of financial statement amounts to the methods, assumptions, and estimates underlying those amounts, management has identified the allowance for credit losses, deferred income taxes, pension obligations, the evaluation of investment securities for credit losses, the estimation of fair values for accounting and disclosure purposes, and the evaluation of goodwill for impairment to be the accounting areas that require the most subjective and complex judgments. These areas could be the most subject to revision as new information becomes available.</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ACL represents management's estimate of lifetime credit losses inherent in the loan portfolio. Determining the amount of the allowance for credit losses is considered a critical accounting estimate because it requires significant judgment on the use of estimates related to the amount and timing of expected future cash flows on individually evaluated loans, estimated losses on pools of homogeneous loans based on historical loss experience, and environmental factors, all of which may be susceptible to significant change. The Company establishes a specific allowance for all commercial loans in excess of the total related credit threshold of $100,000 and single borrower residential mortgage loans in excess of the total related credit threshold of $300,000 identified as being individually evaluated which are on nonaccrual and have been risk rated under the Company’s risk rating system as substandard, doubtful, or loss. In addition, an accruing substandard loan could be identified as being individually evaluated.</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measurement of individually evaluated loans is measured by determining the present value of expected future cash flows or, for collateral-dependent loans, the fair value of the collateral adjusted for market conditions and selling expenses as compared to the loan carrying value. For all other loans and leases, the Company uses the general allocation methodology that establishes an allowance to estimate the lifetime incurred loss for each risk-rating category. The measurement of individually evaluated loans is generally based upon the present value of future cash flows discounted at the historical effective interest rate, except that all collateral-dependent loans are measured based on the fair value of the collateral, less costs to sell. At June 30, 2024, the Bank’s position in individually evaluated loans consisted of 58 loans totaling $19.3 million. Of these loans, 17 loans, totaling $3.1 million, were valued using the present value of future cash flows method; and 41 loans, totaling $16.2 million, were valued based on a collateral analysis. For all other loans, the Company uses the general allocation methodology that establishes an allowance to estimate the lifetime incurred loss for each risk-rating category.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9" w:name="page50"/>
    <w:bookmarkEnd w:id="49"/>
    <w:p>
      <w:pPr>
        <w:jc w:val="both"/>
        <w:spacing w:after="0" w:line="242" w:lineRule="auto"/>
        <w:rPr>
          <w:sz w:val="20"/>
          <w:szCs w:val="20"/>
          <w:color w:val="auto"/>
        </w:rPr>
      </w:pPr>
      <w:r>
        <w:rPr>
          <w:rFonts w:ascii="Times New Roman" w:cs="Times New Roman" w:eastAsia="Times New Roman" w:hAnsi="Times New Roman"/>
          <w:sz w:val="20"/>
          <w:szCs w:val="20"/>
          <w:color w:val="auto"/>
        </w:rPr>
        <w:t>In estimating the ACL on loans, management considers the sensitivity of the model and significant judgments and assumptions that could result in an amount that is materially different from management’s estimate. At June 30, 2024, the Bank held $461.2 million in commercial real estate and commercial &amp; industrial loans (collectively, commercial loans) representing 52.0% of the Bank’s entire loan portfolio. The Bank allocated $7.5 million to the ACL for these loans, including $3.6 million derived from the use of qualitative factors in the calculation. Given the concentration of ACL allocation to the total commercial loan portfolio and the significant judgments made by management in deriving the qualitative loss factors, management considers the impact that changes in judgments could have on the ACL. The ACL could increase (or decrease) by approximately $900,000, assuming a 25% negative (or positive) change within the group of qualitative factors used to determine the ACL for commercial loans. The sensitivity and related range of impacts for various judgments on the ACL is a hypothetical analysis and is used to determine management’s judgments or assumptions of qualitative loss factors that were utilized at June 30, 2024 in the final recorded estimation of the ACL on loans recognized on the Statements of Financial Condition.</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Deferred income tax assets and liabilities are determined using the liability method. Under this method, the net deferred tax asset or liability is recognized for the future tax consequences. This is attributable to the differences between the financial statement carrying amounts of existing assets and liabilities and their respective tax bases as well as net operating and capital loss carry-forwards. Deferred tax assets and liabilities are measured using enacted tax rates applied to taxable income in the years in which those temporary differences are expected to be recovered or settled. The effect on deferred tax assets and liabilities of a change in tax rates is recognized in income tax expense in the period that includes the enactment date. If current available evidence about the future raises doubt about the likelihood of a deferred tax asset being realized, a valuation allowance is established. The judgment about the level of future taxable income, including that which is considered capital, is inherently subjective and is reviewed on a continual basis as regulatory and business factors change.</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effective tax rate typically differs from the 21% federal statutory tax rate due primarily to New York State income taxes, partially offset by tax-exempt income from specific types of investment securities and loans, bank owned life insurance, and to a much lesser degree, the utilization of low income housing tax credits. In addition, the tax effects of certain incentive stock option activity may reduce the Company’s effective tax rate on a sporadic basis.</w:t>
      </w:r>
    </w:p>
    <w:p>
      <w:pPr>
        <w:spacing w:after="0" w:line="1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maintain a noncontributory defined benefit pension plan covering most employees. The plan provides defined benefits based on years of service and final average salary. On May 14, 2012, we informed our employees of our decision to freeze participation and benefit accruals under the plan, primarily to reduce some of the volatility in earnings that can accompany the maintenance of a defined benefit plan. Pension and post-retirement benefit plan liabilities and expenses are based upon actuarial assumptions of future events; including fair value of plan assets, interest rates, and the length of time the Company will have to provide those benefits. The assumptions used by management are discussed in Note 14 to the consolidated annual financial statements.</w:t>
      </w:r>
    </w:p>
    <w:p>
      <w:pPr>
        <w:spacing w:after="0" w:line="1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When the fair value of a security categorized as available-for-sale ("AFS") or held-to-maturity ("HTM") is less than its amortized cost basis, an assessment is made as to whether or not credit loss is present. Management makes a quantitative determination of potential credit loss for all HTM securities even if the risk of credit loss is considered remote and uses a best estimate threshold for securities categorized as AFS. The Company considers numerous factors when determining whether a potential credit loss exists. The principal factors considered are (1) the financial condition of the issue and (guarantor, if any) and adverse conditions specifically related to the security, industry or geographic area, (2) failure of the issuer of the security to make scheduled interest or principal payments, (3) any changes to the rating of the security by a nationally recognized statistical rating organization (“NRSRO”), and (4) the presence of contractual credit enhancements, if any, including the guarantee of the federal government or any of its agencies.</w:t>
      </w:r>
    </w:p>
    <w:p>
      <w:pPr>
        <w:spacing w:after="0" w:line="1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carries all of its AFS investments at fair value with any unrealized gains or losses reported, net of tax, as an adjustment to shareholders' equity and included in accumulated other comprehensive income (loss), except for the credit-related portion of debt securities’ credit losses securities which are charged to earnings. The Company's ability to fully realize the value of its investments in various securities, including corporate debt securities, is dependent on the underlying creditworthiness of the issuing organization. In evaluating the debt securities portfolio, for both AFS and HTM securities for credit losses, management considers (1) if we intend to sell the security; (2) if it is “more likely than not” we will be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50" w:name="page51"/>
    <w:bookmarkEnd w:id="50"/>
    <w:p>
      <w:pPr>
        <w:jc w:val="both"/>
        <w:spacing w:after="0" w:line="269" w:lineRule="auto"/>
        <w:rPr>
          <w:sz w:val="20"/>
          <w:szCs w:val="20"/>
          <w:color w:val="auto"/>
        </w:rPr>
      </w:pPr>
      <w:r>
        <w:rPr>
          <w:rFonts w:ascii="Times New Roman" w:cs="Times New Roman" w:eastAsia="Times New Roman" w:hAnsi="Times New Roman"/>
          <w:sz w:val="20"/>
          <w:szCs w:val="20"/>
          <w:color w:val="auto"/>
        </w:rPr>
        <w:t>required to sell the security before recovery of its amortized cost basis; or (3) if the present value of expected cash flows is insufficient to recover the entire amortized cost basis.</w:t>
      </w:r>
    </w:p>
    <w:p>
      <w:pPr>
        <w:spacing w:after="0" w:line="1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estimation of fair value is significant to several of our assets; including AFS and marketable equity investment securities, intangible assets, foreclosed real estate, and the value of loan collateral when valuing loans. These are all recorded at either fair value, or the lower of cost or fair value. Fair values are determined based on third party sources, when available. Furthermore, accounting principles generally accepted in the United States require disclosure of the fair value of financial instruments as a part of the notes to the annual audited consolidated financial statements. Fair values on our AFS securities may be influenced by a number of factors including market interest rates, prepayment speeds, discount rates, and the shape of yield curves.</w:t>
      </w:r>
    </w:p>
    <w:p>
      <w:pPr>
        <w:spacing w:after="0" w:line="17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Fair values for AFS securities are obtained from unaffiliated third party pricing services. Where available, fair values are based on quoted prices on a nationally recognized securities exchange. If quoted prices are not available, fair values are measured using quoted market prices for similar benchmark securities. Management made no adjustments to the fair value quotes that were provided by the pricing sources. Fair values for marketable equity securities are based on quoted prices on a nationally recognized securities exchange for similar benchmark securities. The fair values of foreclosed real estate and the underlying collateral value of individually evaluated loans are typically determined based on evaluations by third parties, less estimated costs to sell. When necessary, appraisals are updated to reflect changes in market conditions.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Management performs an annual evaluation of our goodwill for possible impairment at each of our reporting units. Based on the results of the December 31, 2023 evaluation, management has determined that the carrying value of goodwill was not impaired as of that date. Management will continuously evaluate all relevant economic and operational factors potentially affecting the Bank or the fair value of its assets, including goodwill. Should future economic consequences require a significant and sustained change in the operations of the Bank, re-evaluations of the Bank’s goodwill valuation will be conducted on a more frequent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Events</w:t>
      </w:r>
    </w:p>
    <w:p>
      <w:pPr>
        <w:spacing w:after="0" w:line="19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On July 19, 2024, the Bank completed the previously announced purchase and assumption of the East Syracuse, NY branch of Berkshire Bank, the banking subsidiary of Berkshire Hills Bancorp, Inc. In connection with the purchase, the Bank assumed approximately $186 million in deposit liabilities and acquired approximately $30 million in loans. With respect to the purchased loans, the Bank paid an amount equal to the sum of 95% of the aggregate unpaid principal balances, measured as of the closing date, plus any accrued interest related to the loans through the closing date. The Bank also paid a 5.8% premium on the aggregate amount of non-time deposits associated with the branch, measured as of the closing date (the “Core Deposits”), and assumed all non-Core Deposits associated with the branch, measured as of the closing date, at par value. The total deposit premium paid by the Bank therefore equates to approximately 3.8% when applied to the aggregated Core Deposits and non-Core Deposits. The average cost of deposits acquired in the East Syracuse branch acquisition was approximately 1.99% (excluding the effects of future Core Deposit Intangible amortization). The Company intends to utilize the additional liquidity obtained with this acquisition to pay down approximately $150 million of borrowings that had an average cost of approximately 5.33% at June 30, 2024, which is expected to benefit total funding costs beginning in the third quarter of 2024. Finally, the Bank assumed Berkshire Bank’s existing commercial lease for the real property associated with the branch with an annual lease payment of approximately $946,000, excluding property taxes and certain other associated property related obligations that the Bank also assumed, and purchased the personal property and fixtures located within the branch facility for approximately $264,000.</w:t>
      </w:r>
    </w:p>
    <w:p>
      <w:pPr>
        <w:spacing w:after="0" w:line="18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On July 1, 2024, the Company announced that its Board of Directors declared a cash dividend of $0.10 per share on the Company's voting common and non-voting common stock, and a cash dividend of $0.10 per notional share for the issued warrant relating to the fiscal quarter ended June 30, 2024. The dividends were payable to all shareholders of record on July 19, 2024 and were paid on August 9, 2024.</w:t>
      </w: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color w:val="auto"/>
        </w:rPr>
        <w:t>Overview and Results of Operations</w:t>
      </w:r>
    </w:p>
    <w:p>
      <w:pPr>
        <w:spacing w:after="0" w:line="19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represents the significant highlights of the Company’s operating results between the second quarter of 2024 and the second quarter of 2023.</w:t>
      </w:r>
    </w:p>
    <w:p>
      <w:pPr>
        <w:spacing w:after="0" w:line="173"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of $2.0 million in the current quarter increased by $18,000, or 0.9%, from the second quarter of 2023.</w:t>
      </w:r>
    </w:p>
    <w:p>
      <w:pPr>
        <w:spacing w:after="0" w:line="21" w:lineRule="exact"/>
        <w:rPr>
          <w:rFonts w:ascii="Times New Roman" w:cs="Times New Roman" w:eastAsia="Times New Roman" w:hAnsi="Times New Roman"/>
          <w:sz w:val="20"/>
          <w:szCs w:val="20"/>
          <w:color w:val="auto"/>
        </w:rPr>
      </w:pPr>
    </w:p>
    <w:p>
      <w:pPr>
        <w:ind w:left="1020" w:right="20" w:hanging="503"/>
        <w:spacing w:after="0" w:line="239" w:lineRule="auto"/>
        <w:tabs>
          <w:tab w:leader="none" w:pos="1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Basic and diluted earnings per voting common share in the current quarter were both $0.32 per share, matching the amount from the second quarter of 2023.</w:t>
      </w:r>
    </w:p>
    <w:p>
      <w:pPr>
        <w:ind w:left="1020" w:hanging="503"/>
        <w:spacing w:after="0"/>
        <w:tabs>
          <w:tab w:leader="none" w:pos="1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interest income of $9.5 million in the current quarter decreased by $252,000, or 2.6% from the second quarter of 2023.</w:t>
      </w:r>
    </w:p>
    <w:p>
      <w:pPr>
        <w:ind w:left="1020" w:hanging="503"/>
        <w:spacing w:after="0" w:line="239" w:lineRule="auto"/>
        <w:tabs>
          <w:tab w:leader="none" w:pos="1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Noninterest income of $1.2 million in the current quarter increased by $124,000, or 11.4% from the second quarter of 2023 driven by increases in various fees associated with our loan and deposit accounts.</w:t>
      </w:r>
    </w:p>
    <w:p>
      <w:pPr>
        <w:ind w:left="1020" w:hanging="503"/>
        <w:spacing w:after="0" w:line="239" w:lineRule="auto"/>
        <w:tabs>
          <w:tab w:leader="none" w:pos="1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Noninterest expense of $7.9 million in the current quarter increased by $734,000, or 10.2% from the second quarter of 2023 due primarily to increases in salaries and benefits and professional and other services.</w:t>
      </w:r>
    </w:p>
    <w:p>
      <w:pPr>
        <w:ind w:left="1020" w:hanging="503"/>
        <w:spacing w:after="0"/>
        <w:tabs>
          <w:tab w:leader="none" w:pos="1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deposits were $1.10 billion at the end of the second quarter, substantially unchanged from June 30, 2023.</w:t>
      </w:r>
    </w:p>
    <w:p>
      <w:pPr>
        <w:ind w:left="1020" w:hanging="503"/>
        <w:spacing w:after="0"/>
        <w:tabs>
          <w:tab w:leader="none" w:pos="1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loans were $888.3 million at the end of the second quarter, reflecting a $2.8 million decrease from June 30, 2023.</w:t>
      </w:r>
    </w:p>
    <w:p>
      <w:pPr>
        <w:spacing w:after="0" w:line="18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represents the significant highlights of the Company’s operating results between the first six months of 2024 and the first six months of 2023.</w:t>
      </w:r>
    </w:p>
    <w:p>
      <w:pPr>
        <w:spacing w:after="0" w:line="173"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of $4.1 million in the first six months of 2024 decreased by $461,000, or 10.1%, from the first six months of 2023.</w:t>
      </w:r>
    </w:p>
    <w:p>
      <w:pPr>
        <w:spacing w:after="0" w:line="21" w:lineRule="exact"/>
        <w:rPr>
          <w:rFonts w:ascii="Times New Roman" w:cs="Times New Roman" w:eastAsia="Times New Roman" w:hAnsi="Times New Roman"/>
          <w:sz w:val="20"/>
          <w:szCs w:val="20"/>
          <w:color w:val="auto"/>
        </w:rPr>
      </w:pPr>
    </w:p>
    <w:p>
      <w:pPr>
        <w:ind w:left="1020" w:hanging="503"/>
        <w:spacing w:after="0" w:line="239" w:lineRule="auto"/>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Basic and diluted earnings per voting common share in the first six months of 2024 were both $0.66 per share, a decrease from $0.75 from the first six months of 2023.</w:t>
      </w:r>
    </w:p>
    <w:p>
      <w:pPr>
        <w:ind w:left="1020" w:hanging="503"/>
        <w:spacing w:after="0" w:line="239" w:lineRule="auto"/>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interest income of $18.9 million in the first six months of 2024 decreased by $820,000, or 4.2% from the first six months of 2023.</w:t>
      </w:r>
    </w:p>
    <w:p>
      <w:pPr>
        <w:ind w:left="1020" w:hanging="503"/>
        <w:spacing w:after="0" w:line="239" w:lineRule="auto"/>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Noninterest income of $2.9 million in the first six months of 2024 increased by $269,000, or 10.0% from the first six months of 2023 driven by increases in various fees associated with our loan and deposit accounts.</w:t>
      </w:r>
    </w:p>
    <w:p>
      <w:pPr>
        <w:ind w:left="1020" w:hanging="503"/>
        <w:spacing w:after="0" w:line="246" w:lineRule="auto"/>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Noninterest expense of $15.6 million in the first six months of 2024 increased by $916,000, or 6.2% from the first six months of 2023 due primarily to increases in salaries and benefits and professional and other services.</w:t>
      </w:r>
    </w:p>
    <w:p>
      <w:pPr>
        <w:spacing w:after="0" w:line="16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reflects the significant changes in financial condition between June 30, 2024 and December 31, 2023. In addition, the following reflects significant changes in asset quality metrics between June 30, 2024 and June 30, 2023.</w:t>
      </w:r>
    </w:p>
    <w:p>
      <w:pPr>
        <w:spacing w:after="0" w:line="173" w:lineRule="exact"/>
        <w:rPr>
          <w:sz w:val="20"/>
          <w:szCs w:val="20"/>
          <w:color w:val="auto"/>
        </w:rPr>
      </w:pPr>
    </w:p>
    <w:p>
      <w:pPr>
        <w:ind w:left="1020" w:hanging="503"/>
        <w:spacing w:after="0" w:line="250" w:lineRule="auto"/>
        <w:tabs>
          <w:tab w:leader="none" w:pos="10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assets decreased $19.6 million, or 1.3% to $1.45 billion at June 30, 2024 as compared to December 31, 2023, primarily driven by lower cash and cash equivalents balances, held-to-maturity securities, and loans.</w:t>
      </w:r>
    </w:p>
    <w:p>
      <w:pPr>
        <w:spacing w:after="0" w:line="1" w:lineRule="exact"/>
        <w:rPr>
          <w:rFonts w:ascii="Times New Roman" w:cs="Times New Roman" w:eastAsia="Times New Roman" w:hAnsi="Times New Roman"/>
          <w:sz w:val="20"/>
          <w:szCs w:val="20"/>
          <w:color w:val="auto"/>
        </w:rPr>
      </w:pPr>
    </w:p>
    <w:p>
      <w:pPr>
        <w:jc w:val="both"/>
        <w:ind w:left="1020" w:hanging="503"/>
        <w:spacing w:after="0" w:line="239" w:lineRule="auto"/>
        <w:tabs>
          <w:tab w:leader="none" w:pos="10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quality metrics, as measured by net loan charge-offs, decreased in the second quarter of 2024 in comparison to the fourth quarter of 2023. The annualized net loan charge-offs to average loans ratio was 0.02% at June 30, 2024, compared to 0.47% at December 31, 2023, and 0.06% at June 30, 2023.</w:t>
      </w:r>
    </w:p>
    <w:p>
      <w:pPr>
        <w:spacing w:after="0" w:line="1" w:lineRule="exact"/>
        <w:rPr>
          <w:rFonts w:ascii="Times New Roman" w:cs="Times New Roman" w:eastAsia="Times New Roman" w:hAnsi="Times New Roman"/>
          <w:sz w:val="20"/>
          <w:szCs w:val="20"/>
          <w:color w:val="auto"/>
        </w:rPr>
      </w:pPr>
    </w:p>
    <w:p>
      <w:pPr>
        <w:jc w:val="both"/>
        <w:ind w:left="1020" w:hanging="503"/>
        <w:spacing w:after="0" w:line="242" w:lineRule="auto"/>
        <w:tabs>
          <w:tab w:leader="none" w:pos="10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Nonperforming loans to total loans were 2.8% at June 30, 2024, compared to 1.9% at December 31, 2023 and 2.3% at June 30, 2023. Correspondingly, the ratio of the allowance for credit losses to nonperforming loans was 69.0% at June 30, 2024, as compared to 92.7% at December 31, 2023, and 92.4% at June 30, 2023.</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recorded net income of $2.0 million for the three months ended June 30, 2024, an $18,000 increase compared to the three months ended June 30, 2023. Increases in net income during the second quarter of 2024 included a $598,000 increase in net interest income after provision for credit losses, a $124,000 increase in noninterest income, and a $49,000 decrease in provision for income taxes. These increases were mostly offset by a $734,000 increase in noninterest expense.</w:t>
      </w:r>
    </w:p>
    <w:p>
      <w:pPr>
        <w:spacing w:after="0" w:line="193"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Net interest income before the provision for credit losses decreased $252,000, or 2.6%, to $9.5 million for the three months ended June 30, 2024, as compared to the same three month period in 2023. An increase in interest expense of almost $2.7 million was partially offset by an increase in interest and dividend income of $2.4 million.</w:t>
      </w: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51</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52" w:name="page53"/>
    <w:bookmarkEnd w:id="52"/>
    <w:p>
      <w:pPr>
        <w:jc w:val="both"/>
        <w:spacing w:after="0" w:line="266" w:lineRule="auto"/>
        <w:rPr>
          <w:sz w:val="20"/>
          <w:szCs w:val="20"/>
          <w:color w:val="auto"/>
        </w:rPr>
      </w:pPr>
      <w:r>
        <w:rPr>
          <w:rFonts w:ascii="Times New Roman" w:cs="Times New Roman" w:eastAsia="Times New Roman" w:hAnsi="Times New Roman"/>
          <w:sz w:val="19"/>
          <w:szCs w:val="19"/>
          <w:color w:val="auto"/>
        </w:rPr>
        <w:t>The increase in interest and dividend income of $2.4 million for the second quarter of 2024 as compared to the same prior year quarter can be primarily attributed to average loan yield increases of 44 basis points, investment securities and federal funds sold average balance increases of $68.3 million, and investment securities and federal funds sold average yield increases of 75 basis points. The corresponding increase in loan interest income and investment securities and federal funds sold interest income was $698,000 and $1.7 million, respectively.</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increase in interest expense of $2.7 million for the second quarter of 2024, compared to the prior year quarter, was predominantly the result of a change in the Bank's deposit mix to higher cost deposits and a rise in average rates paid on interest-bearing liabilities, reflecting the competitive conditions in the current interest rate environment. As a result, the net interest margin for the second quarter of 2024 was 2.78%, compared to 2.75% in the first quarter of 2024, and 2.96% in the second quarter of 2023. The increase of three basis points compared to the first quarter was driven by asset yield improvements partially offset by deposit cost increases. The decline in net interest margin compared to the second quarter of 2023 can primarily be attributed to higher funding costs related to the current high interest rate environment and upward repricing within the deposit portfolio, partially offset by an increase in the average yield on interest-earning assets.</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Bank's noninterest income for the second quarter of 2024 amounted to $1.2 million, reflecting an increase of $124,000 compared to the same quarter of 2023. This increase can primarily be attributed to the factors influencing recurring noninterest income, which excludes volatile items such as unrealized gains or losses on equity securities, as well as nonrecurring gains on sales of loans, investment securities, foreclosed real estate, premises, and equipment.</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Recurring noninterest income during the quarter ended June 30, 2024 increased $155,000, or 13.6%, as compared to the same quarter in 2023. This was primarily due to an increase of $79,000 in debit card interchange fees, as a result of increased gross interchange revenues related to higher levels of consumer activity. Other components of noninterest income that also increased during the quarter ended June 30, 2024 include a $45,000 increase in loan servicing fees, a $27,000 increase in service charges on deposit accounts, and a $24,000 increase in earnings and gain on bank owned life insurance. These modest increases were partially offset by an aggregate decrease of $20,000 in other noninterest income categories.</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$31,000 year-over-year decrease in all other (nonrecurring) categories of noninterest income was primarily the result of a $77,000 decrease in sales of loans and foreclosed real estate during the three months ended June 30, 2024 as compared to the same period in 2023. Partially offsetting this decrease were lower losses on marketable equity securities in the amount of $30,000, and a $16,000 increase in gains on sales and redemptions of investment securities.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Second quarter 2024 results reflect the Bank’s strategy to proactively seek out and capitalize on new opportunities to diversify and enhance recurring noninterest income’s contribution to total revenue. As the Bank moves forward with its growth strategy, noninterest income is anticipated to play an increasingly vital role in maintaining a well-balanced and resilient financial profile.</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Total noninterest expense for the second quarter of 2024 was $7.9 million, an increase of $734,000, or 10.2%, compared to the same three month period in 2023.</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Salaries and benefits increased $493,000, or 12.6% during the quarter ended June 30, 2024, as compared to the quarter ended June 30, 2023. Headcount increases drove approximately $285,000 of the increase and salary adjustments related to merit and wage inflation accounted for approximately $208,000 of the increase. These adjustments for merit and wage inflation are crucial in maintaining competitive remuneration packages to attract and retain talent in the dynamic banking sector.</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Professional and other services increased $193,000 during the second quarter of 2024, as compared to the same quarter in 2023. This increase was primarily due to $116,000 of nonrecurring expenses associated with a review of technology enhancements meant to drive improvements in operational efficiencies. The remaining increase in professional and other services of $77,000 was spread across several smaller consulting engagements. All other remaining noninterest expense categories had an aggregate increase of $48,000, or 1.7%.</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52</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53" w:name="page54"/>
    <w:bookmarkEnd w:id="53"/>
    <w:p>
      <w:pPr>
        <w:jc w:val="both"/>
        <w:spacing w:after="0" w:line="243" w:lineRule="auto"/>
        <w:rPr>
          <w:sz w:val="20"/>
          <w:szCs w:val="20"/>
          <w:color w:val="auto"/>
        </w:rPr>
      </w:pPr>
      <w:r>
        <w:rPr>
          <w:rFonts w:ascii="Times New Roman" w:cs="Times New Roman" w:eastAsia="Times New Roman" w:hAnsi="Times New Roman"/>
          <w:sz w:val="20"/>
          <w:szCs w:val="20"/>
          <w:color w:val="auto"/>
        </w:rPr>
        <w:t>Management extensively reviews recent trends in changes in the size and composition of the loan portfolio, historical loss experience, qualitative factors, and specific reserve requirements on loans individually evaluated, in its determination of the adequacy of the ACL. For the three months ended June 30, 2024, $290,000 was recorded in PCL, reflecting a decrease of $850,000 compared to the same period in 2023. The quarter ended June 30, 2023, provision for credit losses of $1.1 million was attributed to two large commercial real estate and commercial loan relationships experiencing credit deterioration. The quarter ended June 30, 2024 provision for credit losses included an increase in specific reserves of approximately $665,000, partially offset by improvement in certain qualitative and other factors that resulted in a net increase in the provision for loans of $304,000. The remaining components in provision for credit losses was a net reduction of $14,000.</w:t>
      </w:r>
    </w:p>
    <w:p>
      <w:pPr>
        <w:spacing w:after="0" w:line="20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Bank continues to diligently monitor credit portfolios, particularly those considered sensitive to prevailing economic stressors, and apply conservative loan classification and reserve building methodologies.</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comparing the year-over-year second quarter periods, the Company’s return on average assets decreased only one basis point to 0.56% due to the combined effects of a modest gain in net income (the numerator in the ratio), outpaced slightly by a small increase in average assets (the denominator in the ratio). Average assets increased mostly due to an increase of $64.7 million in the average balances of taxable investment securities in the second quarter of 2024, as compared to the same quarter of 2023.</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recorded net income of $4.1 million for the six months ended June 30, 2024, a $461,000 decrease compared to the six months ended June 30, 2023. The decrease in net income was primarily due to a $916,000 increase in noninterest expense, partially offset by a $269,000 increase in noninterest income and a $186,000 decrease in provision for income taxes.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Net interest income before the provision for credit losses decreased $820,000, or 4.2%, to $18.9 million for the six months ended June 30, 2024, as compared to the same six month period in 2023. This decrease was due to a $6.8 million increase in total interest expense, partially offset by a $6.0 million increase in total interest and dividend income.</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Noninterest income increased $269,000 in the six months ended June 30, 2024 to $2.9 million, compared to the same period in 2023. This increase was mostly due to the recognition of a $245,000 refund received from cumulative lessor related pass-through operating expense charges for a leased branch location during the first quarter of 2024. Excluding this one-time refund, total noninterest income had a modest aggregate gain of $24,000 in all other categories.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Noninterest expense in the six months ended June 30, 2024 was $15.6 million, an increase of $916,000, or 6.2%, when compared to the six months ended June 30, 2023. This increase was mostly due to a $639,000 increase in salaries and employee benefits, as well as a $219,000 increase in professional and other services.</w:t>
      </w:r>
    </w:p>
    <w:p>
      <w:pPr>
        <w:spacing w:after="0" w:line="188"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For the first six months of 2024, the Bank recorded $1.0 million in provision for credit losses as compared to $1.8 million in the same prior year six month period. This decrease can also be primarily attributed to the aforementioned $1.1 million provision for credit losses in the second quarter of 2023.</w:t>
      </w:r>
    </w:p>
    <w:p>
      <w:pPr>
        <w:spacing w:after="0" w:line="188" w:lineRule="exact"/>
        <w:rPr>
          <w:sz w:val="20"/>
          <w:szCs w:val="20"/>
          <w:color w:val="auto"/>
        </w:rPr>
      </w:pPr>
    </w:p>
    <w:p>
      <w:pPr>
        <w:jc w:val="both"/>
        <w:ind w:right="440"/>
        <w:spacing w:after="0" w:line="254" w:lineRule="auto"/>
        <w:rPr>
          <w:sz w:val="20"/>
          <w:szCs w:val="20"/>
          <w:color w:val="auto"/>
        </w:rPr>
      </w:pPr>
      <w:r>
        <w:rPr>
          <w:rFonts w:ascii="Times New Roman" w:cs="Times New Roman" w:eastAsia="Times New Roman" w:hAnsi="Times New Roman"/>
          <w:sz w:val="20"/>
          <w:szCs w:val="20"/>
          <w:color w:val="auto"/>
        </w:rPr>
        <w:t>Return on average assets decreased 8 basis points to 0.58% between the year-over-year six month periods, as there was a decrease in net income in the six month period ended June 30, 2024 (the numerator of the ratio) while the rate of average assets (the denominator of the ratio) grew during the period.</w:t>
      </w:r>
    </w:p>
    <w:p>
      <w:pPr>
        <w:spacing w:after="0" w:line="188"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Average assets increased due to increases in average investment securities of $60.3 million in the six month period ended June 30, 2024 as compared to the same period of 2023. Average interest-bearing liabilities increased $42.9 million in the six months ended June 30, 2024, as compared with the same period in 2023 due to an increase in average deposits. The increase in average deposits for the six months ended June 30, 2024 was primarily due to increased time deposits, including brokered deposits, of $64.0 million. All other deposit accounts in aggregate decreased $21.1 million as compared with the same period in 2023.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Net Interest Income</w:t>
      </w:r>
    </w:p>
    <w:p>
      <w:pPr>
        <w:spacing w:after="0" w:line="193"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Net interest income is the Company's primary source of operating income for payment of operating expenses and providing for credit losses. It is the amount by which interest earned on loans, interest-earning deposits, and investment securities, exceeds the interest paid on deposits and other interest-bearing liabilities. Changes in net interest income and net interest margin result from the interaction between the volume and composition of interest-earning assets, interest-bearing liabilities, related yields, and associated funding costs.</w:t>
      </w:r>
    </w:p>
    <w:p>
      <w:pPr>
        <w:spacing w:after="0" w:line="166"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The following tables set forth information concerning average interest-earning assets and interest-bearing liabilities and the average yields and rates thereon for the periods indicated. Interest income and resultant yield information in the tables have not been adjusted for tax equivalency. Averages are computed on the daily average balance for each month in the period divided by the number of days in the period. Nonaccrual loans have been included in interest-earning assets for purposes of these calculations.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2"/>
        </w:trPr>
        <w:tc>
          <w:tcPr>
            <w:tcW w:w="38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color w:val="auto"/>
              </w:rPr>
              <w:t>For the three months ended June 30,</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38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rPr>
              <w:t>2024</w:t>
            </w: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9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Average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Average</w:t>
            </w:r>
          </w:p>
        </w:tc>
        <w:tc>
          <w:tcPr>
            <w:tcW w:w="40" w:type="dxa"/>
            <w:vAlign w:val="bottom"/>
          </w:tcPr>
          <w:p>
            <w:pPr>
              <w:spacing w:after="0"/>
              <w:rPr>
                <w:sz w:val="18"/>
                <w:szCs w:val="18"/>
                <w:color w:val="auto"/>
              </w:rPr>
            </w:pPr>
          </w:p>
        </w:tc>
      </w:tr>
      <w:tr>
        <w:trPr>
          <w:trHeight w:val="229"/>
        </w:trPr>
        <w:tc>
          <w:tcPr>
            <w:tcW w:w="38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Average</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Yield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Average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Yield /</w:t>
            </w:r>
          </w:p>
        </w:tc>
      </w:tr>
      <w:tr>
        <w:trPr>
          <w:trHeight w:val="242"/>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21"/>
                <w:szCs w:val="21"/>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Balance</w:t>
            </w:r>
          </w:p>
        </w:tc>
        <w:tc>
          <w:tcPr>
            <w:tcW w:w="300" w:type="dxa"/>
            <w:vAlign w:val="bottom"/>
          </w:tcPr>
          <w:p>
            <w:pPr>
              <w:spacing w:after="0"/>
              <w:rPr>
                <w:sz w:val="21"/>
                <w:szCs w:val="21"/>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Interest</w:t>
            </w:r>
          </w:p>
        </w:tc>
        <w:tc>
          <w:tcPr>
            <w:tcW w:w="11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Cost</w:t>
            </w:r>
          </w:p>
        </w:tc>
        <w:tc>
          <w:tcPr>
            <w:tcW w:w="22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Balance</w:t>
            </w:r>
          </w:p>
        </w:tc>
        <w:tc>
          <w:tcPr>
            <w:tcW w:w="240" w:type="dxa"/>
            <w:vAlign w:val="bottom"/>
          </w:tcPr>
          <w:p>
            <w:pPr>
              <w:spacing w:after="0"/>
              <w:rPr>
                <w:sz w:val="21"/>
                <w:szCs w:val="21"/>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Interest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Cost</w:t>
            </w:r>
          </w:p>
        </w:tc>
      </w:tr>
      <w:tr>
        <w:trPr>
          <w:trHeight w:val="230"/>
        </w:trPr>
        <w:tc>
          <w:tcPr>
            <w:tcW w:w="38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Loans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885,384</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12,489</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5.64 %</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907,556</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11,791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5.20 %</w:t>
            </w:r>
          </w:p>
        </w:tc>
      </w:tr>
      <w:tr>
        <w:trPr>
          <w:trHeight w:val="229"/>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434,572</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5,914</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369,870</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4,296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4.65 %</w:t>
            </w: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Tax-exempt investment securities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28,944</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498</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29,013</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479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6.60 %</w:t>
            </w:r>
          </w:p>
        </w:tc>
      </w:tr>
      <w:tr>
        <w:trPr>
          <w:trHeight w:val="239"/>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Fed funds sold and interest-earning deposits</w:t>
            </w:r>
          </w:p>
        </w:tc>
        <w:tc>
          <w:tcPr>
            <w:tcW w:w="32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13,387</w:t>
            </w:r>
          </w:p>
        </w:tc>
        <w:tc>
          <w:tcPr>
            <w:tcW w:w="300" w:type="dxa"/>
            <w:vAlign w:val="bottom"/>
          </w:tcPr>
          <w:p>
            <w:pPr>
              <w:spacing w:after="0"/>
              <w:rPr>
                <w:sz w:val="20"/>
                <w:szCs w:val="20"/>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121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3.62 %</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9,723</w:t>
            </w:r>
          </w:p>
        </w:tc>
        <w:tc>
          <w:tcPr>
            <w:tcW w:w="24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2.26 %</w:t>
            </w:r>
          </w:p>
        </w:tc>
      </w:tr>
      <w:tr>
        <w:trPr>
          <w:trHeight w:val="23"/>
        </w:trPr>
        <w:tc>
          <w:tcPr>
            <w:tcW w:w="38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3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1,362,287</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19,022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1,316,162</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16,621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5.05 %</w:t>
            </w:r>
          </w:p>
        </w:tc>
      </w:tr>
      <w:tr>
        <w:trPr>
          <w:trHeight w:val="229"/>
        </w:trPr>
        <w:tc>
          <w:tcPr>
            <w:tcW w:w="38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Noninterest-earning assets:</w:t>
            </w: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98,746</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94,350</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3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(16,905 )</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(18,030 )</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unrealized losses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3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on available-for-sale securities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(10,248 )</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(12,944 )</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63"/>
        </w:trPr>
        <w:tc>
          <w:tcPr>
            <w:tcW w:w="38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1,433,880</w:t>
            </w:r>
          </w:p>
        </w:tc>
        <w:tc>
          <w:tcPr>
            <w:tcW w:w="3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1,379,538</w:t>
            </w: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spacing w:after="0"/>
              <w:rPr>
                <w:sz w:val="22"/>
                <w:szCs w:val="22"/>
                <w:color w:val="auto"/>
              </w:rPr>
            </w:pPr>
          </w:p>
        </w:tc>
        <w:tc>
          <w:tcPr>
            <w:tcW w:w="40" w:type="dxa"/>
            <w:vAlign w:val="bottom"/>
          </w:tcPr>
          <w:p>
            <w:pPr>
              <w:spacing w:after="0"/>
              <w:rPr>
                <w:sz w:val="22"/>
                <w:szCs w:val="22"/>
                <w:color w:val="auto"/>
              </w:rPr>
            </w:pPr>
          </w:p>
        </w:tc>
      </w:tr>
      <w:tr>
        <w:trPr>
          <w:trHeight w:val="19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7"/>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NOW accounts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92,918</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264</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93,560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0.43 %</w:t>
            </w:r>
          </w:p>
        </w:tc>
      </w:tr>
      <w:tr>
        <w:trPr>
          <w:trHeight w:val="229"/>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Money management accounts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12,076</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14,159</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0.11 %</w:t>
            </w: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MMDA accounts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214,364</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2,002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244,927</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1,622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2.65 %</w:t>
            </w: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Savings and club accounts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107,558</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127,356</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0.21 %</w:t>
            </w: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Time deposits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524,276</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5,286</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468,534</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3,832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3.27 %</w:t>
            </w:r>
          </w:p>
        </w:tc>
      </w:tr>
      <w:tr>
        <w:trPr>
          <w:trHeight w:val="229"/>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Subordinated debt</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29,977</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489</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29,792</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483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6.48 %</w:t>
            </w:r>
          </w:p>
        </w:tc>
      </w:tr>
      <w:tr>
        <w:trPr>
          <w:trHeight w:val="239"/>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Borrowings</w:t>
            </w:r>
          </w:p>
        </w:tc>
        <w:tc>
          <w:tcPr>
            <w:tcW w:w="32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141,067</w:t>
            </w:r>
          </w:p>
        </w:tc>
        <w:tc>
          <w:tcPr>
            <w:tcW w:w="300" w:type="dxa"/>
            <w:vAlign w:val="bottom"/>
          </w:tcPr>
          <w:p>
            <w:pPr>
              <w:spacing w:after="0"/>
              <w:rPr>
                <w:sz w:val="20"/>
                <w:szCs w:val="20"/>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1,427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4.05 %</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99,284</w:t>
            </w:r>
          </w:p>
        </w:tc>
        <w:tc>
          <w:tcPr>
            <w:tcW w:w="24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781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3.15 %</w:t>
            </w:r>
          </w:p>
        </w:tc>
      </w:tr>
      <w:tr>
        <w:trPr>
          <w:trHeight w:val="23"/>
        </w:trPr>
        <w:tc>
          <w:tcPr>
            <w:tcW w:w="38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3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1,122,236</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9,542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1,077,612</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6,889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2.56 %</w:t>
            </w:r>
          </w:p>
        </w:tc>
      </w:tr>
      <w:tr>
        <w:trPr>
          <w:trHeight w:val="229"/>
        </w:trPr>
        <w:tc>
          <w:tcPr>
            <w:tcW w:w="38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Noninterest-bearing liabilities:</w:t>
            </w: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Demand deposits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171,135</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171,882</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88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17,298</w:t>
            </w:r>
          </w:p>
        </w:tc>
        <w:tc>
          <w:tcPr>
            <w:tcW w:w="3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16,129</w:t>
            </w: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1,310,669</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1,265,623</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8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123,211</w:t>
            </w: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113,915</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Total liabilities &amp; shareholders' equity</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1,433,880</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1,379,538</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9,480</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9,732</w:t>
            </w:r>
          </w:p>
        </w:tc>
        <w:tc>
          <w:tcPr>
            <w:tcW w:w="9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rate spread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2.49 %</w:t>
            </w:r>
          </w:p>
        </w:tc>
      </w:tr>
      <w:tr>
        <w:trPr>
          <w:trHeight w:val="242"/>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margin</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2.78 %</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2.96 %</w:t>
            </w:r>
          </w:p>
        </w:tc>
      </w:tr>
      <w:tr>
        <w:trPr>
          <w:trHeight w:val="202"/>
        </w:trPr>
        <w:tc>
          <w:tcPr>
            <w:tcW w:w="3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Ratio of average interest-earning assets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 average interest-bearing liabilities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121.39 %</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122.14 %</w:t>
            </w:r>
          </w:p>
        </w:tc>
      </w:tr>
      <w:tr>
        <w:trPr>
          <w:trHeight w:val="23"/>
        </w:trPr>
        <w:tc>
          <w:tcPr>
            <w:tcW w:w="38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-4474210</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-4182745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-2836545</wp:posOffset>
            </wp:positionV>
            <wp:extent cx="71323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-2545080</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71323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-1962150</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06" w:right="2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3"/>
        </w:trPr>
        <w:tc>
          <w:tcPr>
            <w:tcW w:w="3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For the six months ended June 30,</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2024</w:t>
            </w:r>
          </w:p>
        </w:tc>
        <w:tc>
          <w:tcPr>
            <w:tcW w:w="1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c>
          <w:tcPr>
            <w:tcW w:w="1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Average</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5"/>
              </w:rPr>
              <w:t>Average</w:t>
            </w:r>
          </w:p>
        </w:tc>
        <w:tc>
          <w:tcPr>
            <w:tcW w:w="40" w:type="dxa"/>
            <w:vAlign w:val="bottom"/>
          </w:tcPr>
          <w:p>
            <w:pPr>
              <w:spacing w:after="0"/>
              <w:rPr>
                <w:sz w:val="18"/>
                <w:szCs w:val="18"/>
                <w:color w:val="auto"/>
              </w:rPr>
            </w:pPr>
          </w:p>
        </w:tc>
      </w:tr>
      <w:tr>
        <w:trPr>
          <w:trHeight w:val="229"/>
        </w:trPr>
        <w:tc>
          <w:tcPr>
            <w:tcW w:w="39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20" w:type="dxa"/>
            <w:vAlign w:val="bottom"/>
          </w:tcPr>
          <w:p>
            <w:pPr>
              <w:spacing w:after="0"/>
              <w:rPr>
                <w:sz w:val="19"/>
                <w:szCs w:val="19"/>
                <w:color w:val="auto"/>
              </w:rPr>
            </w:pPr>
          </w:p>
        </w:tc>
        <w:tc>
          <w:tcPr>
            <w:tcW w:w="11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Average</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Yield /</w:t>
            </w:r>
          </w:p>
        </w:tc>
        <w:tc>
          <w:tcPr>
            <w:tcW w:w="200" w:type="dxa"/>
            <w:vAlign w:val="bottom"/>
          </w:tcPr>
          <w:p>
            <w:pPr>
              <w:spacing w:after="0"/>
              <w:rPr>
                <w:sz w:val="19"/>
                <w:szCs w:val="19"/>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Average</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Yield /</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21"/>
                <w:szCs w:val="21"/>
                <w:color w:val="auto"/>
              </w:rPr>
            </w:pPr>
          </w:p>
        </w:tc>
        <w:tc>
          <w:tcPr>
            <w:tcW w:w="11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Balance</w:t>
            </w:r>
          </w:p>
        </w:tc>
        <w:tc>
          <w:tcPr>
            <w:tcW w:w="200" w:type="dxa"/>
            <w:vAlign w:val="bottom"/>
          </w:tcPr>
          <w:p>
            <w:pPr>
              <w:spacing w:after="0"/>
              <w:rPr>
                <w:sz w:val="21"/>
                <w:szCs w:val="21"/>
                <w:color w:val="auto"/>
              </w:rPr>
            </w:pPr>
          </w:p>
        </w:tc>
        <w:tc>
          <w:tcPr>
            <w:tcW w:w="8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Interest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Cost</w:t>
            </w:r>
          </w:p>
        </w:tc>
        <w:tc>
          <w:tcPr>
            <w:tcW w:w="200" w:type="dxa"/>
            <w:vAlign w:val="bottom"/>
          </w:tcPr>
          <w:p>
            <w:pPr>
              <w:spacing w:after="0"/>
              <w:rPr>
                <w:sz w:val="21"/>
                <w:szCs w:val="21"/>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Balance</w:t>
            </w:r>
          </w:p>
        </w:tc>
        <w:tc>
          <w:tcPr>
            <w:tcW w:w="220" w:type="dxa"/>
            <w:vAlign w:val="bottom"/>
          </w:tcPr>
          <w:p>
            <w:pPr>
              <w:spacing w:after="0"/>
              <w:rPr>
                <w:sz w:val="21"/>
                <w:szCs w:val="21"/>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Interest</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5"/>
              </w:rPr>
              <w:t>Cost</w:t>
            </w:r>
          </w:p>
        </w:tc>
      </w:tr>
      <w:tr>
        <w:trPr>
          <w:trHeight w:val="212"/>
        </w:trPr>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Loans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889,988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24,757</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5.56 %</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903,255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22,449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4.97 %</w:t>
            </w:r>
          </w:p>
        </w:tc>
      </w:tr>
      <w:tr>
        <w:trPr>
          <w:trHeight w:val="229"/>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2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433,156</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11,650</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5.38 %</w:t>
            </w:r>
          </w:p>
        </w:tc>
        <w:tc>
          <w:tcPr>
            <w:tcW w:w="20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369,155</w:t>
            </w:r>
          </w:p>
        </w:tc>
        <w:tc>
          <w:tcPr>
            <w:tcW w:w="22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8,121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4.40 %</w:t>
            </w:r>
          </w:p>
        </w:tc>
      </w:tr>
      <w:tr>
        <w:trPr>
          <w:trHeight w:val="229"/>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Tax-exempt investment securities</w:t>
            </w:r>
          </w:p>
        </w:tc>
        <w:tc>
          <w:tcPr>
            <w:tcW w:w="2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29,053</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6.93 %</w:t>
            </w:r>
          </w:p>
        </w:tc>
        <w:tc>
          <w:tcPr>
            <w:tcW w:w="20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32,726</w:t>
            </w:r>
          </w:p>
        </w:tc>
        <w:tc>
          <w:tcPr>
            <w:tcW w:w="22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934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5.71 %</w:t>
            </w:r>
          </w:p>
        </w:tc>
      </w:tr>
      <w:tr>
        <w:trPr>
          <w:trHeight w:val="239"/>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Fed funds sold and interest-earning deposits</w:t>
            </w:r>
          </w:p>
        </w:tc>
        <w:tc>
          <w:tcPr>
            <w:tcW w:w="22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8,669</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5.05 %</w:t>
            </w:r>
          </w:p>
        </w:tc>
        <w:tc>
          <w:tcPr>
            <w:tcW w:w="20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11,930</w:t>
            </w:r>
          </w:p>
        </w:tc>
        <w:tc>
          <w:tcPr>
            <w:tcW w:w="220" w:type="dxa"/>
            <w:vAlign w:val="bottom"/>
          </w:tcPr>
          <w:p>
            <w:pPr>
              <w:spacing w:after="0"/>
              <w:rPr>
                <w:sz w:val="20"/>
                <w:szCs w:val="20"/>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160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2.68 %</w:t>
            </w:r>
          </w:p>
        </w:tc>
      </w:tr>
      <w:tr>
        <w:trPr>
          <w:trHeight w:val="23"/>
        </w:trPr>
        <w:tc>
          <w:tcPr>
            <w:tcW w:w="3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3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2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1,360,866</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37,632</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5.53 %</w:t>
            </w:r>
          </w:p>
        </w:tc>
        <w:tc>
          <w:tcPr>
            <w:tcW w:w="20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1,317,066</w:t>
            </w:r>
          </w:p>
        </w:tc>
        <w:tc>
          <w:tcPr>
            <w:tcW w:w="22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31,664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4.81 %</w:t>
            </w:r>
          </w:p>
        </w:tc>
      </w:tr>
      <w:tr>
        <w:trPr>
          <w:trHeight w:val="221"/>
        </w:trPr>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Noninterest-earning assets: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38"/>
        </w:trPr>
        <w:tc>
          <w:tcPr>
            <w:tcW w:w="3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96,772</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97,754</w:t>
            </w: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(16,498 )</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(17,542 )</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2"/>
        </w:trPr>
        <w:tc>
          <w:tcPr>
            <w:tcW w:w="3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unrealized losses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394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on available-for-sale securities</w:t>
            </w: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(10,701 )</w:t>
            </w: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(12,738 )</w:t>
            </w: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1,430,439</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1,384,540</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NOW accounts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97,213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95,492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191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0.40 %</w:t>
            </w:r>
          </w:p>
        </w:tc>
      </w:tr>
      <w:tr>
        <w:trPr>
          <w:trHeight w:val="229"/>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Money management accounts</w:t>
            </w:r>
          </w:p>
        </w:tc>
        <w:tc>
          <w:tcPr>
            <w:tcW w:w="2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11,759</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0.11 %</w:t>
            </w:r>
          </w:p>
        </w:tc>
        <w:tc>
          <w:tcPr>
            <w:tcW w:w="20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14,727</w:t>
            </w:r>
          </w:p>
        </w:tc>
        <w:tc>
          <w:tcPr>
            <w:tcW w:w="22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0.11 %</w:t>
            </w:r>
          </w:p>
        </w:tc>
      </w:tr>
      <w:tr>
        <w:trPr>
          <w:trHeight w:val="230"/>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MMDA accounts</w:t>
            </w:r>
          </w:p>
        </w:tc>
        <w:tc>
          <w:tcPr>
            <w:tcW w:w="2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212,693</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3,935</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3.70 %</w:t>
            </w:r>
          </w:p>
        </w:tc>
        <w:tc>
          <w:tcPr>
            <w:tcW w:w="20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253,214</w:t>
            </w:r>
          </w:p>
        </w:tc>
        <w:tc>
          <w:tcPr>
            <w:tcW w:w="22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2,897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2.29 %</w:t>
            </w:r>
          </w:p>
        </w:tc>
      </w:tr>
      <w:tr>
        <w:trPr>
          <w:trHeight w:val="229"/>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Savings and club accounts</w:t>
            </w:r>
          </w:p>
        </w:tc>
        <w:tc>
          <w:tcPr>
            <w:tcW w:w="2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110,119</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0.26 %</w:t>
            </w:r>
          </w:p>
        </w:tc>
        <w:tc>
          <w:tcPr>
            <w:tcW w:w="20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130,427</w:t>
            </w:r>
          </w:p>
        </w:tc>
        <w:tc>
          <w:tcPr>
            <w:tcW w:w="22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131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0.20 %</w:t>
            </w:r>
          </w:p>
        </w:tc>
      </w:tr>
      <w:tr>
        <w:trPr>
          <w:trHeight w:val="229"/>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Time deposits</w:t>
            </w:r>
          </w:p>
        </w:tc>
        <w:tc>
          <w:tcPr>
            <w:tcW w:w="2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525,767</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10,426</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3.97 %</w:t>
            </w:r>
          </w:p>
        </w:tc>
        <w:tc>
          <w:tcPr>
            <w:tcW w:w="20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461,793</w:t>
            </w:r>
          </w:p>
        </w:tc>
        <w:tc>
          <w:tcPr>
            <w:tcW w:w="22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6,435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2.79 %</w:t>
            </w:r>
          </w:p>
        </w:tc>
      </w:tr>
      <w:tr>
        <w:trPr>
          <w:trHeight w:val="230"/>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Subordinated debt</w:t>
            </w:r>
          </w:p>
        </w:tc>
        <w:tc>
          <w:tcPr>
            <w:tcW w:w="2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29,954</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6.54 %</w:t>
            </w:r>
          </w:p>
        </w:tc>
        <w:tc>
          <w:tcPr>
            <w:tcW w:w="20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29,770</w:t>
            </w:r>
          </w:p>
        </w:tc>
        <w:tc>
          <w:tcPr>
            <w:tcW w:w="22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955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6.42 %</w:t>
            </w:r>
          </w:p>
        </w:tc>
      </w:tr>
      <w:tr>
        <w:trPr>
          <w:trHeight w:val="239"/>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Borrowings</w:t>
            </w:r>
          </w:p>
        </w:tc>
        <w:tc>
          <w:tcPr>
            <w:tcW w:w="22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133,894</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4.09 %</w:t>
            </w:r>
          </w:p>
        </w:tc>
        <w:tc>
          <w:tcPr>
            <w:tcW w:w="20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93,057</w:t>
            </w:r>
          </w:p>
        </w:tc>
        <w:tc>
          <w:tcPr>
            <w:tcW w:w="220" w:type="dxa"/>
            <w:vAlign w:val="bottom"/>
          </w:tcPr>
          <w:p>
            <w:pPr>
              <w:spacing w:after="0"/>
              <w:rPr>
                <w:sz w:val="20"/>
                <w:szCs w:val="20"/>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1,347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2.89 %</w:t>
            </w:r>
          </w:p>
        </w:tc>
      </w:tr>
      <w:tr>
        <w:trPr>
          <w:trHeight w:val="23"/>
        </w:trPr>
        <w:tc>
          <w:tcPr>
            <w:tcW w:w="3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3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2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1,121,399</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18,752</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20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1,078,480</w:t>
            </w:r>
          </w:p>
        </w:tc>
        <w:tc>
          <w:tcPr>
            <w:tcW w:w="22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11,964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2.22 %</w:t>
            </w:r>
          </w:p>
        </w:tc>
      </w:tr>
      <w:tr>
        <w:trPr>
          <w:trHeight w:val="221"/>
        </w:trPr>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Noninterest-bearing liabilities: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38"/>
        </w:trPr>
        <w:tc>
          <w:tcPr>
            <w:tcW w:w="3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Demand deposits</w:t>
            </w: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170,313</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176,339</w:t>
            </w: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16,542</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16,269</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94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1,308,254</w:t>
            </w: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1,271,088</w:t>
            </w: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122,185</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113,452</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63"/>
        </w:trPr>
        <w:tc>
          <w:tcPr>
            <w:tcW w:w="394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liabilities &amp; shareholders' equity</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1,430,439</w:t>
            </w:r>
          </w:p>
        </w:tc>
        <w:tc>
          <w:tcPr>
            <w:tcW w:w="20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1,384,540</w:t>
            </w:r>
          </w:p>
        </w:tc>
        <w:tc>
          <w:tcPr>
            <w:tcW w:w="22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spacing w:after="0"/>
              <w:rPr>
                <w:sz w:val="22"/>
                <w:szCs w:val="22"/>
                <w:color w:val="auto"/>
              </w:rPr>
            </w:pPr>
          </w:p>
        </w:tc>
        <w:tc>
          <w:tcPr>
            <w:tcW w:w="40" w:type="dxa"/>
            <w:vAlign w:val="bottom"/>
          </w:tcPr>
          <w:p>
            <w:pPr>
              <w:spacing w:after="0"/>
              <w:rPr>
                <w:sz w:val="22"/>
                <w:szCs w:val="22"/>
                <w:color w:val="auto"/>
              </w:rPr>
            </w:pPr>
          </w:p>
        </w:tc>
      </w:tr>
      <w:tr>
        <w:trPr>
          <w:trHeight w:val="197"/>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18,880</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19,700</w:t>
            </w: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rate spread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2.59 %</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margin</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2.77 %</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2.99 %</w:t>
            </w:r>
          </w:p>
        </w:tc>
      </w:tr>
      <w:tr>
        <w:trPr>
          <w:trHeight w:val="202"/>
        </w:trPr>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Ratio of average interest-earning assets</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 average interest-bearing liabilities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121.35 %</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122.12 %</w:t>
            </w:r>
          </w:p>
        </w:tc>
      </w:tr>
      <w:tr>
        <w:trPr>
          <w:trHeight w:val="23"/>
        </w:trPr>
        <w:tc>
          <w:tcPr>
            <w:tcW w:w="3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-4619625</wp:posOffset>
            </wp:positionV>
            <wp:extent cx="71323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-4328160</wp:posOffset>
            </wp:positionV>
            <wp:extent cx="7132320"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-4028440</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-2691130</wp:posOffset>
            </wp:positionV>
            <wp:extent cx="713232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-2399665</wp:posOffset>
            </wp:positionV>
            <wp:extent cx="713232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-2108200</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-1807845</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2825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87"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Net interest income before the provision for credit losses decreased $252,000, or 2.6%, to $9.5 million for the three months ended June 30, 2024, as compared to the same three month period in 2023. An increase in interest expense of almost $2.7 million was partially offset by an increase in interest and dividend income of $2.4 million.</w:t>
      </w:r>
    </w:p>
    <w:p>
      <w:pPr>
        <w:spacing w:after="0" w:line="18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9"/>
          <w:szCs w:val="19"/>
          <w:color w:val="auto"/>
        </w:rPr>
        <w:t>The increase in interest and dividend income of $2.4 million for the second quarter of 2024 as compared to the same prior year quarter can be primarily attributed to average loan yield increases of 44 basis points, investment securities and federal funds sold average balance increases of $68.3 million, and investment securities and federal funds sold average yield increases of 75 basis points. The corresponding increase in loan interest income and investment securities and federal funds sold interest income was $698,000 and $1.7 million, respectively.</w:t>
      </w:r>
    </w:p>
    <w:p>
      <w:pPr>
        <w:spacing w:after="0" w:line="179"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0"/>
          <w:szCs w:val="20"/>
          <w:color w:val="auto"/>
        </w:rPr>
        <w:t>The increase in interest expense of $2.7 million for the second quarter of 2024, compared to the prior year quarter, was predominantly the result of a change in the Bank's deposit mix to higher cost deposits and a rise in average rates paid on interest-bearing liabilities, reflecting the competitive conditions in the current interest rate environment. As a result, the net interest margin for the second quarter of 2024 was 2.78%, compared to 2.75% in the first quarter of 2024, and 2.96% in the second quarter of 2023. The increase of three basis points compared to the first quarter was driven by asset yield improvements partially offset by deposit cost increases. The decline in net interest margin compared to the second quarter of 2023 can primarily be attributed to higher funding costs related to the current high interest rate environment and upward repricing within the deposit portfolio, partially offset by an increase in the average yield on interest-earning assets.</w:t>
      </w:r>
    </w:p>
    <w:p>
      <w:pPr>
        <w:spacing w:after="0" w:line="199" w:lineRule="exact"/>
        <w:rPr>
          <w:sz w:val="20"/>
          <w:szCs w:val="20"/>
          <w:color w:val="auto"/>
        </w:rPr>
      </w:pPr>
    </w:p>
    <w:p>
      <w:pPr>
        <w:jc w:val="both"/>
        <w:ind w:right="40"/>
        <w:spacing w:after="0" w:line="248" w:lineRule="auto"/>
        <w:rPr>
          <w:sz w:val="20"/>
          <w:szCs w:val="20"/>
          <w:color w:val="auto"/>
        </w:rPr>
      </w:pPr>
      <w:r>
        <w:rPr>
          <w:rFonts w:ascii="Times New Roman" w:cs="Times New Roman" w:eastAsia="Times New Roman" w:hAnsi="Times New Roman"/>
          <w:sz w:val="20"/>
          <w:szCs w:val="20"/>
          <w:color w:val="auto"/>
        </w:rPr>
        <w:t>Net interest income before the provision for credit losses decreased $820,000, or 4.2%, to $18.9 million for the six months ended June 30, 2024, as compared to the same six month period in 2023. This decrease was due to a $6.8 million increase in total interest expense, partially offset by a $6.0 million increase in total interest and dividend income.</w:t>
      </w: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38" w:right="299" w:bottom="1440" w:gutter="0" w:footer="0" w:header="0"/>
        </w:sectPr>
      </w:pPr>
    </w:p>
    <w:bookmarkStart w:id="56" w:name="page57"/>
    <w:bookmarkEnd w:id="56"/>
    <w:p>
      <w:pPr>
        <w:jc w:val="both"/>
        <w:spacing w:after="0" w:line="244" w:lineRule="auto"/>
        <w:rPr>
          <w:sz w:val="20"/>
          <w:szCs w:val="20"/>
          <w:color w:val="auto"/>
        </w:rPr>
      </w:pPr>
      <w:r>
        <w:rPr>
          <w:rFonts w:ascii="Times New Roman" w:cs="Times New Roman" w:eastAsia="Times New Roman" w:hAnsi="Times New Roman"/>
          <w:sz w:val="20"/>
          <w:szCs w:val="20"/>
          <w:color w:val="auto"/>
        </w:rPr>
        <w:t>Interest expense increased $6.8 million for the six months ended June 30, 2024 as compared to the prior year period. The average interest rate paid on interest-bearing liabilities increased by 112 basis points for the six months ended June 30, 2024 as compared to the prior year period, and average interest-bearing liabilities increased by $42.9 million, or 4%. Average loans for the first six months of 2024 decreased by $13.3 million, or 1.5%, over the prior year period, while the average interest yield earned on average loans increased by 59 basis points, resulting in an increase of $2.3 million in interest income on loans for the six months ended June 30, 2024 as compared to the prior year period. Income from investment securities increased $3.6 million to $12.7 million for the six months ended June 30, 2024, as compared to the same prior year period.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Rate/Volume Analysis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Net interest income can also be analyzed in terms of the impact of changing interest rates on interest-earning assets and interest-bearing liabilities and changes in the volume or amount of these assets and liabilities. The following table represents the extent to which changes in interest rates and changes in the volume of interest-earning assets and interest-bearing liabilities have affected the Company’s interest income and interest expense during the periods indicated. Information is provided in each category with respect to: (i) changes attributable to changes in volume (change in volume multiplied by prior rate); (ii) changes attributable to changes in rate (changes in rate multiplied by prior volume); and (iii) total increase or decrease. Changes attributable to both rate and volume have been allocated ratably. Tax-exempt securities have not been adjusted for tax equivalency.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20" w:type="dxa"/>
            <w:vAlign w:val="bottom"/>
            <w:gridSpan w:val="5"/>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600" w:type="dxa"/>
            <w:vAlign w:val="bottom"/>
          </w:tcPr>
          <w:p>
            <w:pPr>
              <w:spacing w:after="0"/>
              <w:rPr>
                <w:sz w:val="20"/>
                <w:szCs w:val="20"/>
                <w:color w:val="auto"/>
              </w:rPr>
            </w:pPr>
          </w:p>
        </w:tc>
      </w:tr>
      <w:tr>
        <w:trPr>
          <w:trHeight w:val="243"/>
        </w:trPr>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2024 vs. 2023</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50"/>
        </w:trPr>
        <w:tc>
          <w:tcPr>
            <w:tcW w:w="4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5"/>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Increase/(Decrease) Due to</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Increase/(Decrease) Due to</w:t>
            </w:r>
          </w:p>
        </w:tc>
        <w:tc>
          <w:tcPr>
            <w:tcW w:w="600" w:type="dxa"/>
            <w:vAlign w:val="bottom"/>
            <w:tcBorders>
              <w:bottom w:val="single" w:sz="8" w:color="auto"/>
            </w:tcBorders>
          </w:tcPr>
          <w:p>
            <w:pPr>
              <w:spacing w:after="0"/>
              <w:rPr>
                <w:sz w:val="21"/>
                <w:szCs w:val="21"/>
                <w:color w:val="auto"/>
              </w:rPr>
            </w:pPr>
          </w:p>
        </w:tc>
      </w:tr>
      <w:tr>
        <w:trPr>
          <w:trHeight w:val="234"/>
        </w:trPr>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21"/>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45"/>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5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Rate</w:t>
            </w:r>
          </w:p>
        </w:tc>
        <w:tc>
          <w:tcPr>
            <w:tcW w:w="4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r>
      <w:tr>
        <w:trPr>
          <w:trHeight w:val="23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(1,639 )</w:t>
            </w:r>
          </w:p>
        </w:tc>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2,337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698</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(921 )</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3,229</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2,308</w:t>
            </w:r>
          </w:p>
        </w:tc>
      </w:tr>
      <w:tr>
        <w:trPr>
          <w:trHeight w:val="247"/>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817</w:t>
            </w:r>
          </w:p>
        </w:tc>
        <w:tc>
          <w:tcPr>
            <w:tcW w:w="58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801</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1,618</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1,545</w:t>
            </w:r>
          </w:p>
        </w:tc>
        <w:tc>
          <w:tcPr>
            <w:tcW w:w="42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1,984</w:t>
            </w:r>
          </w:p>
        </w:tc>
        <w:tc>
          <w:tcPr>
            <w:tcW w:w="44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3,529</w:t>
            </w:r>
          </w:p>
        </w:tc>
      </w:tr>
      <w:tr>
        <w:trPr>
          <w:trHeight w:val="23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58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42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322</w:t>
            </w:r>
          </w:p>
        </w:tc>
        <w:tc>
          <w:tcPr>
            <w:tcW w:w="44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42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Interest-earning deposits</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4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179</w:t>
            </w:r>
          </w:p>
        </w:tc>
        <w:tc>
          <w:tcPr>
            <w:tcW w:w="4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r>
      <w:tr>
        <w:trPr>
          <w:trHeight w:val="236"/>
        </w:trPr>
        <w:tc>
          <w:tcPr>
            <w:tcW w:w="4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 interest income</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(804 )</w:t>
            </w:r>
          </w:p>
        </w:tc>
        <w:tc>
          <w:tcPr>
            <w:tcW w:w="5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3,205</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2,401</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5,714</w:t>
            </w: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5,968</w:t>
            </w:r>
          </w:p>
        </w:tc>
      </w:tr>
      <w:tr>
        <w:trPr>
          <w:trHeight w:val="241"/>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r>
      <w:tr>
        <w:trPr>
          <w:trHeight w:val="23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NOW accounts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58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331</w:t>
            </w:r>
          </w:p>
        </w:tc>
        <w:tc>
          <w:tcPr>
            <w:tcW w:w="44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r>
      <w:tr>
        <w:trPr>
          <w:trHeight w:val="247"/>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management accounts</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58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42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MMDA accounts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(1,153 )</w:t>
            </w:r>
          </w:p>
        </w:tc>
        <w:tc>
          <w:tcPr>
            <w:tcW w:w="58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1,533</w:t>
            </w:r>
          </w:p>
        </w:tc>
        <w:tc>
          <w:tcPr>
            <w:tcW w:w="2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(1,259 )</w:t>
            </w:r>
          </w:p>
        </w:tc>
        <w:tc>
          <w:tcPr>
            <w:tcW w:w="42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2,297</w:t>
            </w:r>
          </w:p>
        </w:tc>
        <w:tc>
          <w:tcPr>
            <w:tcW w:w="44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1,038</w:t>
            </w:r>
          </w:p>
        </w:tc>
      </w:tr>
      <w:tr>
        <w:trPr>
          <w:trHeight w:val="247"/>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Savings and club accounts</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58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42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44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3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 deposits</w:t>
            </w:r>
          </w:p>
        </w:tc>
        <w:tc>
          <w:tcPr>
            <w:tcW w:w="24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492</w:t>
            </w:r>
          </w:p>
        </w:tc>
        <w:tc>
          <w:tcPr>
            <w:tcW w:w="58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962</w:t>
            </w:r>
          </w:p>
        </w:tc>
        <w:tc>
          <w:tcPr>
            <w:tcW w:w="2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1,454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984</w:t>
            </w:r>
          </w:p>
        </w:tc>
        <w:tc>
          <w:tcPr>
            <w:tcW w:w="42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3,007</w:t>
            </w:r>
          </w:p>
        </w:tc>
        <w:tc>
          <w:tcPr>
            <w:tcW w:w="44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3,991</w:t>
            </w:r>
          </w:p>
        </w:tc>
      </w:tr>
      <w:tr>
        <w:trPr>
          <w:trHeight w:val="247"/>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Subordinated debt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39"/>
        </w:trPr>
        <w:tc>
          <w:tcPr>
            <w:tcW w:w="4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Borrowings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385</w:t>
            </w:r>
          </w:p>
        </w:tc>
        <w:tc>
          <w:tcPr>
            <w:tcW w:w="5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717</w:t>
            </w: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671</w:t>
            </w: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1,388</w:t>
            </w:r>
          </w:p>
        </w:tc>
      </w:tr>
      <w:tr>
        <w:trPr>
          <w:trHeight w:val="236"/>
        </w:trPr>
        <w:tc>
          <w:tcPr>
            <w:tcW w:w="42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58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2,982</w:t>
            </w: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2,653</w:t>
            </w:r>
          </w:p>
        </w:tc>
        <w:tc>
          <w:tcPr>
            <w:tcW w:w="14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4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6,387</w:t>
            </w:r>
          </w:p>
        </w:tc>
        <w:tc>
          <w:tcPr>
            <w:tcW w:w="4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6,788</w:t>
            </w:r>
          </w:p>
        </w:tc>
      </w:tr>
      <w:tr>
        <w:trPr>
          <w:trHeight w:val="237"/>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change in net interest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4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(673 )</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(820 )</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417"/>
        </w:trPr>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56</w:t>
            </w:r>
            <w:r>
              <w:rPr>
                <w:rFonts w:ascii="Times New Roman" w:cs="Times New Roman" w:eastAsia="Times New Roman" w:hAnsi="Times New Roman"/>
                <w:sz w:val="18"/>
                <w:szCs w:val="18"/>
                <w:color w:val="auto"/>
              </w:rPr>
              <w:t xml:space="preserve"> -</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763"/>
        </w:trPr>
        <w:tc>
          <w:tcPr>
            <w:tcW w:w="4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auto"/>
        </w:rPr>
        <w:t>Deposits</w:t>
      </w:r>
    </w:p>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Company’s deposit base is drawn from eleven full-service offices in its market area. The deposit base consists of demand deposits, money management and money market deposit accounts, savings, and time deposits. Total deposits decreased by $18.8 million, or 1.7% from December 31, 2023. The decrease in deposits during the six months ended June 30, 2024 was primarily due to seasonal fluctuations of municipal depositors. At June 30, 2024, 55.9% of the Company's deposit base of $1.10 billion consisted of core deposits. Core deposits, which exclude time deposits, are considered to be more stable and generally provide the Company with a lower cost of funds than time deposits. The Company will continue to emphasize retail and business core deposits in the future by providing depositors with a full range of deposit product offerings and will maintain its recent focus on deposit gathering within the Syracuse market.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deposits by category at June 30, 2024 and December 31, 2023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June 30, 2024</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43"/>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8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106,048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113,543</w:t>
            </w:r>
          </w:p>
        </w:tc>
      </w:tr>
      <w:tr>
        <w:trPr>
          <w:trHeight w:val="23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accounts</w:t>
            </w:r>
          </w:p>
        </w:tc>
        <w:tc>
          <w:tcPr>
            <w:tcW w:w="284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368,262</w:t>
            </w:r>
          </w:p>
        </w:tc>
        <w:tc>
          <w:tcPr>
            <w:tcW w:w="2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377,570</w:t>
            </w:r>
          </w:p>
        </w:tc>
      </w:tr>
      <w:tr>
        <w:trPr>
          <w:trHeight w:val="24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 accounts in excess of $250,000</w:t>
            </w:r>
          </w:p>
        </w:tc>
        <w:tc>
          <w:tcPr>
            <w:tcW w:w="28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117,021</w:t>
            </w: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95,272</w:t>
            </w:r>
          </w:p>
        </w:tc>
      </w:tr>
      <w:tr>
        <w:trPr>
          <w:trHeight w:val="23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management accounts</w:t>
            </w:r>
          </w:p>
        </w:tc>
        <w:tc>
          <w:tcPr>
            <w:tcW w:w="284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12,154</w:t>
            </w:r>
          </w:p>
        </w:tc>
        <w:tc>
          <w:tcPr>
            <w:tcW w:w="2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12,364</w:t>
            </w:r>
          </w:p>
        </w:tc>
      </w:tr>
      <w:tr>
        <w:trPr>
          <w:trHeight w:val="24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MMDA accounts</w:t>
            </w:r>
          </w:p>
        </w:tc>
        <w:tc>
          <w:tcPr>
            <w:tcW w:w="28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193,915</w:t>
            </w: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224,707</w:t>
            </w:r>
          </w:p>
        </w:tc>
      </w:tr>
      <w:tr>
        <w:trPr>
          <w:trHeight w:val="23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Demand deposit interest-bearing</w:t>
            </w:r>
          </w:p>
        </w:tc>
        <w:tc>
          <w:tcPr>
            <w:tcW w:w="284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128,168</w:t>
            </w:r>
          </w:p>
        </w:tc>
        <w:tc>
          <w:tcPr>
            <w:tcW w:w="2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119,321</w:t>
            </w:r>
          </w:p>
        </w:tc>
      </w:tr>
      <w:tr>
        <w:trPr>
          <w:trHeight w:val="24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Demand deposit noninterest-bearing</w:t>
            </w:r>
          </w:p>
        </w:tc>
        <w:tc>
          <w:tcPr>
            <w:tcW w:w="28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169,145</w:t>
            </w: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170,169</w:t>
            </w:r>
          </w:p>
        </w:tc>
      </w:tr>
      <w:tr>
        <w:trPr>
          <w:trHeight w:val="239"/>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Mortgage escrow funds</w:t>
            </w:r>
          </w:p>
        </w:tc>
        <w:tc>
          <w:tcPr>
            <w:tcW w:w="28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6,564</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7,121</w:t>
            </w:r>
          </w:p>
        </w:tc>
      </w:tr>
      <w:tr>
        <w:trPr>
          <w:trHeight w:val="277"/>
        </w:trPr>
        <w:tc>
          <w:tcPr>
            <w:tcW w:w="52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Deposits</w:t>
            </w:r>
          </w:p>
        </w:tc>
        <w:tc>
          <w:tcPr>
            <w:tcW w:w="28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1,101,277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1,120,067</w:t>
            </w:r>
          </w:p>
        </w:tc>
      </w:tr>
    </w:tbl>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addition to deposits obtained from its business operations within its target market areas, the Bank also obtains brokered deposits through various programs administered by IntraFi Network and through other unaffiliated third-party financial institutions.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our nonbrokered and brokered deposit activities at the dates indicated: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June 30, 2024</w:t>
            </w:r>
          </w:p>
        </w:tc>
        <w:tc>
          <w:tcPr>
            <w:tcW w:w="4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December 31, 2023</w:t>
            </w:r>
          </w:p>
        </w:tc>
        <w:tc>
          <w:tcPr>
            <w:tcW w:w="3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r>
      <w:tr>
        <w:trPr>
          <w:trHeight w:val="223"/>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Nonbrokered</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Brokered</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Nonbrokered</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Brokered</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r>
      <w:tr>
        <w:trPr>
          <w:trHeight w:val="230"/>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Savings accounts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106,048</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106,048</w:t>
            </w:r>
          </w:p>
        </w:tc>
        <w:tc>
          <w:tcPr>
            <w:tcW w:w="4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113,543</w:t>
            </w:r>
          </w:p>
        </w:tc>
        <w:tc>
          <w:tcPr>
            <w:tcW w:w="5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113,543</w:t>
            </w:r>
          </w:p>
        </w:tc>
      </w:tr>
      <w:tr>
        <w:trPr>
          <w:trHeight w:val="22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Time accounts</w:t>
            </w:r>
          </w:p>
        </w:tc>
        <w:tc>
          <w:tcPr>
            <w:tcW w:w="30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172,687</w:t>
            </w:r>
          </w:p>
        </w:tc>
        <w:tc>
          <w:tcPr>
            <w:tcW w:w="4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195,575</w:t>
            </w:r>
          </w:p>
        </w:tc>
        <w:tc>
          <w:tcPr>
            <w:tcW w:w="40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368,262</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174,864</w:t>
            </w:r>
          </w:p>
        </w:tc>
        <w:tc>
          <w:tcPr>
            <w:tcW w:w="52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202,706</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377,570</w:t>
            </w:r>
          </w:p>
        </w:tc>
      </w:tr>
      <w:tr>
        <w:trPr>
          <w:trHeight w:val="239"/>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Time accounts of $250,000 or more</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117,021</w:t>
            </w: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117,021</w:t>
            </w:r>
          </w:p>
        </w:tc>
        <w:tc>
          <w:tcPr>
            <w:tcW w:w="4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95,272</w:t>
            </w:r>
          </w:p>
        </w:tc>
        <w:tc>
          <w:tcPr>
            <w:tcW w:w="52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95,272</w:t>
            </w:r>
          </w:p>
        </w:tc>
      </w:tr>
      <w:tr>
        <w:trPr>
          <w:trHeight w:val="22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Money management accounts</w:t>
            </w:r>
          </w:p>
        </w:tc>
        <w:tc>
          <w:tcPr>
            <w:tcW w:w="30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12,154</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12,154</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12,364</w:t>
            </w:r>
          </w:p>
        </w:tc>
        <w:tc>
          <w:tcPr>
            <w:tcW w:w="52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12,364</w:t>
            </w:r>
          </w:p>
        </w:tc>
      </w:tr>
      <w:tr>
        <w:trPr>
          <w:trHeight w:val="239"/>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MMDA accounts</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193,915</w:t>
            </w: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193,915</w:t>
            </w:r>
          </w:p>
        </w:tc>
        <w:tc>
          <w:tcPr>
            <w:tcW w:w="4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224,707</w:t>
            </w:r>
          </w:p>
        </w:tc>
        <w:tc>
          <w:tcPr>
            <w:tcW w:w="52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224,707</w:t>
            </w:r>
          </w:p>
        </w:tc>
      </w:tr>
      <w:tr>
        <w:trPr>
          <w:trHeight w:val="22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Demand deposit interest-bearing</w:t>
            </w:r>
          </w:p>
        </w:tc>
        <w:tc>
          <w:tcPr>
            <w:tcW w:w="30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88,168</w:t>
            </w:r>
          </w:p>
        </w:tc>
        <w:tc>
          <w:tcPr>
            <w:tcW w:w="4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40,000</w:t>
            </w:r>
          </w:p>
        </w:tc>
        <w:tc>
          <w:tcPr>
            <w:tcW w:w="40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128,168</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79,321</w:t>
            </w:r>
          </w:p>
        </w:tc>
        <w:tc>
          <w:tcPr>
            <w:tcW w:w="52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40,000</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119,321</w:t>
            </w:r>
          </w:p>
        </w:tc>
      </w:tr>
      <w:tr>
        <w:trPr>
          <w:trHeight w:val="239"/>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Demand deposit noninterest-bearing</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169,145</w:t>
            </w: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169,145</w:t>
            </w:r>
          </w:p>
        </w:tc>
        <w:tc>
          <w:tcPr>
            <w:tcW w:w="4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170,169</w:t>
            </w:r>
          </w:p>
        </w:tc>
        <w:tc>
          <w:tcPr>
            <w:tcW w:w="52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170,169</w:t>
            </w:r>
          </w:p>
        </w:tc>
      </w:tr>
      <w:tr>
        <w:trPr>
          <w:trHeight w:val="223"/>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Mortgage escrow funds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6,564</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6,564</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7,121</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7,121</w:t>
            </w:r>
          </w:p>
        </w:tc>
      </w:tr>
      <w:tr>
        <w:trPr>
          <w:trHeight w:val="263"/>
        </w:trPr>
        <w:tc>
          <w:tcPr>
            <w:tcW w:w="27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Deposits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865,702</w:t>
            </w:r>
          </w:p>
        </w:tc>
        <w:tc>
          <w:tcPr>
            <w:tcW w:w="46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235,575</w:t>
            </w:r>
          </w:p>
        </w:tc>
        <w:tc>
          <w:tcPr>
            <w:tcW w:w="4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1,101,277</w:t>
            </w:r>
          </w:p>
        </w:tc>
        <w:tc>
          <w:tcPr>
            <w:tcW w:w="4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877,361</w:t>
            </w:r>
          </w:p>
        </w:tc>
        <w:tc>
          <w:tcPr>
            <w:tcW w:w="5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242,706</w:t>
            </w:r>
          </w:p>
        </w:tc>
        <w:tc>
          <w:tcPr>
            <w:tcW w:w="3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1,120,067</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Provision for Credit Losses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establish a provision for credit losses, which is charged to operations, at a level management believes is appropriate to absorb lifetime credit losses in the loan portfolio. In evaluating the level of the allowance for credit losses, management considers historical loss experience, the types of loans and the amount of loans in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or as future events change. The provision for credit losses represents management’s estimate of the amount necessary to maintain the allowance for credit losses at an adequate level.</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recorded $290,000 in provision for credit losses for the three month period ended June 30, 2024, as compared to $1.1 million for the three month period ended June 30, 2023. The provisioning in the second quarter of 2024 and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sectPr>
      </w:pPr>
    </w:p>
    <w:bookmarkStart w:id="58" w:name="page59"/>
    <w:bookmarkEnd w:id="58"/>
    <w:p>
      <w:pPr>
        <w:jc w:val="both"/>
        <w:spacing w:after="0" w:line="242" w:lineRule="auto"/>
        <w:rPr>
          <w:sz w:val="20"/>
          <w:szCs w:val="20"/>
          <w:color w:val="auto"/>
        </w:rPr>
      </w:pPr>
      <w:r>
        <w:rPr>
          <w:rFonts w:ascii="Times New Roman" w:cs="Times New Roman" w:eastAsia="Times New Roman" w:hAnsi="Times New Roman"/>
          <w:sz w:val="20"/>
          <w:szCs w:val="20"/>
          <w:color w:val="auto"/>
        </w:rPr>
        <w:t>reflects management’s determination of the appropriate level of additions to reserves, the composition of the loan portfolio, changes in quantifiable econometric data statistically correlated to historical charge-off rates, subjective qualitative assessments of changes in a broad array of factors including changes to underwriting criteria, loan staffing and local market conditions. This represents a $850,000 decrease in provision for credit losses in the second quarter of 2024, as compared to the same period in 2023. This decrease can be primarily attributed to the significant $1.1 million provision for credit losses in the second quarter of 2023, which related to two large commercial real estate and commercial loan relationships experiencing credit deterioration, which necessitated a higher provision to recognize the effects of increased risk within these relationships. The quarter ended June 30, 2024 provision for credit losses included an increase in specific reserves of approximately $665,000, partially offset by improvement in certain qualitative and other factors that resulted in a net increase in the provision for loans of $304,000. The remaining components in provision for credit losses was a net reduction of $14,000. The Bank's credit sensitive portfolios continue to be carefully monitored, and the Bank will consistently apply its loan classification and reserve building methodologies to the analysis of these portfolios. Please refer to the asset quality section below for a further discussion of asset quality as it relates to the allowance for credit losses.</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was a decrease in the provision for credit losses in the first six months of 2024 to $1.0 million, a decrease of $0.8 million from the same six months in 2023, which was $1.8 million. This decrease can also be primarily attributed to the aforementioned $1.1 million provision for credit losses in the second quarter of 2023.</w:t>
      </w:r>
    </w:p>
    <w:p>
      <w:pPr>
        <w:spacing w:after="0" w:line="18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measures delinquency based on the amount of past due loans (defined as loans equal to or greater than 30 days past due) as a percentage of total loans. The ratio of delinquent loans to total loans was 4.8%, 5.5% and 3.8% at June 30, 2024, March 31, 2024 and December 31, 2023, respectively. Delinquent loans (numerator) increased $15.3 million from December 31, 2023 to March 31, 2024, but subsequently decreased by $7.1 million at June 30, 2024. Total loan balances (denominator) decreased $5.7 million and $3.4 million at March 31, 2024 and June 30 2024, respectively. The increase from December 31, 2023 to March 31, 2024 was driven by loans delinquent 30-59 days, which increased by $13.8 million. The decrease from March 31, 2024 to June 30, 2024 was attributed to a decrease of $15.7 million in loans delinquent 30-59 days partially offset by increases in both the 60-89 days and 90 days and over of $3.8 million and $4.8 million, respectively.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Noninterest Income</w:t>
      </w:r>
    </w:p>
    <w:p>
      <w:pPr>
        <w:spacing w:after="0" w:line="193"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20"/>
          <w:szCs w:val="20"/>
          <w:color w:val="auto"/>
        </w:rPr>
        <w:t>The Company's noninterest income is primarily comprised of fees on deposit account balances and transactions, loan servicing, commissions, including insurance agency commissions, and net gains on sales of securities, loans, and foreclosed real estate.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certain information on noninterest income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8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color w:val="auto"/>
              </w:rPr>
              <w:t>For the six months ended</w:t>
            </w:r>
          </w:p>
        </w:tc>
        <w:tc>
          <w:tcPr>
            <w:tcW w:w="5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June 30,</w:t>
            </w:r>
          </w:p>
        </w:tc>
        <w:tc>
          <w:tcPr>
            <w:tcW w:w="9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June 30,</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June 30,</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June 30,</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Change</w:t>
            </w:r>
          </w:p>
        </w:tc>
        <w:tc>
          <w:tcPr>
            <w:tcW w:w="8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2024</w:t>
            </w: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Change</w:t>
            </w:r>
          </w:p>
        </w:tc>
        <w:tc>
          <w:tcPr>
            <w:tcW w:w="5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330</w:t>
            </w:r>
          </w:p>
        </w:tc>
        <w:tc>
          <w:tcPr>
            <w:tcW w:w="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303</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27</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8.9 % $</w:t>
            </w: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639</w:t>
            </w:r>
          </w:p>
        </w:tc>
        <w:tc>
          <w:tcPr>
            <w:tcW w:w="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570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69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and gain on bank owned life insurance</w:t>
            </w:r>
          </w:p>
        </w:tc>
        <w:tc>
          <w:tcPr>
            <w:tcW w:w="1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167</w:t>
            </w:r>
          </w:p>
        </w:tc>
        <w:tc>
          <w:tcPr>
            <w:tcW w:w="320" w:type="dxa"/>
            <w:vAlign w:val="bottom"/>
          </w:tcPr>
          <w:p>
            <w:pPr>
              <w:spacing w:after="0"/>
              <w:rPr>
                <w:sz w:val="19"/>
                <w:szCs w:val="19"/>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143</w:t>
            </w:r>
          </w:p>
        </w:tc>
        <w:tc>
          <w:tcPr>
            <w:tcW w:w="280" w:type="dxa"/>
            <w:vAlign w:val="bottom"/>
          </w:tcPr>
          <w:p>
            <w:pPr>
              <w:spacing w:after="0"/>
              <w:rPr>
                <w:sz w:val="19"/>
                <w:szCs w:val="19"/>
                <w:color w:val="auto"/>
              </w:rPr>
            </w:pPr>
          </w:p>
        </w:tc>
        <w:tc>
          <w:tcPr>
            <w:tcW w:w="9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24</w:t>
            </w: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16.8 %</w:t>
            </w: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324</w:t>
            </w:r>
          </w:p>
        </w:tc>
        <w:tc>
          <w:tcPr>
            <w:tcW w:w="300" w:type="dxa"/>
            <w:vAlign w:val="bottom"/>
          </w:tcPr>
          <w:p>
            <w:pPr>
              <w:spacing w:after="0"/>
              <w:rPr>
                <w:sz w:val="19"/>
                <w:szCs w:val="19"/>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301</w:t>
            </w:r>
          </w:p>
        </w:tc>
        <w:tc>
          <w:tcPr>
            <w:tcW w:w="240" w:type="dxa"/>
            <w:vAlign w:val="bottom"/>
          </w:tcPr>
          <w:p>
            <w:pPr>
              <w:spacing w:after="0"/>
              <w:rPr>
                <w:sz w:val="19"/>
                <w:szCs w:val="19"/>
                <w:color w:val="auto"/>
              </w:rPr>
            </w:pPr>
          </w:p>
        </w:tc>
        <w:tc>
          <w:tcPr>
            <w:tcW w:w="8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23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servicing fees</w:t>
            </w:r>
          </w:p>
        </w:tc>
        <w:tc>
          <w:tcPr>
            <w:tcW w:w="1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w:t>
            </w:r>
          </w:p>
        </w:tc>
        <w:tc>
          <w:tcPr>
            <w:tcW w:w="320" w:type="dxa"/>
            <w:vAlign w:val="bottom"/>
          </w:tcPr>
          <w:p>
            <w:pPr>
              <w:spacing w:after="0"/>
              <w:rPr>
                <w:sz w:val="19"/>
                <w:szCs w:val="19"/>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67</w:t>
            </w:r>
          </w:p>
        </w:tc>
        <w:tc>
          <w:tcPr>
            <w:tcW w:w="280" w:type="dxa"/>
            <w:vAlign w:val="bottom"/>
          </w:tcPr>
          <w:p>
            <w:pPr>
              <w:spacing w:after="0"/>
              <w:rPr>
                <w:sz w:val="19"/>
                <w:szCs w:val="19"/>
                <w:color w:val="auto"/>
              </w:rPr>
            </w:pPr>
          </w:p>
        </w:tc>
        <w:tc>
          <w:tcPr>
            <w:tcW w:w="9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45</w:t>
            </w: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67.2 %</w:t>
            </w: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w:t>
            </w:r>
          </w:p>
        </w:tc>
        <w:tc>
          <w:tcPr>
            <w:tcW w:w="300" w:type="dxa"/>
            <w:vAlign w:val="bottom"/>
          </w:tcPr>
          <w:p>
            <w:pPr>
              <w:spacing w:after="0"/>
              <w:rPr>
                <w:sz w:val="19"/>
                <w:szCs w:val="19"/>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139</w:t>
            </w:r>
          </w:p>
        </w:tc>
        <w:tc>
          <w:tcPr>
            <w:tcW w:w="240" w:type="dxa"/>
            <w:vAlign w:val="bottom"/>
          </w:tcPr>
          <w:p>
            <w:pPr>
              <w:spacing w:after="0"/>
              <w:rPr>
                <w:sz w:val="19"/>
                <w:szCs w:val="19"/>
                <w:color w:val="auto"/>
              </w:rPr>
            </w:pPr>
          </w:p>
        </w:tc>
        <w:tc>
          <w:tcPr>
            <w:tcW w:w="8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61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43.9 %</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Debit card interchange fees</w:t>
            </w:r>
          </w:p>
        </w:tc>
        <w:tc>
          <w:tcPr>
            <w:tcW w:w="1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191</w:t>
            </w:r>
          </w:p>
        </w:tc>
        <w:tc>
          <w:tcPr>
            <w:tcW w:w="320" w:type="dxa"/>
            <w:vAlign w:val="bottom"/>
          </w:tcPr>
          <w:p>
            <w:pPr>
              <w:spacing w:after="0"/>
              <w:rPr>
                <w:sz w:val="19"/>
                <w:szCs w:val="19"/>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112</w:t>
            </w:r>
          </w:p>
        </w:tc>
        <w:tc>
          <w:tcPr>
            <w:tcW w:w="280" w:type="dxa"/>
            <w:vAlign w:val="bottom"/>
          </w:tcPr>
          <w:p>
            <w:pPr>
              <w:spacing w:after="0"/>
              <w:rPr>
                <w:sz w:val="19"/>
                <w:szCs w:val="19"/>
                <w:color w:val="auto"/>
              </w:rPr>
            </w:pPr>
          </w:p>
        </w:tc>
        <w:tc>
          <w:tcPr>
            <w:tcW w:w="9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79</w:t>
            </w: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70.5 %</w:t>
            </w: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310</w:t>
            </w:r>
          </w:p>
        </w:tc>
        <w:tc>
          <w:tcPr>
            <w:tcW w:w="300" w:type="dxa"/>
            <w:vAlign w:val="bottom"/>
          </w:tcPr>
          <w:p>
            <w:pPr>
              <w:spacing w:after="0"/>
              <w:rPr>
                <w:sz w:val="19"/>
                <w:szCs w:val="19"/>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433</w:t>
            </w:r>
          </w:p>
        </w:tc>
        <w:tc>
          <w:tcPr>
            <w:tcW w:w="24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(123 )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-28.4 %</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Insurance agency revenue</w:t>
            </w:r>
          </w:p>
        </w:tc>
        <w:tc>
          <w:tcPr>
            <w:tcW w:w="1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260</w:t>
            </w:r>
          </w:p>
        </w:tc>
        <w:tc>
          <w:tcPr>
            <w:tcW w:w="320" w:type="dxa"/>
            <w:vAlign w:val="bottom"/>
          </w:tcPr>
          <w:p>
            <w:pPr>
              <w:spacing w:after="0"/>
              <w:rPr>
                <w:sz w:val="19"/>
                <w:szCs w:val="19"/>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271</w:t>
            </w:r>
          </w:p>
        </w:tc>
        <w:tc>
          <w:tcPr>
            <w:tcW w:w="280" w:type="dxa"/>
            <w:vAlign w:val="bottom"/>
          </w:tcPr>
          <w:p>
            <w:pPr>
              <w:spacing w:after="0"/>
              <w:rPr>
                <w:sz w:val="19"/>
                <w:szCs w:val="19"/>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(11 )</w:t>
            </w: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-4.1 %</w:t>
            </w: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657</w:t>
            </w:r>
          </w:p>
        </w:tc>
        <w:tc>
          <w:tcPr>
            <w:tcW w:w="300" w:type="dxa"/>
            <w:vAlign w:val="bottom"/>
          </w:tcPr>
          <w:p>
            <w:pPr>
              <w:spacing w:after="0"/>
              <w:rPr>
                <w:sz w:val="19"/>
                <w:szCs w:val="19"/>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691</w:t>
            </w:r>
          </w:p>
        </w:tc>
        <w:tc>
          <w:tcPr>
            <w:tcW w:w="24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(34 )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charges, commissions and fees</w:t>
            </w:r>
          </w:p>
        </w:tc>
        <w:tc>
          <w:tcPr>
            <w:tcW w:w="18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234</w:t>
            </w:r>
          </w:p>
        </w:tc>
        <w:tc>
          <w:tcPr>
            <w:tcW w:w="320" w:type="dxa"/>
            <w:vAlign w:val="bottom"/>
          </w:tcPr>
          <w:p>
            <w:pPr>
              <w:spacing w:after="0"/>
              <w:rPr>
                <w:sz w:val="20"/>
                <w:szCs w:val="20"/>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243</w:t>
            </w:r>
          </w:p>
        </w:tc>
        <w:tc>
          <w:tcPr>
            <w:tcW w:w="280" w:type="dxa"/>
            <w:vAlign w:val="bottom"/>
          </w:tcPr>
          <w:p>
            <w:pPr>
              <w:spacing w:after="0"/>
              <w:rPr>
                <w:sz w:val="20"/>
                <w:szCs w:val="20"/>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(9 )</w:t>
            </w: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-3.7 %</w:t>
            </w: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678</w:t>
            </w:r>
          </w:p>
        </w:tc>
        <w:tc>
          <w:tcPr>
            <w:tcW w:w="30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499</w:t>
            </w:r>
          </w:p>
        </w:tc>
        <w:tc>
          <w:tcPr>
            <w:tcW w:w="240" w:type="dxa"/>
            <w:vAlign w:val="bottom"/>
          </w:tcPr>
          <w:p>
            <w:pPr>
              <w:spacing w:after="0"/>
              <w:rPr>
                <w:sz w:val="20"/>
                <w:szCs w:val="20"/>
                <w:color w:val="auto"/>
              </w:rPr>
            </w:pPr>
          </w:p>
        </w:tc>
        <w:tc>
          <w:tcPr>
            <w:tcW w:w="8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179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35.9 %</w:t>
            </w:r>
          </w:p>
        </w:tc>
        <w:tc>
          <w:tcPr>
            <w:tcW w:w="0" w:type="dxa"/>
            <w:vAlign w:val="bottom"/>
          </w:tcPr>
          <w:p>
            <w:pPr>
              <w:spacing w:after="0"/>
              <w:rPr>
                <w:sz w:val="1"/>
                <w:szCs w:val="1"/>
                <w:color w:val="auto"/>
              </w:rPr>
            </w:pPr>
          </w:p>
        </w:tc>
      </w:tr>
      <w:tr>
        <w:trPr>
          <w:trHeight w:val="23"/>
        </w:trPr>
        <w:tc>
          <w:tcPr>
            <w:tcW w:w="4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 before gains</w:t>
            </w:r>
          </w:p>
        </w:tc>
        <w:tc>
          <w:tcPr>
            <w:tcW w:w="18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1,294</w:t>
            </w:r>
          </w:p>
        </w:tc>
        <w:tc>
          <w:tcPr>
            <w:tcW w:w="320" w:type="dxa"/>
            <w:vAlign w:val="bottom"/>
          </w:tcPr>
          <w:p>
            <w:pPr>
              <w:spacing w:after="0"/>
              <w:rPr>
                <w:sz w:val="18"/>
                <w:szCs w:val="18"/>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1,139</w:t>
            </w:r>
          </w:p>
        </w:tc>
        <w:tc>
          <w:tcPr>
            <w:tcW w:w="280" w:type="dxa"/>
            <w:vAlign w:val="bottom"/>
          </w:tcPr>
          <w:p>
            <w:pPr>
              <w:spacing w:after="0"/>
              <w:rPr>
                <w:sz w:val="18"/>
                <w:szCs w:val="18"/>
                <w:color w:val="auto"/>
              </w:rPr>
            </w:pPr>
          </w:p>
        </w:tc>
        <w:tc>
          <w:tcPr>
            <w:tcW w:w="9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155</w:t>
            </w: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13.6 %</w:t>
            </w: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2,808</w:t>
            </w:r>
          </w:p>
        </w:tc>
        <w:tc>
          <w:tcPr>
            <w:tcW w:w="300" w:type="dxa"/>
            <w:vAlign w:val="bottom"/>
          </w:tcPr>
          <w:p>
            <w:pPr>
              <w:spacing w:after="0"/>
              <w:rPr>
                <w:sz w:val="18"/>
                <w:szCs w:val="18"/>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2,633</w:t>
            </w:r>
          </w:p>
        </w:tc>
        <w:tc>
          <w:tcPr>
            <w:tcW w:w="240" w:type="dxa"/>
            <w:vAlign w:val="bottom"/>
          </w:tcPr>
          <w:p>
            <w:pPr>
              <w:spacing w:after="0"/>
              <w:rPr>
                <w:sz w:val="18"/>
                <w:szCs w:val="18"/>
                <w:color w:val="auto"/>
              </w:rPr>
            </w:pPr>
          </w:p>
        </w:tc>
        <w:tc>
          <w:tcPr>
            <w:tcW w:w="8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175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Gains (losses) on sales and redemptions of investment securities</w:t>
            </w:r>
          </w:p>
        </w:tc>
        <w:tc>
          <w:tcPr>
            <w:tcW w:w="1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320" w:type="dxa"/>
            <w:vAlign w:val="bottom"/>
          </w:tcPr>
          <w:p>
            <w:pPr>
              <w:spacing w:after="0"/>
              <w:rPr>
                <w:sz w:val="19"/>
                <w:szCs w:val="19"/>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16</w:t>
            </w: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0.0 %</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300" w:type="dxa"/>
            <w:vAlign w:val="bottom"/>
          </w:tcPr>
          <w:p>
            <w:pPr>
              <w:spacing w:after="0"/>
              <w:rPr>
                <w:sz w:val="19"/>
                <w:szCs w:val="19"/>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73</w:t>
            </w:r>
          </w:p>
        </w:tc>
        <w:tc>
          <w:tcPr>
            <w:tcW w:w="24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(205 )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-280.8 %</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sales of loans and foreclosed real estate</w:t>
            </w:r>
          </w:p>
        </w:tc>
        <w:tc>
          <w:tcPr>
            <w:tcW w:w="1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320" w:type="dxa"/>
            <w:vAlign w:val="bottom"/>
          </w:tcPr>
          <w:p>
            <w:pPr>
              <w:spacing w:after="0"/>
              <w:rPr>
                <w:sz w:val="19"/>
                <w:szCs w:val="19"/>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117</w:t>
            </w:r>
          </w:p>
        </w:tc>
        <w:tc>
          <w:tcPr>
            <w:tcW w:w="280" w:type="dxa"/>
            <w:vAlign w:val="bottom"/>
          </w:tcPr>
          <w:p>
            <w:pPr>
              <w:spacing w:after="0"/>
              <w:rPr>
                <w:sz w:val="19"/>
                <w:szCs w:val="19"/>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(77 )</w:t>
            </w: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-65.8 %</w:t>
            </w: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w:t>
            </w:r>
          </w:p>
        </w:tc>
        <w:tc>
          <w:tcPr>
            <w:tcW w:w="300" w:type="dxa"/>
            <w:vAlign w:val="bottom"/>
          </w:tcPr>
          <w:p>
            <w:pPr>
              <w:spacing w:after="0"/>
              <w:rPr>
                <w:sz w:val="19"/>
                <w:szCs w:val="19"/>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142</w:t>
            </w:r>
          </w:p>
        </w:tc>
        <w:tc>
          <w:tcPr>
            <w:tcW w:w="24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(84 )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-59.2 %</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Non-recurring gain on lease renegotiations</w:t>
            </w:r>
          </w:p>
        </w:tc>
        <w:tc>
          <w:tcPr>
            <w:tcW w:w="1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0.0 %</w:t>
            </w: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245</w:t>
            </w:r>
          </w:p>
        </w:tc>
        <w:tc>
          <w:tcPr>
            <w:tcW w:w="300" w:type="dxa"/>
            <w:vAlign w:val="bottom"/>
          </w:tcPr>
          <w:p>
            <w:pPr>
              <w:spacing w:after="0"/>
              <w:rPr>
                <w:sz w:val="19"/>
                <w:szCs w:val="19"/>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245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Losses on marketable equity securities</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(169 )</w:t>
            </w:r>
          </w:p>
        </w:tc>
        <w:tc>
          <w:tcPr>
            <w:tcW w:w="280" w:type="dxa"/>
            <w:vAlign w:val="bottom"/>
          </w:tcPr>
          <w:p>
            <w:pPr>
              <w:spacing w:after="0"/>
              <w:rPr>
                <w:sz w:val="20"/>
                <w:szCs w:val="20"/>
                <w:color w:val="auto"/>
              </w:rPr>
            </w:pPr>
          </w:p>
        </w:tc>
        <w:tc>
          <w:tcPr>
            <w:tcW w:w="9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30</w:t>
            </w: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-17.8 %</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(169 )</w:t>
            </w:r>
          </w:p>
        </w:tc>
        <w:tc>
          <w:tcPr>
            <w:tcW w:w="240" w:type="dxa"/>
            <w:vAlign w:val="bottom"/>
          </w:tcPr>
          <w:p>
            <w:pPr>
              <w:spacing w:after="0"/>
              <w:rPr>
                <w:sz w:val="20"/>
                <w:szCs w:val="20"/>
                <w:color w:val="auto"/>
              </w:rPr>
            </w:pPr>
          </w:p>
        </w:tc>
        <w:tc>
          <w:tcPr>
            <w:tcW w:w="8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138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-81.7 %</w:t>
            </w:r>
          </w:p>
        </w:tc>
        <w:tc>
          <w:tcPr>
            <w:tcW w:w="0" w:type="dxa"/>
            <w:vAlign w:val="bottom"/>
          </w:tcPr>
          <w:p>
            <w:pPr>
              <w:spacing w:after="0"/>
              <w:rPr>
                <w:sz w:val="1"/>
                <w:szCs w:val="1"/>
                <w:color w:val="auto"/>
              </w:rPr>
            </w:pPr>
          </w:p>
        </w:tc>
      </w:tr>
      <w:tr>
        <w:trPr>
          <w:trHeight w:val="23"/>
        </w:trPr>
        <w:tc>
          <w:tcPr>
            <w:tcW w:w="4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noninterest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1,211</w:t>
            </w:r>
          </w:p>
        </w:tc>
        <w:tc>
          <w:tcPr>
            <w:tcW w:w="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1,087</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124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 $</w:t>
            </w: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2,948</w:t>
            </w:r>
          </w:p>
        </w:tc>
        <w:tc>
          <w:tcPr>
            <w:tcW w:w="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2,679</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269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4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-1790700</wp:posOffset>
            </wp:positionV>
            <wp:extent cx="713232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-1499870</wp:posOffset>
            </wp:positionV>
            <wp:extent cx="71323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-1207770</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0"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Noninterest income for the second quarter of 2024 amounted to $1.2 million, reflecting an increase of $124,000 compared to the same quarter of 2023. This increase can primarily be attributed to the factors influencing recurring noninterest income, which excludes volatile items such as unrealized gains or losses on equity securities, as well as nonrecurring gains on sales of loans, investment securities, foreclosed real estate, premises, and equipment.</w:t>
      </w:r>
    </w:p>
    <w:p>
      <w:pPr>
        <w:spacing w:after="0" w:line="153" w:lineRule="exact"/>
        <w:rPr>
          <w:sz w:val="20"/>
          <w:szCs w:val="20"/>
          <w:color w:val="auto"/>
        </w:rPr>
      </w:pPr>
    </w:p>
    <w:p>
      <w:pPr>
        <w:jc w:val="both"/>
        <w:ind w:right="40"/>
        <w:spacing w:after="0" w:line="245" w:lineRule="auto"/>
        <w:rPr>
          <w:sz w:val="20"/>
          <w:szCs w:val="20"/>
          <w:color w:val="auto"/>
        </w:rPr>
      </w:pPr>
      <w:r>
        <w:rPr>
          <w:rFonts w:ascii="Times New Roman" w:cs="Times New Roman" w:eastAsia="Times New Roman" w:hAnsi="Times New Roman"/>
          <w:sz w:val="20"/>
          <w:szCs w:val="20"/>
          <w:color w:val="auto"/>
        </w:rPr>
        <w:t>Recurring noninterest income during the quarter ended June 30, 2024 increased $155,000, or 13.6%, as compared to the same quarter in 2023. This was primarily due to an increase of $79,000 in debit card interchange fees, as a result of increased gross interchange revenues related to higher levels of consumer activity. Other components of noninterest income that also increased during the quarter ended June 30, 2024 include a $45,000 increase in loan servicing fees, a $27,000 increase in service charges on deposit accounts, and a $24,000 increase in earnings and gain on bank owned life insurance. These modest increases were partially offset by an aggregate decrease of $20,000 in other noninterest income categories.</w:t>
      </w:r>
    </w:p>
    <w:p>
      <w:pPr>
        <w:spacing w:after="0" w:line="171"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The $31,000 year-over-year decrease in all other (nonrecurring) categories of noninterest income was primarily the result of a $77,000 decrease in sales of loans and foreclosed real estate during the three months ended June 30, 2024 as compared to the same period in 2023. Partially offsetting this decrease were lower losses on marketable equity securities in the amount of $30,000, and a $16,000 increase in gains on sales and redemptions of investment securities.</w:t>
      </w:r>
    </w:p>
    <w:p>
      <w:pPr>
        <w:spacing w:after="0" w:line="166"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Second quarter results reflect the Bank’s strategy to proactively seek out and capitalize on new opportunities to diversify and enhance recurring noninterest income’s contribution to total revenue. As the Bank moves forward with its growth strategy, noninterest income is anticipated to play an increasingly vital role in maintaining a well-balanced and resilient financial profile.</w:t>
      </w:r>
    </w:p>
    <w:p>
      <w:pPr>
        <w:spacing w:after="0" w:line="147"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Noninterest income increased $269,000 in the six months ended June 30, 2024 to $2.9 million, compared to the same period in 2023. This increase was mostly due to the recognition of a $245,000 refund received from cumulative lessor related pass-through operating expense charges for a leased branch location during the first quarter of 2024. Excluding this one-time refund, total noninterest income had a modest aggregate gain of $24,000 in all other categories.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06" w:right="2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auto"/>
        </w:rPr>
        <w:t>Noninterest Expense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certain information on noninterest expense for the periods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8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For the six months ended</w:t>
            </w:r>
          </w:p>
        </w:tc>
        <w:tc>
          <w:tcPr>
            <w:tcW w:w="6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05"/>
        </w:trPr>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70"/>
              <w:spacing w:after="0" w:line="205" w:lineRule="exact"/>
              <w:rPr>
                <w:sz w:val="20"/>
                <w:szCs w:val="20"/>
                <w:color w:val="auto"/>
              </w:rPr>
            </w:pPr>
            <w:r>
              <w:rPr>
                <w:rFonts w:ascii="Times New Roman" w:cs="Times New Roman" w:eastAsia="Times New Roman" w:hAnsi="Times New Roman"/>
                <w:sz w:val="18"/>
                <w:szCs w:val="18"/>
                <w:color w:val="auto"/>
                <w:w w:val="99"/>
              </w:rPr>
              <w:t>June 30,</w:t>
            </w:r>
          </w:p>
        </w:tc>
        <w:tc>
          <w:tcPr>
            <w:tcW w:w="260" w:type="dxa"/>
            <w:vAlign w:val="bottom"/>
          </w:tcPr>
          <w:p>
            <w:pPr>
              <w:spacing w:after="0"/>
              <w:rPr>
                <w:sz w:val="17"/>
                <w:szCs w:val="17"/>
                <w:color w:val="auto"/>
              </w:rPr>
            </w:pPr>
          </w:p>
        </w:tc>
        <w:tc>
          <w:tcPr>
            <w:tcW w:w="800" w:type="dxa"/>
            <w:vAlign w:val="bottom"/>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w w:val="99"/>
              </w:rPr>
              <w:t>June 30,</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jc w:val="right"/>
              <w:ind w:right="70"/>
              <w:spacing w:after="0" w:line="205" w:lineRule="exact"/>
              <w:rPr>
                <w:sz w:val="20"/>
                <w:szCs w:val="20"/>
                <w:color w:val="auto"/>
              </w:rPr>
            </w:pPr>
            <w:r>
              <w:rPr>
                <w:rFonts w:ascii="Times New Roman" w:cs="Times New Roman" w:eastAsia="Times New Roman" w:hAnsi="Times New Roman"/>
                <w:sz w:val="18"/>
                <w:szCs w:val="18"/>
                <w:color w:val="auto"/>
                <w:w w:val="96"/>
              </w:rPr>
              <w:t>June 30,</w:t>
            </w:r>
          </w:p>
        </w:tc>
        <w:tc>
          <w:tcPr>
            <w:tcW w:w="220" w:type="dxa"/>
            <w:vAlign w:val="bottom"/>
          </w:tcPr>
          <w:p>
            <w:pPr>
              <w:spacing w:after="0"/>
              <w:rPr>
                <w:sz w:val="17"/>
                <w:szCs w:val="17"/>
                <w:color w:val="auto"/>
              </w:rPr>
            </w:pPr>
          </w:p>
        </w:tc>
        <w:tc>
          <w:tcPr>
            <w:tcW w:w="760" w:type="dxa"/>
            <w:vAlign w:val="bottom"/>
          </w:tcPr>
          <w:p>
            <w:pPr>
              <w:jc w:val="right"/>
              <w:ind w:right="70"/>
              <w:spacing w:after="0" w:line="205" w:lineRule="exact"/>
              <w:rPr>
                <w:sz w:val="20"/>
                <w:szCs w:val="20"/>
                <w:color w:val="auto"/>
              </w:rPr>
            </w:pPr>
            <w:r>
              <w:rPr>
                <w:rFonts w:ascii="Times New Roman" w:cs="Times New Roman" w:eastAsia="Times New Roman" w:hAnsi="Times New Roman"/>
                <w:sz w:val="18"/>
                <w:szCs w:val="18"/>
                <w:color w:val="auto"/>
                <w:w w:val="96"/>
              </w:rPr>
              <w:t>June 30,</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1"/>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Change</w:t>
            </w:r>
          </w:p>
        </w:tc>
        <w:tc>
          <w:tcPr>
            <w:tcW w:w="8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Change</w:t>
            </w: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4,399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3,906</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493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 $</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8,728</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8,089</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639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3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occupancy</w:t>
            </w:r>
          </w:p>
        </w:tc>
        <w:tc>
          <w:tcPr>
            <w:tcW w:w="12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914</w:t>
            </w:r>
          </w:p>
        </w:tc>
        <w:tc>
          <w:tcPr>
            <w:tcW w:w="26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979</w:t>
            </w:r>
          </w:p>
        </w:tc>
        <w:tc>
          <w:tcPr>
            <w:tcW w:w="4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(65 )</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-6.6 %</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1,730</w:t>
            </w:r>
          </w:p>
        </w:tc>
        <w:tc>
          <w:tcPr>
            <w:tcW w:w="2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1,831</w:t>
            </w:r>
          </w:p>
        </w:tc>
        <w:tc>
          <w:tcPr>
            <w:tcW w:w="3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(101 )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processing</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w:t>
            </w:r>
          </w:p>
        </w:tc>
        <w:tc>
          <w:tcPr>
            <w:tcW w:w="2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483</w:t>
            </w:r>
          </w:p>
        </w:tc>
        <w:tc>
          <w:tcPr>
            <w:tcW w:w="420" w:type="dxa"/>
            <w:vAlign w:val="bottom"/>
          </w:tcPr>
          <w:p>
            <w:pPr>
              <w:spacing w:after="0"/>
              <w:rPr>
                <w:sz w:val="21"/>
                <w:szCs w:val="21"/>
                <w:color w:val="auto"/>
              </w:rPr>
            </w:pPr>
          </w:p>
        </w:tc>
        <w:tc>
          <w:tcPr>
            <w:tcW w:w="10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67</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13.9 %</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1,078</w:t>
            </w:r>
          </w:p>
        </w:tc>
        <w:tc>
          <w:tcPr>
            <w:tcW w:w="2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1,036</w:t>
            </w:r>
          </w:p>
        </w:tc>
        <w:tc>
          <w:tcPr>
            <w:tcW w:w="380" w:type="dxa"/>
            <w:vAlign w:val="bottom"/>
          </w:tcPr>
          <w:p>
            <w:pPr>
              <w:spacing w:after="0"/>
              <w:rPr>
                <w:sz w:val="21"/>
                <w:szCs w:val="21"/>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other services</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696</w:t>
            </w:r>
          </w:p>
        </w:tc>
        <w:tc>
          <w:tcPr>
            <w:tcW w:w="2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503</w:t>
            </w:r>
          </w:p>
        </w:tc>
        <w:tc>
          <w:tcPr>
            <w:tcW w:w="420" w:type="dxa"/>
            <w:vAlign w:val="bottom"/>
          </w:tcPr>
          <w:p>
            <w:pPr>
              <w:spacing w:after="0"/>
              <w:rPr>
                <w:sz w:val="21"/>
                <w:szCs w:val="21"/>
                <w:color w:val="auto"/>
              </w:rPr>
            </w:pPr>
          </w:p>
        </w:tc>
        <w:tc>
          <w:tcPr>
            <w:tcW w:w="10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193</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38.4 %</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1,258</w:t>
            </w:r>
          </w:p>
        </w:tc>
        <w:tc>
          <w:tcPr>
            <w:tcW w:w="2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1,039</w:t>
            </w:r>
          </w:p>
        </w:tc>
        <w:tc>
          <w:tcPr>
            <w:tcW w:w="380" w:type="dxa"/>
            <w:vAlign w:val="bottom"/>
          </w:tcPr>
          <w:p>
            <w:pPr>
              <w:spacing w:after="0"/>
              <w:rPr>
                <w:sz w:val="21"/>
                <w:szCs w:val="21"/>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219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21.1 %</w:t>
            </w: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166</w:t>
            </w:r>
          </w:p>
        </w:tc>
        <w:tc>
          <w:tcPr>
            <w:tcW w:w="42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(50 )</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-30.1 %</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38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(151 )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-40.6 %</w:t>
            </w: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FDIC assessments</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2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222</w:t>
            </w:r>
          </w:p>
        </w:tc>
        <w:tc>
          <w:tcPr>
            <w:tcW w:w="420" w:type="dxa"/>
            <w:vAlign w:val="bottom"/>
          </w:tcPr>
          <w:p>
            <w:pPr>
              <w:spacing w:after="0"/>
              <w:rPr>
                <w:sz w:val="21"/>
                <w:szCs w:val="21"/>
                <w:color w:val="auto"/>
              </w:rPr>
            </w:pPr>
          </w:p>
        </w:tc>
        <w:tc>
          <w:tcPr>
            <w:tcW w:w="10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2.7 %</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w:t>
            </w:r>
          </w:p>
        </w:tc>
        <w:tc>
          <w:tcPr>
            <w:tcW w:w="2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441</w:t>
            </w:r>
          </w:p>
        </w:tc>
        <w:tc>
          <w:tcPr>
            <w:tcW w:w="380" w:type="dxa"/>
            <w:vAlign w:val="bottom"/>
          </w:tcPr>
          <w:p>
            <w:pPr>
              <w:spacing w:after="0"/>
              <w:rPr>
                <w:sz w:val="21"/>
                <w:szCs w:val="21"/>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Audits and exams</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158</w:t>
            </w:r>
          </w:p>
        </w:tc>
        <w:tc>
          <w:tcPr>
            <w:tcW w:w="42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(35 )</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-22.2 %</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w:t>
            </w:r>
          </w:p>
        </w:tc>
        <w:tc>
          <w:tcPr>
            <w:tcW w:w="38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(24 )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agency expense</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283</w:t>
            </w:r>
          </w:p>
        </w:tc>
        <w:tc>
          <w:tcPr>
            <w:tcW w:w="42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(51 )</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-18.0 %</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544</w:t>
            </w:r>
          </w:p>
        </w:tc>
        <w:tc>
          <w:tcPr>
            <w:tcW w:w="38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(27 )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Community service activities</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(27 )</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-40.9 %</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38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Foreclosed real estate expenses</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Pr>
          <w:p>
            <w:pPr>
              <w:spacing w:after="0"/>
              <w:rPr>
                <w:sz w:val="21"/>
                <w:szCs w:val="21"/>
                <w:color w:val="auto"/>
              </w:rPr>
            </w:pPr>
          </w:p>
        </w:tc>
        <w:tc>
          <w:tcPr>
            <w:tcW w:w="10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66.7 %</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rPr>
                <w:sz w:val="21"/>
                <w:szCs w:val="21"/>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71.9 %</w:t>
            </w:r>
          </w:p>
        </w:tc>
      </w:tr>
      <w:tr>
        <w:trPr>
          <w:trHeight w:val="25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581</w:t>
            </w:r>
          </w:p>
        </w:tc>
        <w:tc>
          <w:tcPr>
            <w:tcW w:w="2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390</w:t>
            </w:r>
          </w:p>
        </w:tc>
        <w:tc>
          <w:tcPr>
            <w:tcW w:w="420" w:type="dxa"/>
            <w:vAlign w:val="bottom"/>
          </w:tcPr>
          <w:p>
            <w:pPr>
              <w:spacing w:after="0"/>
              <w:rPr>
                <w:sz w:val="21"/>
                <w:szCs w:val="21"/>
                <w:color w:val="auto"/>
              </w:rPr>
            </w:pPr>
          </w:p>
        </w:tc>
        <w:tc>
          <w:tcPr>
            <w:tcW w:w="10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191</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49.0 %</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1,186</w:t>
            </w:r>
          </w:p>
        </w:tc>
        <w:tc>
          <w:tcPr>
            <w:tcW w:w="2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901</w:t>
            </w:r>
          </w:p>
        </w:tc>
        <w:tc>
          <w:tcPr>
            <w:tcW w:w="380" w:type="dxa"/>
            <w:vAlign w:val="bottom"/>
          </w:tcPr>
          <w:p>
            <w:pPr>
              <w:spacing w:after="0"/>
              <w:rPr>
                <w:sz w:val="21"/>
                <w:szCs w:val="21"/>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285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31.6 %</w:t>
            </w:r>
          </w:p>
        </w:tc>
      </w:tr>
      <w:tr>
        <w:trPr>
          <w:trHeight w:val="20"/>
        </w:trPr>
        <w:tc>
          <w:tcPr>
            <w:tcW w:w="3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noninterest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7,908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7,174</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734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 $</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15,614</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14,698</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916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0"/>
        </w:trPr>
        <w:tc>
          <w:tcPr>
            <w:tcW w:w="3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-1885315</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-1576705</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3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46"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For the second quarter of 2024, the Bank reported noninterest expenses of $7.9 million. This represents an increase of approximately $734,000, or 10.2%, compared to the same period in 2023.</w:t>
      </w:r>
    </w:p>
    <w:p>
      <w:pPr>
        <w:spacing w:after="0" w:line="146"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color w:val="auto"/>
        </w:rPr>
        <w:t>Salaries and benefits increased $493,000, or 12.6% during the quarter ended June 30, 2024, as compared to the quarter ended June 30, 2023. Headcount increases drove approximately $285,000 of the increase and salary adjustments related to merit and wage inflation accounted for approximately $208,000 of the increase. These adjustments for merit and wage inflation are crucial in maintaining competitive remuneration packages to attract and retain talent in the dynamic banking sector.</w:t>
      </w:r>
    </w:p>
    <w:p>
      <w:pPr>
        <w:spacing w:after="0" w:line="166"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color w:val="auto"/>
        </w:rPr>
        <w:t>Professional and other services increased $193,000 during the second quarter of 2024, as compared to the same quarter in 2023. This increase was primarily due to $116,000 of nonrecurring expenses associated with a review of technology enhancements meant to drive improvements in operational efficiencies. The remaining increase in professional and other services of $77,000 was spread across several smaller consulting engagements. All other remaining noninterest expense categories had an aggregate increase of $48,000, or 1.7%.</w:t>
      </w:r>
    </w:p>
    <w:p>
      <w:pPr>
        <w:spacing w:after="0" w:line="153"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color w:val="auto"/>
        </w:rPr>
        <w:t>Noninterest expense in the six months ended June 30, 2024 was $15.6 million, an increase of $916,000, or 6.2%, when compared to the six months ended June 30, 2023. This increase was mostly due to a $639,000 increase in salaries and employee benefits, as well as a $219,000 increase in professional and other services. All other remaining noninterest expense categories had an aggregate increase of $58,000, or 0.4%.</w:t>
      </w:r>
    </w:p>
    <w:p>
      <w:pPr>
        <w:spacing w:after="0" w:line="166"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The increase in salaries and benefits of $639,000 in the six months ended June 30, 2024 was driven by the aforementioned increases in headcount and wage inflation, and reflect the Bank's strategic efforts to enhance its competitive edge in the market and address the demands of an inflationary environment with respect to attracting and retaining employees.</w:t>
      </w:r>
    </w:p>
    <w:p>
      <w:pPr>
        <w:spacing w:after="0" w:line="161"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The increase in professional services in the six months ended June 30, 2024 was driven by the aforementioned $116,000 of nonrecurring expenses associated with a review of technology enhancements meant to drive improvements in operational efficiencies. The remaining increase in professional and other services of $103,000 was spread across several smaller consulting engagements.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33"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0"/>
          <w:szCs w:val="20"/>
          <w:color w:val="auto"/>
        </w:rPr>
        <w:t>Income tax expense decreased $49,000 to $481,000, with an effective tax rate of 19.3%, for the quarter ended June 30, 2024, as compared to $530,000 with an effective tax rate of 21.2% for the same three month period in 2023. The decrease in income tax expense for the quarter ended June 30, 2024, as compared to the same quarter in 2023, was primarily driven by an increase in fluctuations in permanent tax differences The effective income tax rate decreased 1.9% to 19.3% for the three months ended June 30, 2024 as compared to 21.2% for the same three month period in 2023. The decrease in the tax</w:t>
      </w:r>
    </w:p>
    <w:p>
      <w:pPr>
        <w:spacing w:after="0" w:line="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20" w:right="279" w:bottom="1440" w:gutter="0" w:footer="0" w:header="0"/>
        </w:sectPr>
      </w:pPr>
    </w:p>
    <w:bookmarkStart w:id="61" w:name="page62"/>
    <w:bookmarkEnd w:id="61"/>
    <w:p>
      <w:pPr>
        <w:spacing w:after="0" w:line="269" w:lineRule="auto"/>
        <w:rPr>
          <w:sz w:val="20"/>
          <w:szCs w:val="20"/>
          <w:color w:val="auto"/>
        </w:rPr>
      </w:pPr>
      <w:r>
        <w:rPr>
          <w:rFonts w:ascii="Times New Roman" w:cs="Times New Roman" w:eastAsia="Times New Roman" w:hAnsi="Times New Roman"/>
          <w:sz w:val="20"/>
          <w:szCs w:val="20"/>
          <w:color w:val="auto"/>
        </w:rPr>
        <w:t>rate in the second quarter of 2024, as compared to the same quarter in 2023, was primarily related to fluctuations in permanent tax differences.</w:t>
      </w:r>
    </w:p>
    <w:p>
      <w:pPr>
        <w:spacing w:after="0" w:line="17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9"/>
          <w:szCs w:val="19"/>
          <w:color w:val="auto"/>
        </w:rPr>
        <w:t>Income tax expense decreased $186,000 to $1.0 million, with an effective tax rate of 19.5%, for the six months ended June 30, 2024, as compared to $1.2 million with an effective tax rate of 20.5%, for the same six month period in 2023. The decrease in income tax expense for the six months ended June 30, 2024, as compared to the same six month period in 2023, was primarily driven by the year-over-year decrease in income before taxes coupled with increases in permanent tax differences. The effective income tax rate decreased 1.0% to 19.5% for the six months ended June 30, 2024 as compared to 20.5% for the same six month period in 2023. The decrease in the tax rate in the six months ended June 30, 2024, as compared to the same period in 2023, was primarily related to fluctuations in permanent tax differences.</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tax liability is a function of the 21% statutory federal tax rate, the level of pretax income, the varying effects of New York State income taxes, and is partially reduced by tax-exempt income from specific types of investment securities and loans, bank owned life insurance, and, to a much lesser degree, the utilization of historic and low income housing tax credits. In addition, the tax effects of certain incentive stock option activity may reduce the Company’s effective tax rate on a sporadic basis.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per Share</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Basic and diluted earnings per Voting and Series A Non-Voting share were $0.32 per share for the second quarter of 2024, as compared to $0.32 for the same prior year period. The earnings per share between these two periods was the same due to the consistent net income between these two time periods.</w:t>
      </w:r>
    </w:p>
    <w:p>
      <w:pPr>
        <w:spacing w:after="0" w:line="18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Basic and diluted earnings per Voting and Series A Non-Voting share were $0.66 for the six month period ended June 30, 2024, as compared to $0.75 for the same prior year period. The decrease in earnings per share between these two periods was due to the decrease in net income between these two time periods. Further information on earnings per share can be found in Note 3 of the unaudited consolidated financial statements of this Form 10-Q.</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Financial Condition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Assets</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Total assets decreased $19.6 million, or 1.34%, to $1.45 billion at June 30, 2024 as compared to December 31, 2023. This decrease was due primarily to decreases in cash and cash equivalents and total loans, partially offset by an increase in investment securities.</w:t>
      </w:r>
    </w:p>
    <w:p>
      <w:pPr>
        <w:spacing w:after="0" w:line="1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Total cash and cash equivalents totaled $31.8 million at June 30, 2024, a decrease of $16.9 million, or 34.7%, compared to $48.7 million at December 31, 2023. This decline was due to a decrease of $16.6 million in interest-earning deposits, slightly offset by an increase in cash and due from banks of $316,000. Loans totaled $888.3 million at June 30, 2024, a decrease of $8.9 million, or 1.0%, compared to $897.2 million at December 31, 2023. This decrease was primarily due to decreases of $8.5 million in total residential mortgage loans and $3.6 million in total consumer loans, partially offset by an increase of $3.1 million in commercial loans.</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Total decreases in assets were partially offset by an increase in investment securities, including investment in FHLB-NY stock, of $3.8 million, or 0.8%, to $453.7 million at June 30, 2024, as compared to December 31, 2023. This increase was due to increases of $16.3 million in available-for-sale securities and $587,000 in marketable equity securities, partially offset by decreases of $13.0 million in held-to-maturity securities and $46,000 in FHLB-NY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Liabilities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Total liabilities decreased $23.5 million, or 1.7%, to $1.32 billion at June 30, 2024 as compared to $1.35 billion at December 31, 2023. This decrease was due primarily to decreases in total deposits and long-term borrowings.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Total deposits decreased $18.8 million, or 1.7%, from $1.12 billion at December 31, 2023 to $1.10 billion at June 30, 2024. This decrease was due to a $17.8 million decrease in interest-bearing deposits, as well as a $1.0 million decrease in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61</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62" w:name="page63"/>
    <w:bookmarkEnd w:id="62"/>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noninterest-bearing deposits. Long-term borrowed funds from FHLB-NY decreased $4.0 million, or 8.1%, to $45.9 million at June 30, 2024, as compared to $49.9 million at December 31, 2023.</w:t>
      </w:r>
    </w:p>
    <w:p>
      <w:pPr>
        <w:spacing w:after="0" w:line="17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total decrease in liabilities was partially offset by a $1.9 million, or 1.5% increase in short-term borrowings from FHLB-NY, from $125.7 million at December 31, 2023 to $127.6 million at June 30,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Shareholders’ Equity</w:t>
      </w:r>
    </w:p>
    <w:p>
      <w:pPr>
        <w:spacing w:after="0" w:line="22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Shareholders' equity increased by $3.8 million, or 3.2%, from $119.5 million at December 31, 2023, to $123.3 million at June 30, 2024. This increase was primarily due to the Company’s recorded net income of $4.1 million, and a decrease in accumulated other comprehensive loss of $819,000, partially reduced by declared dividends to shareholders of $1.2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w:t>
      </w:r>
    </w:p>
    <w:p>
      <w:pPr>
        <w:spacing w:after="0" w:line="220"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Capital adequacy is evaluated primarily by the use of ratios which measure capital against total assets, as well as against total assets that are weighted based on defined risk characteristics. The Company’s goal is to maintain a strong capital position, consistent with the risk profile of its banking operations. This strong capital position serves to support growth and expansion activities while at the same time exceeding regulatory standards. At June 30, 2024, the Bank met the regulatory definition of a “well-capitalized” institution, i.e. a leverage capital ratio exceeding 5%, a Tier 1 risk-based capital ratio exceeding 8%, Tier 1 common equity exceeding 6.5%, and a total risk-based capital ratio exceeding 10%.</w:t>
      </w:r>
    </w:p>
    <w:p>
      <w:pPr>
        <w:spacing w:after="0" w:line="171"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In addition to establishing the minimum regulatory capital requirements, the regulations limit capital distributions and certain discretionary bonus payments to management if the institution does not hold a “capital conservation buffer” consisting of 2.5% of common equity Tier 1 capital to risk-weighted assets above the amount necessary to meet its minimum risk-based capital requirements. The buffer is separate from the capital ratios required under the Prompt Corrective Actions (“PCA”) standards. In order to avoid these restrictions, the capital conservation buffer effectively increases the minimum levels of the following capital to risk-weighted assets ratios: (1) Core Capital, (2) Total Capital and (3) Common Equity. At June 30, 2024, the Bank exceeded all regulatory required minimum capital ratios, including the capital buffer requirements.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Pathfinder Bank’s capital amounts and ratios as of the indicated dates are presented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Minimum For</w:t>
            </w:r>
          </w:p>
        </w:tc>
        <w:tc>
          <w:tcPr>
            <w:tcW w:w="100" w:type="dxa"/>
            <w:vAlign w:val="bottom"/>
          </w:tcPr>
          <w:p>
            <w:pPr>
              <w:spacing w:after="0"/>
              <w:rPr>
                <w:sz w:val="13"/>
                <w:szCs w:val="13"/>
                <w:color w:val="auto"/>
              </w:rPr>
            </w:pPr>
          </w:p>
        </w:tc>
        <w:tc>
          <w:tcPr>
            <w:tcW w:w="16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w w:val="99"/>
              </w:rPr>
              <w:t>Minimum To Be</w:t>
            </w:r>
          </w:p>
        </w:tc>
        <w:tc>
          <w:tcPr>
            <w:tcW w:w="100" w:type="dxa"/>
            <w:vAlign w:val="bottom"/>
          </w:tcPr>
          <w:p>
            <w:pPr>
              <w:spacing w:after="0"/>
              <w:rPr>
                <w:sz w:val="13"/>
                <w:szCs w:val="13"/>
                <w:color w:val="auto"/>
              </w:rPr>
            </w:pPr>
          </w:p>
        </w:tc>
        <w:tc>
          <w:tcPr>
            <w:tcW w:w="14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Minimum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"Well-Capitalized"</w:t>
            </w:r>
          </w:p>
        </w:tc>
        <w:tc>
          <w:tcPr>
            <w:tcW w:w="1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Actual</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Capital Adequacy</w:t>
            </w:r>
          </w:p>
        </w:tc>
        <w:tc>
          <w:tcPr>
            <w:tcW w:w="100" w:type="dxa"/>
            <w:vAlign w:val="bottom"/>
          </w:tcPr>
          <w:p>
            <w:pPr>
              <w:spacing w:after="0"/>
              <w:rPr>
                <w:sz w:val="12"/>
                <w:szCs w:val="12"/>
                <w:color w:val="auto"/>
              </w:rPr>
            </w:pPr>
          </w:p>
        </w:tc>
        <w:tc>
          <w:tcPr>
            <w:tcW w:w="16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Under Prompt</w:t>
            </w:r>
          </w:p>
        </w:tc>
        <w:tc>
          <w:tcPr>
            <w:tcW w:w="100" w:type="dxa"/>
            <w:vAlign w:val="bottom"/>
          </w:tcPr>
          <w:p>
            <w:pPr>
              <w:spacing w:after="0"/>
              <w:rPr>
                <w:sz w:val="12"/>
                <w:szCs w:val="12"/>
                <w:color w:val="auto"/>
              </w:rPr>
            </w:pPr>
          </w:p>
        </w:tc>
        <w:tc>
          <w:tcPr>
            <w:tcW w:w="14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Capital Adequacy</w:t>
            </w:r>
          </w:p>
        </w:tc>
        <w:tc>
          <w:tcPr>
            <w:tcW w:w="0" w:type="dxa"/>
            <w:vAlign w:val="bottom"/>
          </w:tcPr>
          <w:p>
            <w:pPr>
              <w:spacing w:after="0"/>
              <w:rPr>
                <w:sz w:val="1"/>
                <w:szCs w:val="1"/>
                <w:color w:val="auto"/>
              </w:rPr>
            </w:pPr>
          </w:p>
        </w:tc>
      </w:tr>
      <w:tr>
        <w:trPr>
          <w:trHeight w:val="185"/>
        </w:trPr>
        <w:tc>
          <w:tcPr>
            <w:tcW w:w="40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Purposes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rPr>
              <w:t>Corrective Provisions</w:t>
            </w:r>
          </w:p>
        </w:tc>
        <w:tc>
          <w:tcPr>
            <w:tcW w:w="100" w:type="dxa"/>
            <w:vAlign w:val="bottom"/>
          </w:tcPr>
          <w:p>
            <w:pPr>
              <w:spacing w:after="0"/>
              <w:rPr>
                <w:sz w:val="16"/>
                <w:szCs w:val="16"/>
                <w:color w:val="auto"/>
              </w:rPr>
            </w:pPr>
          </w:p>
        </w:tc>
        <w:tc>
          <w:tcPr>
            <w:tcW w:w="14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with Buffer</w:t>
            </w:r>
          </w:p>
        </w:tc>
        <w:tc>
          <w:tcPr>
            <w:tcW w:w="0" w:type="dxa"/>
            <w:vAlign w:val="bottom"/>
          </w:tcPr>
          <w:p>
            <w:pPr>
              <w:spacing w:after="0"/>
              <w:rPr>
                <w:sz w:val="1"/>
                <w:szCs w:val="1"/>
                <w:color w:val="auto"/>
              </w:rPr>
            </w:pPr>
          </w:p>
        </w:tc>
      </w:tr>
      <w:tr>
        <w:trPr>
          <w:trHeight w:val="169"/>
        </w:trPr>
        <w:tc>
          <w:tcPr>
            <w:tcW w:w="4080" w:type="dxa"/>
            <w:vAlign w:val="bottom"/>
            <w:tcBorders>
              <w:bottom w:val="single" w:sz="8" w:color="auto"/>
            </w:tcBorders>
            <w:gridSpan w:val="5"/>
            <w:vMerge w:val="continue"/>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rPr>
              <w:t>Amount</w:t>
            </w:r>
          </w:p>
        </w:tc>
        <w:tc>
          <w:tcPr>
            <w:tcW w:w="7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Ratio</w:t>
            </w:r>
          </w:p>
        </w:tc>
        <w:tc>
          <w:tcPr>
            <w:tcW w:w="14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Amount</w:t>
            </w:r>
          </w:p>
        </w:tc>
        <w:tc>
          <w:tcPr>
            <w:tcW w:w="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Ratio</w:t>
            </w:r>
          </w:p>
        </w:tc>
        <w:tc>
          <w:tcPr>
            <w:tcW w:w="10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Amount</w:t>
            </w:r>
          </w:p>
        </w:tc>
        <w:tc>
          <w:tcPr>
            <w:tcW w:w="7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Ratio</w:t>
            </w:r>
          </w:p>
        </w:tc>
        <w:tc>
          <w:tcPr>
            <w:tcW w:w="120" w:type="dxa"/>
            <w:vAlign w:val="bottom"/>
            <w:tcBorders>
              <w:bottom w:val="single" w:sz="8" w:color="auto"/>
            </w:tcBorders>
          </w:tcPr>
          <w:p>
            <w:pPr>
              <w:spacing w:after="0"/>
              <w:rPr>
                <w:sz w:val="14"/>
                <w:szCs w:val="14"/>
                <w:color w:val="auto"/>
              </w:rPr>
            </w:pPr>
          </w:p>
        </w:tc>
        <w:tc>
          <w:tcPr>
            <w:tcW w:w="800" w:type="dxa"/>
            <w:vAlign w:val="bottom"/>
            <w:tcBorders>
              <w:top w:val="single" w:sz="8" w:color="auto"/>
              <w:bottom w:val="single" w:sz="8" w:color="auto"/>
            </w:tcBorders>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Amount</w:t>
            </w:r>
          </w:p>
        </w:tc>
        <w:tc>
          <w:tcPr>
            <w:tcW w:w="7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Ratio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CFF0FC"/>
            </w:tcBorders>
            <w:shd w:val="clear" w:color="auto" w:fill="CFF0FC"/>
          </w:tcPr>
          <w:p>
            <w:pPr>
              <w:spacing w:after="0"/>
              <w:rPr>
                <w:sz w:val="12"/>
                <w:szCs w:val="12"/>
                <w:color w:val="auto"/>
              </w:rPr>
            </w:pPr>
          </w:p>
        </w:tc>
        <w:tc>
          <w:tcPr>
            <w:tcW w:w="1200" w:type="dxa"/>
            <w:vAlign w:val="bottom"/>
            <w:tcBorders>
              <w:bottom w:val="single" w:sz="8" w:color="auto"/>
            </w:tcBorders>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As of June 30, 2024:</w:t>
            </w:r>
          </w:p>
        </w:tc>
        <w:tc>
          <w:tcPr>
            <w:tcW w:w="2860" w:type="dxa"/>
            <w:vAlign w:val="bottom"/>
            <w:tcBorders>
              <w:bottom w:val="single" w:sz="8" w:color="CFF0FC"/>
            </w:tcBorders>
            <w:gridSpan w:val="2"/>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Total Core Capital (to Risk-Weighted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159,635</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16.04 %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79,599</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99,499</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104,474</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06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147,131</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14.79 %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59,699</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79,599</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84,574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6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Tier 1 Common Equity (to Risk-Weighted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147,131</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14.79 %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44,775</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64,674</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6.50 %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69,649</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Tier 1</w:t>
            </w:r>
          </w:p>
        </w:tc>
        <w:tc>
          <w:tcPr>
            <w:tcW w:w="3600" w:type="dxa"/>
            <w:vAlign w:val="bottom"/>
            <w:tcBorders>
              <w:bottom w:val="single" w:sz="8" w:color="auto"/>
            </w:tcBorders>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Capital (to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147,131</w:t>
            </w:r>
          </w:p>
        </w:tc>
        <w:tc>
          <w:tcPr>
            <w:tcW w:w="88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10.30 %</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57,139</w:t>
            </w:r>
          </w:p>
        </w:tc>
        <w:tc>
          <w:tcPr>
            <w:tcW w:w="72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71,423</w:t>
            </w:r>
          </w:p>
        </w:tc>
        <w:tc>
          <w:tcPr>
            <w:tcW w:w="88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71,423</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As of December 31, 2023</w:t>
            </w: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06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Total Core Capital (to Risk-Weighted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155,922</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15.05 %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82,860</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103,575</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108,753</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Tier 1</w:t>
            </w:r>
          </w:p>
        </w:tc>
        <w:tc>
          <w:tcPr>
            <w:tcW w:w="3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142,927</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13.80 %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62,145</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82,860</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88,038</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Tier 1</w:t>
            </w:r>
          </w:p>
        </w:tc>
        <w:tc>
          <w:tcPr>
            <w:tcW w:w="3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Common Equity (to Risk-Weighted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142,927</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13.80 %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46,609</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67,324</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6.50 %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72,502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Tier 1</w:t>
            </w:r>
          </w:p>
        </w:tc>
        <w:tc>
          <w:tcPr>
            <w:tcW w:w="3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Capital (to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142,927</w:t>
            </w:r>
          </w:p>
        </w:tc>
        <w:tc>
          <w:tcPr>
            <w:tcW w:w="8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10.11 %</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56,548</w:t>
            </w:r>
          </w:p>
        </w:tc>
        <w:tc>
          <w:tcPr>
            <w:tcW w:w="7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70,685</w:t>
            </w: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70,685</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3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9"/>
          <w:szCs w:val="19"/>
          <w:color w:val="auto"/>
        </w:rPr>
        <w:t>Regulation G, a rule adopted by the Securities and Exchange Commission (SEC), applies to certain SEC filings, including earnings releases, made by registered companies that contain “non-GAAP financial measures.” GAAP is generally accepted accounting principles in the United States of America. Under Regulation G, companies making public disclosures containing non-GAAP financial measures must also disclose, along with each non-GAAP financial measure, certain additional information, including a reconciliation of the non-GAAP financial measure to the closest comparable GAAP financial measure (if a comparable GAAP measure exists) and a statement of the Company’s reasons for utilizing the non-GAAP financial measure as part of its financial disclosures. The SEC has exempted from the definition of “non-GAAP financial measures” certain commonly used financial measures that are not based on GAAP. When these exempted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62</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63" w:name="page64"/>
    <w:bookmarkEnd w:id="63"/>
    <w:p>
      <w:pPr>
        <w:jc w:val="both"/>
        <w:ind w:right="60"/>
        <w:spacing w:after="0" w:line="245" w:lineRule="auto"/>
        <w:rPr>
          <w:sz w:val="20"/>
          <w:szCs w:val="20"/>
          <w:color w:val="auto"/>
        </w:rPr>
      </w:pPr>
      <w:r>
        <w:rPr>
          <w:rFonts w:ascii="Times New Roman" w:cs="Times New Roman" w:eastAsia="Times New Roman" w:hAnsi="Times New Roman"/>
          <w:sz w:val="20"/>
          <w:szCs w:val="20"/>
          <w:color w:val="auto"/>
        </w:rPr>
        <w:t>measures are included in public disclosures, supplemental information is not required. Financial institutions like the Company and its subsidiary bank are subject to an array of bank regulatory capital measures that are financial in nature but are not based on GAAP. The Company follows industry practice in disclosing its financial condition under these various regulatory capital measures, including period-end regulatory capital ratios for its subsidiary bank, in its periodic reports filed with the SEC. The Company provides, below, an explanation of the calculations, as supplemental information, for non-GAAP measures included in the consolidated annual financial statements. In addition, the Company provides a reconciliation of its subsidiary bank’s disclosed regulatory capital measures,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June 30,</w:t>
            </w:r>
          </w:p>
        </w:tc>
        <w:tc>
          <w:tcPr>
            <w:tcW w:w="48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December 31,</w:t>
            </w:r>
          </w:p>
        </w:tc>
        <w:tc>
          <w:tcPr>
            <w:tcW w:w="260" w:type="dxa"/>
            <w:vAlign w:val="bottom"/>
          </w:tcPr>
          <w:p>
            <w:pPr>
              <w:spacing w:after="0"/>
              <w:rPr>
                <w:sz w:val="18"/>
                <w:szCs w:val="18"/>
                <w:color w:val="auto"/>
              </w:rPr>
            </w:pPr>
          </w:p>
        </w:tc>
      </w:tr>
      <w:tr>
        <w:trPr>
          <w:trHeight w:val="242"/>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4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tcBorders>
              <w:bottom w:val="single" w:sz="8" w:color="auto"/>
            </w:tcBorders>
          </w:tcPr>
          <w:p>
            <w:pPr>
              <w:spacing w:after="0"/>
              <w:rPr>
                <w:sz w:val="21"/>
                <w:szCs w:val="21"/>
                <w:color w:val="auto"/>
              </w:rPr>
            </w:pPr>
          </w:p>
        </w:tc>
      </w:tr>
      <w:tr>
        <w:trPr>
          <w:trHeight w:val="230"/>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Regulatory Capital Ratios (Bank only)</w:t>
            </w:r>
          </w:p>
        </w:tc>
        <w:tc>
          <w:tcPr>
            <w:tcW w:w="2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21"/>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capital (to risk-weighted assets)</w:t>
            </w:r>
          </w:p>
        </w:tc>
        <w:tc>
          <w:tcPr>
            <w:tcW w:w="2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8"/>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Total equity (GAAP)</w:t>
            </w:r>
          </w:p>
        </w:tc>
        <w:tc>
          <w:tcPr>
            <w:tcW w:w="24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142,957</w:t>
            </w:r>
          </w:p>
        </w:tc>
        <w:tc>
          <w:tcPr>
            <w:tcW w:w="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137,943</w:t>
            </w:r>
          </w:p>
        </w:tc>
        <w:tc>
          <w:tcPr>
            <w:tcW w:w="260" w:type="dxa"/>
            <w:vAlign w:val="bottom"/>
            <w:shd w:val="clear" w:color="auto" w:fill="CFF0FC"/>
          </w:tcPr>
          <w:p>
            <w:pPr>
              <w:spacing w:after="0"/>
              <w:rPr>
                <w:sz w:val="20"/>
                <w:szCs w:val="20"/>
                <w:color w:val="auto"/>
              </w:rPr>
            </w:pPr>
          </w:p>
        </w:tc>
      </w:tr>
      <w:tr>
        <w:trPr>
          <w:trHeight w:val="220"/>
        </w:trPr>
        <w:tc>
          <w:tcPr>
            <w:tcW w:w="5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Goodwill</w:t>
            </w:r>
          </w:p>
        </w:tc>
        <w:tc>
          <w:tcPr>
            <w:tcW w:w="2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(4,536 )</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(4,536 )</w:t>
            </w:r>
          </w:p>
        </w:tc>
        <w:tc>
          <w:tcPr>
            <w:tcW w:w="260" w:type="dxa"/>
            <w:vAlign w:val="bottom"/>
          </w:tcPr>
          <w:p>
            <w:pPr>
              <w:spacing w:after="0"/>
              <w:rPr>
                <w:sz w:val="19"/>
                <w:szCs w:val="19"/>
                <w:color w:val="auto"/>
              </w:rPr>
            </w:pPr>
          </w:p>
        </w:tc>
      </w:tr>
      <w:tr>
        <w:trPr>
          <w:trHeight w:val="239"/>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Intangible assets</w:t>
            </w:r>
          </w:p>
        </w:tc>
        <w:tc>
          <w:tcPr>
            <w:tcW w:w="24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4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260" w:type="dxa"/>
            <w:vAlign w:val="bottom"/>
            <w:shd w:val="clear" w:color="auto" w:fill="CFF0FC"/>
          </w:tcPr>
          <w:p>
            <w:pPr>
              <w:spacing w:after="0"/>
              <w:rPr>
                <w:sz w:val="20"/>
                <w:szCs w:val="20"/>
                <w:color w:val="auto"/>
              </w:rPr>
            </w:pPr>
          </w:p>
        </w:tc>
      </w:tr>
      <w:tr>
        <w:trPr>
          <w:trHeight w:val="223"/>
        </w:trPr>
        <w:tc>
          <w:tcPr>
            <w:tcW w:w="5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Addback: Accumulated other comprehensive income</w:t>
            </w:r>
          </w:p>
        </w:tc>
        <w:tc>
          <w:tcPr>
            <w:tcW w:w="2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8,786</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9,605</w:t>
            </w:r>
          </w:p>
        </w:tc>
        <w:tc>
          <w:tcPr>
            <w:tcW w:w="260" w:type="dxa"/>
            <w:vAlign w:val="bottom"/>
            <w:tcBorders>
              <w:bottom w:val="single" w:sz="8" w:color="auto"/>
            </w:tcBorders>
          </w:tcPr>
          <w:p>
            <w:pPr>
              <w:spacing w:after="0"/>
              <w:rPr>
                <w:sz w:val="19"/>
                <w:szCs w:val="19"/>
                <w:color w:val="auto"/>
              </w:rPr>
            </w:pPr>
          </w:p>
        </w:tc>
      </w:tr>
      <w:tr>
        <w:trPr>
          <w:trHeight w:val="229"/>
        </w:trPr>
        <w:tc>
          <w:tcPr>
            <w:tcW w:w="5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Tier 1 Capital</w:t>
            </w:r>
          </w:p>
        </w:tc>
        <w:tc>
          <w:tcPr>
            <w:tcW w:w="24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147,131</w:t>
            </w:r>
          </w:p>
        </w:tc>
        <w:tc>
          <w:tcPr>
            <w:tcW w:w="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142,927</w:t>
            </w:r>
          </w:p>
        </w:tc>
        <w:tc>
          <w:tcPr>
            <w:tcW w:w="260" w:type="dxa"/>
            <w:vAlign w:val="bottom"/>
            <w:shd w:val="clear" w:color="auto" w:fill="CFF0FC"/>
          </w:tcPr>
          <w:p>
            <w:pPr>
              <w:spacing w:after="0"/>
              <w:rPr>
                <w:sz w:val="19"/>
                <w:szCs w:val="19"/>
                <w:color w:val="auto"/>
              </w:rPr>
            </w:pPr>
          </w:p>
        </w:tc>
      </w:tr>
      <w:tr>
        <w:trPr>
          <w:trHeight w:val="223"/>
        </w:trPr>
        <w:tc>
          <w:tcPr>
            <w:tcW w:w="5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Allowance for credit losses (subject to regulatory limits)</w:t>
            </w:r>
          </w:p>
        </w:tc>
        <w:tc>
          <w:tcPr>
            <w:tcW w:w="2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12,504</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12,995</w:t>
            </w:r>
          </w:p>
        </w:tc>
        <w:tc>
          <w:tcPr>
            <w:tcW w:w="260" w:type="dxa"/>
            <w:vAlign w:val="bottom"/>
            <w:tcBorders>
              <w:bottom w:val="single" w:sz="8" w:color="auto"/>
            </w:tcBorders>
          </w:tcPr>
          <w:p>
            <w:pPr>
              <w:spacing w:after="0"/>
              <w:rPr>
                <w:sz w:val="19"/>
                <w:szCs w:val="19"/>
                <w:color w:val="auto"/>
              </w:rPr>
            </w:pPr>
          </w:p>
        </w:tc>
      </w:tr>
      <w:tr>
        <w:trPr>
          <w:trHeight w:val="223"/>
        </w:trPr>
        <w:tc>
          <w:tcPr>
            <w:tcW w:w="584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Tier 2 Capital</w:t>
            </w:r>
          </w:p>
        </w:tc>
        <w:tc>
          <w:tcPr>
            <w:tcW w:w="24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12,504</w:t>
            </w:r>
          </w:p>
        </w:tc>
        <w:tc>
          <w:tcPr>
            <w:tcW w:w="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12,995</w:t>
            </w:r>
          </w:p>
        </w:tc>
        <w:tc>
          <w:tcPr>
            <w:tcW w:w="260" w:type="dxa"/>
            <w:vAlign w:val="bottom"/>
            <w:tcBorders>
              <w:bottom w:val="single" w:sz="8" w:color="auto"/>
            </w:tcBorders>
            <w:shd w:val="clear" w:color="auto" w:fill="CFF0FC"/>
          </w:tcPr>
          <w:p>
            <w:pPr>
              <w:spacing w:after="0"/>
              <w:rPr>
                <w:sz w:val="19"/>
                <w:szCs w:val="19"/>
                <w:color w:val="auto"/>
              </w:rPr>
            </w:pPr>
          </w:p>
        </w:tc>
      </w:tr>
      <w:tr>
        <w:trPr>
          <w:trHeight w:val="220"/>
        </w:trPr>
        <w:tc>
          <w:tcPr>
            <w:tcW w:w="5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Tier 1 plus Tier 2 Capital (numerator)</w:t>
            </w:r>
          </w:p>
        </w:tc>
        <w:tc>
          <w:tcPr>
            <w:tcW w:w="24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159,635</w:t>
            </w:r>
          </w:p>
        </w:tc>
        <w:tc>
          <w:tcPr>
            <w:tcW w:w="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155,922</w:t>
            </w:r>
          </w:p>
        </w:tc>
        <w:tc>
          <w:tcPr>
            <w:tcW w:w="260" w:type="dxa"/>
            <w:vAlign w:val="bottom"/>
          </w:tcPr>
          <w:p>
            <w:pPr>
              <w:spacing w:after="0"/>
              <w:rPr>
                <w:sz w:val="19"/>
                <w:szCs w:val="19"/>
                <w:color w:val="auto"/>
              </w:rPr>
            </w:pPr>
          </w:p>
        </w:tc>
      </w:tr>
      <w:tr>
        <w:trPr>
          <w:trHeight w:val="233"/>
        </w:trPr>
        <w:tc>
          <w:tcPr>
            <w:tcW w:w="58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Risk-weighted assets (denominator)</w:t>
            </w:r>
          </w:p>
        </w:tc>
        <w:tc>
          <w:tcPr>
            <w:tcW w:w="24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994,989</w:t>
            </w:r>
          </w:p>
        </w:tc>
        <w:tc>
          <w:tcPr>
            <w:tcW w:w="4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1,035,747</w:t>
            </w:r>
          </w:p>
        </w:tc>
        <w:tc>
          <w:tcPr>
            <w:tcW w:w="260" w:type="dxa"/>
            <w:vAlign w:val="bottom"/>
            <w:tcBorders>
              <w:bottom w:val="single" w:sz="8" w:color="auto"/>
            </w:tcBorders>
            <w:shd w:val="clear" w:color="auto" w:fill="CFF0FC"/>
          </w:tcPr>
          <w:p>
            <w:pPr>
              <w:spacing w:after="0"/>
              <w:rPr>
                <w:sz w:val="20"/>
                <w:szCs w:val="20"/>
                <w:color w:val="auto"/>
              </w:rPr>
            </w:pPr>
          </w:p>
        </w:tc>
      </w:tr>
      <w:tr>
        <w:trPr>
          <w:trHeight w:val="223"/>
        </w:trPr>
        <w:tc>
          <w:tcPr>
            <w:tcW w:w="5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Total core capital to risk-weighted assets</w:t>
            </w:r>
          </w:p>
        </w:tc>
        <w:tc>
          <w:tcPr>
            <w:tcW w:w="2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16.04</w:t>
            </w:r>
          </w:p>
        </w:tc>
        <w:tc>
          <w:tcPr>
            <w:tcW w:w="4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15.05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17"/>
        </w:trPr>
        <w:tc>
          <w:tcPr>
            <w:tcW w:w="5840" w:type="dxa"/>
            <w:vAlign w:val="bottom"/>
            <w:shd w:val="clear" w:color="auto" w:fill="CFF0FC"/>
          </w:tcPr>
          <w:p>
            <w:pPr>
              <w:spacing w:after="0"/>
              <w:rPr>
                <w:sz w:val="18"/>
                <w:szCs w:val="18"/>
                <w:color w:val="auto"/>
              </w:rPr>
            </w:pPr>
          </w:p>
        </w:tc>
        <w:tc>
          <w:tcPr>
            <w:tcW w:w="24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21"/>
        </w:trPr>
        <w:tc>
          <w:tcPr>
            <w:tcW w:w="58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Tier 1 capital (to risk-weighted assets)</w:t>
            </w:r>
          </w:p>
        </w:tc>
        <w:tc>
          <w:tcPr>
            <w:tcW w:w="2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8"/>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Total Tier 1 capital (numerator)</w:t>
            </w:r>
          </w:p>
        </w:tc>
        <w:tc>
          <w:tcPr>
            <w:tcW w:w="24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147,131</w:t>
            </w:r>
          </w:p>
        </w:tc>
        <w:tc>
          <w:tcPr>
            <w:tcW w:w="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142,927</w:t>
            </w:r>
          </w:p>
        </w:tc>
        <w:tc>
          <w:tcPr>
            <w:tcW w:w="260" w:type="dxa"/>
            <w:vAlign w:val="bottom"/>
            <w:shd w:val="clear" w:color="auto" w:fill="CFF0FC"/>
          </w:tcPr>
          <w:p>
            <w:pPr>
              <w:spacing w:after="0"/>
              <w:rPr>
                <w:sz w:val="20"/>
                <w:szCs w:val="20"/>
                <w:color w:val="auto"/>
              </w:rPr>
            </w:pPr>
          </w:p>
        </w:tc>
      </w:tr>
      <w:tr>
        <w:trPr>
          <w:trHeight w:val="223"/>
        </w:trPr>
        <w:tc>
          <w:tcPr>
            <w:tcW w:w="5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Risk-weighted assets (denominator)</w:t>
            </w:r>
          </w:p>
        </w:tc>
        <w:tc>
          <w:tcPr>
            <w:tcW w:w="2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994,989</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1,035,747</w:t>
            </w:r>
          </w:p>
        </w:tc>
        <w:tc>
          <w:tcPr>
            <w:tcW w:w="260" w:type="dxa"/>
            <w:vAlign w:val="bottom"/>
            <w:tcBorders>
              <w:bottom w:val="single" w:sz="8" w:color="auto"/>
            </w:tcBorders>
          </w:tcPr>
          <w:p>
            <w:pPr>
              <w:spacing w:after="0"/>
              <w:rPr>
                <w:sz w:val="19"/>
                <w:szCs w:val="19"/>
                <w:color w:val="auto"/>
              </w:rPr>
            </w:pPr>
          </w:p>
        </w:tc>
      </w:tr>
      <w:tr>
        <w:trPr>
          <w:trHeight w:val="263"/>
        </w:trPr>
        <w:tc>
          <w:tcPr>
            <w:tcW w:w="584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244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14.79</w:t>
            </w:r>
          </w:p>
        </w:tc>
        <w:tc>
          <w:tcPr>
            <w:tcW w:w="4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13.80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9"/>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Tier 1 capital (to adjusted assets)</w:t>
            </w:r>
          </w:p>
        </w:tc>
        <w:tc>
          <w:tcPr>
            <w:tcW w:w="2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20"/>
        </w:trPr>
        <w:tc>
          <w:tcPr>
            <w:tcW w:w="5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Tier 1 capital (numerator)</w:t>
            </w:r>
          </w:p>
        </w:tc>
        <w:tc>
          <w:tcPr>
            <w:tcW w:w="24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147,131</w:t>
            </w:r>
          </w:p>
        </w:tc>
        <w:tc>
          <w:tcPr>
            <w:tcW w:w="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142,927</w:t>
            </w:r>
          </w:p>
        </w:tc>
        <w:tc>
          <w:tcPr>
            <w:tcW w:w="260" w:type="dxa"/>
            <w:vAlign w:val="bottom"/>
          </w:tcPr>
          <w:p>
            <w:pPr>
              <w:spacing w:after="0"/>
              <w:rPr>
                <w:sz w:val="19"/>
                <w:szCs w:val="19"/>
                <w:color w:val="auto"/>
              </w:rPr>
            </w:pPr>
          </w:p>
        </w:tc>
      </w:tr>
      <w:tr>
        <w:trPr>
          <w:trHeight w:val="239"/>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Total average assets</w:t>
            </w:r>
          </w:p>
        </w:tc>
        <w:tc>
          <w:tcPr>
            <w:tcW w:w="244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1,433,079</w:t>
            </w:r>
          </w:p>
        </w:tc>
        <w:tc>
          <w:tcPr>
            <w:tcW w:w="4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1,418,313</w:t>
            </w:r>
          </w:p>
        </w:tc>
        <w:tc>
          <w:tcPr>
            <w:tcW w:w="260" w:type="dxa"/>
            <w:vAlign w:val="bottom"/>
            <w:shd w:val="clear" w:color="auto" w:fill="CFF0FC"/>
          </w:tcPr>
          <w:p>
            <w:pPr>
              <w:spacing w:after="0"/>
              <w:rPr>
                <w:sz w:val="20"/>
                <w:szCs w:val="20"/>
                <w:color w:val="auto"/>
              </w:rPr>
            </w:pPr>
          </w:p>
        </w:tc>
      </w:tr>
      <w:tr>
        <w:trPr>
          <w:trHeight w:val="220"/>
        </w:trPr>
        <w:tc>
          <w:tcPr>
            <w:tcW w:w="5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Goodwill</w:t>
            </w:r>
          </w:p>
        </w:tc>
        <w:tc>
          <w:tcPr>
            <w:tcW w:w="2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(4,536 )</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(4,536 )</w:t>
            </w:r>
          </w:p>
        </w:tc>
        <w:tc>
          <w:tcPr>
            <w:tcW w:w="260" w:type="dxa"/>
            <w:vAlign w:val="bottom"/>
          </w:tcPr>
          <w:p>
            <w:pPr>
              <w:spacing w:after="0"/>
              <w:rPr>
                <w:sz w:val="19"/>
                <w:szCs w:val="19"/>
                <w:color w:val="auto"/>
              </w:rPr>
            </w:pPr>
          </w:p>
        </w:tc>
      </w:tr>
      <w:tr>
        <w:trPr>
          <w:trHeight w:val="233"/>
        </w:trPr>
        <w:tc>
          <w:tcPr>
            <w:tcW w:w="58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Intangible assets</w:t>
            </w:r>
          </w:p>
        </w:tc>
        <w:tc>
          <w:tcPr>
            <w:tcW w:w="24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4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260" w:type="dxa"/>
            <w:vAlign w:val="bottom"/>
            <w:tcBorders>
              <w:bottom w:val="single" w:sz="8" w:color="auto"/>
            </w:tcBorders>
            <w:shd w:val="clear" w:color="auto" w:fill="CFF0FC"/>
          </w:tcPr>
          <w:p>
            <w:pPr>
              <w:spacing w:after="0"/>
              <w:rPr>
                <w:sz w:val="20"/>
                <w:szCs w:val="20"/>
                <w:color w:val="auto"/>
              </w:rPr>
            </w:pPr>
          </w:p>
        </w:tc>
      </w:tr>
      <w:tr>
        <w:trPr>
          <w:trHeight w:val="223"/>
        </w:trPr>
        <w:tc>
          <w:tcPr>
            <w:tcW w:w="5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Adjusted assets (denominator)</w:t>
            </w:r>
          </w:p>
        </w:tc>
        <w:tc>
          <w:tcPr>
            <w:tcW w:w="24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1,428,467</w:t>
            </w:r>
          </w:p>
        </w:tc>
        <w:tc>
          <w:tcPr>
            <w:tcW w:w="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1,413,692</w:t>
            </w:r>
          </w:p>
        </w:tc>
        <w:tc>
          <w:tcPr>
            <w:tcW w:w="260" w:type="dxa"/>
            <w:vAlign w:val="bottom"/>
            <w:tcBorders>
              <w:bottom w:val="single" w:sz="8" w:color="auto"/>
            </w:tcBorders>
          </w:tcPr>
          <w:p>
            <w:pPr>
              <w:spacing w:after="0"/>
              <w:rPr>
                <w:sz w:val="19"/>
                <w:szCs w:val="19"/>
                <w:color w:val="auto"/>
              </w:rPr>
            </w:pPr>
          </w:p>
        </w:tc>
      </w:tr>
      <w:tr>
        <w:trPr>
          <w:trHeight w:val="263"/>
        </w:trPr>
        <w:tc>
          <w:tcPr>
            <w:tcW w:w="584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capital to adjusted assets</w:t>
            </w:r>
          </w:p>
        </w:tc>
        <w:tc>
          <w:tcPr>
            <w:tcW w:w="244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10.30</w:t>
            </w:r>
          </w:p>
        </w:tc>
        <w:tc>
          <w:tcPr>
            <w:tcW w:w="4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10.11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Tier 1 Common Equity (to risk-weighted assets)</w:t>
            </w:r>
          </w:p>
        </w:tc>
        <w:tc>
          <w:tcPr>
            <w:tcW w:w="2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20"/>
        </w:trPr>
        <w:tc>
          <w:tcPr>
            <w:tcW w:w="5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Tier 1 capital (numerator)</w:t>
            </w:r>
          </w:p>
        </w:tc>
        <w:tc>
          <w:tcPr>
            <w:tcW w:w="24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147,131</w:t>
            </w:r>
          </w:p>
        </w:tc>
        <w:tc>
          <w:tcPr>
            <w:tcW w:w="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142,927</w:t>
            </w:r>
          </w:p>
        </w:tc>
        <w:tc>
          <w:tcPr>
            <w:tcW w:w="260" w:type="dxa"/>
            <w:vAlign w:val="bottom"/>
          </w:tcPr>
          <w:p>
            <w:pPr>
              <w:spacing w:after="0"/>
              <w:rPr>
                <w:sz w:val="19"/>
                <w:szCs w:val="19"/>
                <w:color w:val="auto"/>
              </w:rPr>
            </w:pPr>
          </w:p>
        </w:tc>
      </w:tr>
      <w:tr>
        <w:trPr>
          <w:trHeight w:val="233"/>
        </w:trPr>
        <w:tc>
          <w:tcPr>
            <w:tcW w:w="58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Risk-weighted assets (denominator)</w:t>
            </w:r>
          </w:p>
        </w:tc>
        <w:tc>
          <w:tcPr>
            <w:tcW w:w="24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994,989</w:t>
            </w:r>
          </w:p>
        </w:tc>
        <w:tc>
          <w:tcPr>
            <w:tcW w:w="4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1,035,747</w:t>
            </w:r>
          </w:p>
        </w:tc>
        <w:tc>
          <w:tcPr>
            <w:tcW w:w="260" w:type="dxa"/>
            <w:vAlign w:val="bottom"/>
            <w:tcBorders>
              <w:bottom w:val="single" w:sz="8" w:color="auto"/>
            </w:tcBorders>
            <w:shd w:val="clear" w:color="auto" w:fill="CFF0FC"/>
          </w:tcPr>
          <w:p>
            <w:pPr>
              <w:spacing w:after="0"/>
              <w:rPr>
                <w:sz w:val="20"/>
                <w:szCs w:val="20"/>
                <w:color w:val="auto"/>
              </w:rPr>
            </w:pPr>
          </w:p>
        </w:tc>
      </w:tr>
      <w:tr>
        <w:trPr>
          <w:trHeight w:val="223"/>
        </w:trPr>
        <w:tc>
          <w:tcPr>
            <w:tcW w:w="5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Total Tier 1 Common Equity to risk-weighted assets</w:t>
            </w:r>
          </w:p>
        </w:tc>
        <w:tc>
          <w:tcPr>
            <w:tcW w:w="2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14.79</w:t>
            </w:r>
          </w:p>
        </w:tc>
        <w:tc>
          <w:tcPr>
            <w:tcW w:w="4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13.80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Loan and Asset Quality and Allowance for Credit Losses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represents information concerning the aggregate amount of non-accrual loans at the indicated dates: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June 30,</w:t>
            </w:r>
          </w:p>
        </w:tc>
        <w:tc>
          <w:tcPr>
            <w:tcW w:w="26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w:t>
            </w:r>
          </w:p>
        </w:tc>
        <w:tc>
          <w:tcPr>
            <w:tcW w:w="4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June 30,</w:t>
            </w:r>
          </w:p>
        </w:tc>
      </w:tr>
      <w:tr>
        <w:trPr>
          <w:trHeight w:val="250"/>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21"/>
                <w:szCs w:val="21"/>
                <w:color w:val="auto"/>
              </w:rPr>
            </w:pPr>
          </w:p>
        </w:tc>
      </w:tr>
      <w:tr>
        <w:trPr>
          <w:trHeight w:val="243"/>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 loans:</w:t>
            </w:r>
          </w:p>
        </w:tc>
        <w:tc>
          <w:tcPr>
            <w:tcW w:w="19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and commercial real estate loans</w:t>
            </w:r>
          </w:p>
        </w:tc>
        <w:tc>
          <w:tcPr>
            <w:tcW w:w="1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18,516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12,317</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16,391</w:t>
            </w:r>
          </w:p>
        </w:tc>
        <w:tc>
          <w:tcPr>
            <w:tcW w:w="60" w:type="dxa"/>
            <w:vAlign w:val="bottom"/>
          </w:tcPr>
          <w:p>
            <w:pPr>
              <w:spacing w:after="0"/>
              <w:rPr>
                <w:sz w:val="20"/>
                <w:szCs w:val="20"/>
                <w:color w:val="auto"/>
              </w:rPr>
            </w:pPr>
          </w:p>
        </w:tc>
      </w:tr>
      <w:tr>
        <w:trPr>
          <w:trHeight w:val="247"/>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Consumer</w:t>
            </w:r>
          </w:p>
        </w:tc>
        <w:tc>
          <w:tcPr>
            <w:tcW w:w="19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4,237</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3,140</w:t>
            </w:r>
          </w:p>
        </w:tc>
        <w:tc>
          <w:tcPr>
            <w:tcW w:w="4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2,409</w:t>
            </w:r>
          </w:p>
        </w:tc>
        <w:tc>
          <w:tcPr>
            <w:tcW w:w="60" w:type="dxa"/>
            <w:vAlign w:val="bottom"/>
          </w:tcPr>
          <w:p>
            <w:pPr>
              <w:spacing w:after="0"/>
              <w:rPr>
                <w:sz w:val="21"/>
                <w:szCs w:val="21"/>
                <w:color w:val="auto"/>
              </w:rPr>
            </w:pPr>
          </w:p>
        </w:tc>
      </w:tr>
      <w:tr>
        <w:trPr>
          <w:trHeight w:val="239"/>
        </w:trPr>
        <w:tc>
          <w:tcPr>
            <w:tcW w:w="5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19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1,737</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1,770</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1,549</w:t>
            </w:r>
          </w:p>
        </w:tc>
        <w:tc>
          <w:tcPr>
            <w:tcW w:w="60" w:type="dxa"/>
            <w:vAlign w:val="bottom"/>
          </w:tcPr>
          <w:p>
            <w:pPr>
              <w:spacing w:after="0"/>
              <w:rPr>
                <w:sz w:val="20"/>
                <w:szCs w:val="20"/>
                <w:color w:val="auto"/>
              </w:rPr>
            </w:pPr>
          </w:p>
        </w:tc>
      </w:tr>
      <w:tr>
        <w:trPr>
          <w:trHeight w:val="236"/>
        </w:trPr>
        <w:tc>
          <w:tcPr>
            <w:tcW w:w="5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nonaccrual loans</w:t>
            </w:r>
          </w:p>
        </w:tc>
        <w:tc>
          <w:tcPr>
            <w:tcW w:w="19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24,490</w:t>
            </w:r>
          </w:p>
        </w:tc>
        <w:tc>
          <w:tcPr>
            <w:tcW w:w="2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17,227</w:t>
            </w:r>
          </w:p>
        </w:tc>
        <w:tc>
          <w:tcPr>
            <w:tcW w:w="4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20,349</w:t>
            </w:r>
          </w:p>
        </w:tc>
        <w:tc>
          <w:tcPr>
            <w:tcW w:w="60" w:type="dxa"/>
            <w:vAlign w:val="bottom"/>
          </w:tcPr>
          <w:p>
            <w:pPr>
              <w:spacing w:after="0"/>
              <w:rPr>
                <w:sz w:val="20"/>
                <w:szCs w:val="20"/>
                <w:color w:val="auto"/>
              </w:rPr>
            </w:pPr>
          </w:p>
        </w:tc>
      </w:tr>
      <w:tr>
        <w:trPr>
          <w:trHeight w:val="237"/>
        </w:trPr>
        <w:tc>
          <w:tcPr>
            <w:tcW w:w="5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19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24,490</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17,227</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20,349</w:t>
            </w:r>
          </w:p>
        </w:tc>
        <w:tc>
          <w:tcPr>
            <w:tcW w:w="60" w:type="dxa"/>
            <w:vAlign w:val="bottom"/>
          </w:tcPr>
          <w:p>
            <w:pPr>
              <w:spacing w:after="0"/>
              <w:rPr>
                <w:sz w:val="20"/>
                <w:szCs w:val="20"/>
                <w:color w:val="auto"/>
              </w:rPr>
            </w:pPr>
          </w:p>
        </w:tc>
      </w:tr>
      <w:tr>
        <w:trPr>
          <w:trHeight w:val="236"/>
        </w:trPr>
        <w:tc>
          <w:tcPr>
            <w:tcW w:w="50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Foreclosed real estate</w:t>
            </w:r>
          </w:p>
        </w:tc>
        <w:tc>
          <w:tcPr>
            <w:tcW w:w="19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151</w:t>
            </w:r>
          </w:p>
        </w:tc>
        <w:tc>
          <w:tcPr>
            <w:tcW w:w="4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277</w:t>
            </w:r>
          </w:p>
        </w:tc>
        <w:tc>
          <w:tcPr>
            <w:tcW w:w="60" w:type="dxa"/>
            <w:vAlign w:val="bottom"/>
          </w:tcPr>
          <w:p>
            <w:pPr>
              <w:spacing w:after="0"/>
              <w:rPr>
                <w:sz w:val="20"/>
                <w:szCs w:val="20"/>
                <w:color w:val="auto"/>
              </w:rPr>
            </w:pPr>
          </w:p>
        </w:tc>
      </w:tr>
      <w:tr>
        <w:trPr>
          <w:trHeight w:val="236"/>
        </w:trPr>
        <w:tc>
          <w:tcPr>
            <w:tcW w:w="5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1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24,550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17,378</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20,626</w:t>
            </w:r>
          </w:p>
        </w:tc>
        <w:tc>
          <w:tcPr>
            <w:tcW w:w="60" w:type="dxa"/>
            <w:vAlign w:val="bottom"/>
          </w:tcPr>
          <w:p>
            <w:pPr>
              <w:spacing w:after="0"/>
              <w:rPr>
                <w:sz w:val="20"/>
                <w:szCs w:val="20"/>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500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loans to total loans</w:t>
            </w:r>
          </w:p>
        </w:tc>
        <w:tc>
          <w:tcPr>
            <w:tcW w:w="19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2.76 %</w:t>
            </w:r>
          </w:p>
        </w:tc>
        <w:tc>
          <w:tcPr>
            <w:tcW w:w="26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1.92 %</w:t>
            </w:r>
          </w:p>
        </w:tc>
        <w:tc>
          <w:tcPr>
            <w:tcW w:w="4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2.28 %</w:t>
            </w:r>
          </w:p>
        </w:tc>
      </w:tr>
      <w:tr>
        <w:trPr>
          <w:trHeight w:val="238"/>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19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1.70 %</w:t>
            </w:r>
          </w:p>
        </w:tc>
        <w:tc>
          <w:tcPr>
            <w:tcW w:w="26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1.19 %</w:t>
            </w:r>
          </w:p>
        </w:tc>
        <w:tc>
          <w:tcPr>
            <w:tcW w:w="4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Nonperforming assets include nonaccrual loans, and foreclosed real estate (‘‘FRE”).</w:t>
      </w:r>
    </w:p>
    <w:p>
      <w:pPr>
        <w:spacing w:after="0" w:line="2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16" w:right="279" w:bottom="883" w:gutter="0" w:footer="0" w:header="0"/>
        </w:sectPr>
      </w:pPr>
    </w:p>
    <w:bookmarkStart w:id="64" w:name="page65"/>
    <w:bookmarkEnd w:id="64"/>
    <w:p>
      <w:pPr>
        <w:jc w:val="both"/>
        <w:spacing w:after="0" w:line="246" w:lineRule="auto"/>
        <w:rPr>
          <w:sz w:val="20"/>
          <w:szCs w:val="20"/>
          <w:color w:val="auto"/>
        </w:rPr>
      </w:pPr>
      <w:r>
        <w:rPr>
          <w:rFonts w:ascii="Times New Roman" w:cs="Times New Roman" w:eastAsia="Times New Roman" w:hAnsi="Times New Roman"/>
          <w:sz w:val="20"/>
          <w:szCs w:val="20"/>
          <w:color w:val="auto"/>
        </w:rPr>
        <w:t>As indicated in the table above, nonperforming assets at June 30, 2024 were $24.6 million, and were $7.2 million higher than the $17.4 million reported at December 31, 2023 and $4.0 million higher than the $20.6 million reported at June 30, 2023. The increase in the nonperforming loans on June 30, 2024, as compared to December 31, 2023, was driven by the downgrade of one commercial real estate loan with a balance of $1.4 million, deterioration of several commercial loan relationships totaling $4.8 million, and $1.1 million in consumer relationships.</w:t>
      </w:r>
    </w:p>
    <w:p>
      <w:pPr>
        <w:spacing w:after="0" w:line="1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Fair values for commercial FRE are initially recorded based on market value evaluations by third parties, less costs to sell (“initial cost basis”). On a prospective basis, residential FRE assets will be initially recorded at the lower of the net amount of loan receivable or the real estate’s fair value less costs to sell. Any write-downs required when the related loan receivable is exchanged for the underlying real estate collateral at the time of transfer to FRE are charged to the allowance for credit losses. Values are derived from appraisals of underlying collateral or discounted cash flow analysis. Subsequent to foreclosure, valuations are updated periodically and assets are marked to current fair value, not to exceed the initial cost basis for the FRE property.</w:t>
      </w:r>
    </w:p>
    <w:p>
      <w:pPr>
        <w:spacing w:after="0" w:line="1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allowance for credit losses on loans represents management’s estimate of the lifetime losses inherent in the loan portfolio as of the date of the statement of condition. The allowance for credit losses was $16.9 million and $16.0 million at June 30, 2024 and December 31, 2023, respectively. The ratio of the allowance for credit losses to total loans was 1.89% as of June 30, 2024, as compared to 1.78% at December 31, 2023 and 2.07% at June 30, 2023. Management performs a quarterly evaluation of the allowance for credit losses based on quantitative and qualitative factors and has determined that the current level of the allowance for credit losses is adequate to absorb the losses in the loan portfolio as of June 30, 2024.</w:t>
      </w:r>
    </w:p>
    <w:p>
      <w:pPr>
        <w:spacing w:after="0" w:line="17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Loans purchased outside of the Bank’s general market area are subject to substantial pre-purchase due diligence. Homogenous pools of purchased loans are subject to pre-purchase analyses led by a team of the Bank’s senior executives and credit analysts. In each case, the Bank’s analytical processes consider the types of loans being evaluated, the underwriting criteria employed by the originating entity, the historical performance of such loans, especially in the most recent deeply recessionary period, the offered collateral enhancements and other credit loss mitigation factors offered by the seller and the capabilities and financial stability of the servicing entities involved. From a credit risk perspective, these loan pools also benefit from broad diversification, including wide geographic dispersion, the readily-verifiable historical performance of similar loans issued by the originators, as well as the overall experience and skill of the underwriters and servicing entities involved as counterparties to the Bank in these transactions. The performance of all purchased loan pools are monitored regularly from detailed reports and remittance reconciliations provided at least monthly by the external servicing entities.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projected credit losses related to purchased loan pools are evaluated prior to purchase and the performance of those loans against expectations are analyzed at least monthly. Over the life of the purchased loan pools, the allowance for credit losses is adjusted, through the provision for credit losses, for expected loss experience, over the projected life of the loans. The expected credit loss experience is determined at the time of purchase and is modified, to the extent necessary, during the life of the purchased loan pools. The Bank does not initially increase the allowance for credit losses on the purchase date of the loan pools.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At June 30, 2024 and December 31, 2023, the Company had $19.4 million and $22.6 million in loans, respectively, which were individually analyzed, having established specific reserves of $4.4 million and $3.7 million, respectively, on these loans. The $1.2 million decrease in specifically identified loans between these two dates was the result of a single relationship charge-off.</w:t>
      </w:r>
    </w:p>
    <w:p>
      <w:pPr>
        <w:spacing w:after="0" w:line="1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Appraisals are obtained at the time a real estate secured loan is originated. For commercial real estate held as collateral, the property is inspected every two years.</w:t>
      </w:r>
    </w:p>
    <w:p>
      <w:pPr>
        <w:spacing w:after="0" w:line="5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Management has identified certain loans with potential credit profiles that may result in the borrowers not being able to comply with the current loan repayment terms and which may result in possible future identified loan reporting. Potential problem loans totaled $40.6 million at June 30, 2024, an increase of $2.5 million, as compared to $43.1 million at December 31, 2023. These loans have been internally classified as special mention, substandard, or doubtful, yet are not currently considered specifically-identified.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65" w:name="page66"/>
    <w:bookmarkEnd w:id="65"/>
    <w:p>
      <w:pPr>
        <w:jc w:val="both"/>
        <w:spacing w:after="0" w:line="254" w:lineRule="auto"/>
        <w:rPr>
          <w:sz w:val="20"/>
          <w:szCs w:val="20"/>
          <w:color w:val="auto"/>
        </w:rPr>
      </w:pPr>
      <w:r>
        <w:rPr>
          <w:rFonts w:ascii="Times New Roman" w:cs="Times New Roman" w:eastAsia="Times New Roman" w:hAnsi="Times New Roman"/>
          <w:sz w:val="20"/>
          <w:szCs w:val="20"/>
          <w:color w:val="auto"/>
        </w:rPr>
        <w:t>In the normal course of business, the Bank has, from time to time, sold residential mortgage loans and participation interests in commercial loans. As is typical in the industry, the Bank makes certain representations and warranties to the buyer. Pathfinder Bank maintains a quality control program for closed loans and considers the risks and uncertainties associated with potential repurchase requirements to be minimal.</w:t>
      </w:r>
    </w:p>
    <w:p>
      <w:pPr>
        <w:spacing w:after="0" w:line="1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future performance of the Company’s loan portfolios with respect to credit losses will be highly dependent upon the course and duration, both nationally and within the Company’s market area, of the concentrations in the Company’s loan portfolio. Concentrations of loans within a portfolio that are made to a single borrower, to a related group of borrowers, or to a limited number of industries, are generally considered to be additional risk factors in estimating future credit losses. Therefore, the Company monitors all of its credit relationships to ensure that the total loan amounts extended to one borrower, or to a related group of borrowers, does not exceed the maximum permissible levels defined by applicable regulation or the Company’s generally more restrictive internal policy limits.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Liquidity management involves the Company’s ability to generate cash or otherwise obtain funds at reasonable rates to support asset growth, meet deposit withdrawals, maintain reserve requirements, and otherwise operate the Company on an ongoing basis. The Company's primary sources of funds are deposits, borrowed funds, amortization and prepayment of loans and maturities of investment securities and other short-term investments, and earnings and funds provided from operations. While scheduled principal repayments on loans are a relatively predictable source of funds, deposit flows and loan prepayments are greatly influenced by general interest rates, economic conditions and competition. The Company manages the pricing of deposits to maintain a desired deposit composition and balance. In addition, the Company invests excess funds in short-term interest-earning and other assets, which provide liquidity to meet lending requirements.</w:t>
      </w:r>
    </w:p>
    <w:p>
      <w:pPr>
        <w:spacing w:after="0" w:line="1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Company's liquidity has been enhanced by its ability to borrow from the Federal Home Loan Bank of New York (“FHLBNY”), whose competitive advance programs and lines of credit provide the Company with a safe, reliable, and convenient source of funds. A significant decrease in deposits in the future could result in the Company having to seek other sources of funds for liquidity purposes. Such sources could include, but are not limited to, additional borrowings, brokered deposits, negotiated time deposits, the sale of "available-for-sale" investment securities, the sale of securitized loans, or the sale of whole loans. Such actions could result in higher interest expense and/or losses on the sale of securities or loans.</w:t>
      </w:r>
    </w:p>
    <w:p>
      <w:pPr>
        <w:spacing w:after="0" w:line="1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Through the first six months of 2024, as indicated in the consolidated statement of cash flows, the Company reported net cash flow from operating activities of $2.0 million and net cash inflows of $3.1 million related to investing activities. The net cash inflows from investing activities was generated principally by an increase of $9.0 million in net loan activity, offset by a $4.9 million decrease in net investment activity, and a $1.1 million decrease in premises and equipment. The Company reported net cash outflows from financing activities of $22.1 million, primarily due to a $18.8 million decrease in net deposit balances, a $2.2 million decrease in borrowings, and an aggregate decrease of $1.1 million in net cash from all other financing sources, including dividends paid to common voting and non-voting shareholders and warrants of $1.2 million.</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Bank’s management monitors liquidity on a continuous basis through a broad range of internal programs and considers effective liquidity management to be one of its primary objectives. At June 30, 2024 the Bank had deposits of $1.10 billion, of which a portion were nominally uninsured, as they were above the insurance limits established by the Federal Deposit Insurance Corporation (“FDIC”) on that date. Of the nominally uninsured deposits at June 30, 2024, $56.7 million were insured through a long-standing reciprocal deposit program managed by a third-party entity. In addition, $100.1 million in municipal deposits are fully protected against principal loss by a collateral program whereby the Bank places high-quality securities with an independent custodian as collateral. The Bank had $139.4 million in deposits, representing 12.7% of all deposits, that were considered to be uninsured at June 30, 2024.</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has a number of existing credit facilities available to it. At June 30, 2024, total credit available under the existing lines of credit was approximately $242.8 million at FHLBNY, the Federal Reserve Bank, and two other correspondent banks. At June 30, 2024, the Company had $173.4 million of the available lines of credit utilized on its existing lines of credit with the remainder of $69.4 million available.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66" w:name="page67"/>
    <w:bookmarkEnd w:id="66"/>
    <w:p>
      <w:pPr>
        <w:jc w:val="both"/>
        <w:spacing w:after="0" w:line="254" w:lineRule="auto"/>
        <w:rPr>
          <w:sz w:val="20"/>
          <w:szCs w:val="20"/>
          <w:color w:val="auto"/>
        </w:rPr>
      </w:pPr>
      <w:r>
        <w:rPr>
          <w:rFonts w:ascii="Times New Roman" w:cs="Times New Roman" w:eastAsia="Times New Roman" w:hAnsi="Times New Roman"/>
          <w:sz w:val="20"/>
          <w:szCs w:val="20"/>
          <w:color w:val="auto"/>
        </w:rPr>
        <w:t>The Asset Liability Management Committee of the Company is responsible for implementing the policies and guidelines for the maintenance of prudent levels of liquidity. As of June 30, 2024, management reported to the Board of Directors that the Company is in compliance with its liquidity policy guidelines.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is also a party to financial instruments with off-balance sheet risk in the normal course of business to meet the financing needs of its customers. These financial instruments include commitments to extend credit and standby letters of credit. At June 30, 2024, the Company had $238.1 million in outstanding commitments to extend credit and standby letters of credit.</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Company's exposure to credit loss in the event of nonperformance related to off-balance sheet arrangements is proportional to the contractual amount of those instruments. Such financial instruments are recorded when they are funded. The Company records an allowance for credit losses on off-balance sheet credit exposures, unless such commitments are unconditionally cancelable, through the provision for credit losses expense. The allowance for credit losses on off-balance sheet credit exposures as of June 30, 2024 was $660,000 and is included in other liabilities on the Company's consolidated Statements of Condition.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 Quantitative and Qualitative Disclosures About Market Risk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smaller reporting company is not required to provide the information relating to this item.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 Controls and Procedures</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Under the supervision and with the participation of our Chief Executive Officer (“CEO”) and our Chief Financial Officer (“CFO”) (the Company’s principal executive officer and principal financial officer), management conducted an evaluation of the effectiveness of the design and operation of our disclosure controls and procedures (as defined in Rule 13a-15(e) and 15d-15(e) under the Exchange Act) as of June 30, 2024. The term “disclosure controls and procedures,”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officer and principal financial officer, as appropriate to allow timely decisions regarding required disclosure.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Based on the evaluation of our disclosure controls and procedures as of June 30, 2024, our CEO and CFO concluded that our disclosure controls and procedures were effective as of that date.</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did not make any changes in internal control over financial reporting during the quarter ended June 30, 2024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 Legal Proceedings</w:t>
      </w:r>
    </w:p>
    <w:p>
      <w:pPr>
        <w:spacing w:after="0" w:line="233" w:lineRule="exact"/>
        <w:rPr>
          <w:sz w:val="20"/>
          <w:szCs w:val="20"/>
          <w:color w:val="auto"/>
        </w:rPr>
      </w:pPr>
    </w:p>
    <w:p>
      <w:pPr>
        <w:ind w:right="640"/>
        <w:spacing w:after="0" w:line="269" w:lineRule="auto"/>
        <w:rPr>
          <w:sz w:val="20"/>
          <w:szCs w:val="20"/>
          <w:color w:val="auto"/>
        </w:rPr>
      </w:pPr>
      <w:r>
        <w:rPr>
          <w:rFonts w:ascii="Times New Roman" w:cs="Times New Roman" w:eastAsia="Times New Roman" w:hAnsi="Times New Roman"/>
          <w:sz w:val="20"/>
          <w:szCs w:val="20"/>
          <w:color w:val="auto"/>
        </w:rPr>
        <w:t>At June 30, 2024, the Company is not currently a named party in a legal proceeding, the outcome of which would have a material and adverse effect on the financial condition or results of operations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 Risk Factors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smaller reporting company is not required to provide the information relating to this item.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 Unregistered Sales of Equity Securities, and Use of Proceeds, and Issuer Purchases of Equity Securities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 Number of</w:t>
            </w:r>
          </w:p>
        </w:tc>
        <w:tc>
          <w:tcPr>
            <w:tcW w:w="10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Maximum Number</w:t>
            </w:r>
          </w:p>
        </w:tc>
      </w:tr>
      <w:tr>
        <w:trPr>
          <w:trHeight w:val="216"/>
        </w:trPr>
        <w:tc>
          <w:tcPr>
            <w:tcW w:w="35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Purchased as</w:t>
            </w:r>
          </w:p>
        </w:tc>
        <w:tc>
          <w:tcPr>
            <w:tcW w:w="1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of Shares That May</w:t>
            </w:r>
          </w:p>
        </w:tc>
      </w:tr>
      <w:tr>
        <w:trPr>
          <w:trHeight w:val="216"/>
        </w:trPr>
        <w:tc>
          <w:tcPr>
            <w:tcW w:w="35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 Number of</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Average Price</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Part of Publicly</w:t>
            </w:r>
          </w:p>
        </w:tc>
        <w:tc>
          <w:tcPr>
            <w:tcW w:w="10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Yet Be Purchased</w:t>
            </w:r>
          </w:p>
        </w:tc>
      </w:tr>
      <w:tr>
        <w:trPr>
          <w:trHeight w:val="196"/>
        </w:trPr>
        <w:tc>
          <w:tcPr>
            <w:tcW w:w="3560" w:type="dxa"/>
            <w:vAlign w:val="bottom"/>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Paid</w:t>
            </w:r>
          </w:p>
        </w:tc>
        <w:tc>
          <w:tcPr>
            <w:tcW w:w="100" w:type="dxa"/>
            <w:vAlign w:val="bottom"/>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Announced Plans or</w:t>
            </w:r>
          </w:p>
        </w:tc>
        <w:tc>
          <w:tcPr>
            <w:tcW w:w="100" w:type="dxa"/>
            <w:vAlign w:val="bottom"/>
          </w:tcPr>
          <w:p>
            <w:pPr>
              <w:spacing w:after="0"/>
              <w:rPr>
                <w:sz w:val="17"/>
                <w:szCs w:val="17"/>
                <w:color w:val="auto"/>
              </w:rPr>
            </w:pPr>
          </w:p>
        </w:tc>
        <w:tc>
          <w:tcPr>
            <w:tcW w:w="17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Under the Plans or</w:t>
            </w:r>
          </w:p>
        </w:tc>
      </w:tr>
      <w:tr>
        <w:trPr>
          <w:trHeight w:val="268"/>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2100" w:type="dxa"/>
            <w:vAlign w:val="bottom"/>
            <w:tcBorders>
              <w:bottom w:val="single" w:sz="8" w:color="auto"/>
            </w:tcBorders>
          </w:tcPr>
          <w:p>
            <w:pPr>
              <w:jc w:val="right"/>
              <w:spacing w:after="0" w:line="267" w:lineRule="exact"/>
              <w:rPr>
                <w:sz w:val="20"/>
                <w:szCs w:val="20"/>
                <w:color w:val="auto"/>
              </w:rPr>
            </w:pPr>
            <w:r>
              <w:rPr>
                <w:rFonts w:ascii="Times New Roman" w:cs="Times New Roman" w:eastAsia="Times New Roman" w:hAnsi="Times New Roman"/>
                <w:sz w:val="18"/>
                <w:szCs w:val="18"/>
                <w:color w:val="auto"/>
              </w:rPr>
              <w:t xml:space="preserve">Purchased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 Share</w:t>
            </w:r>
          </w:p>
        </w:tc>
        <w:tc>
          <w:tcPr>
            <w:tcW w:w="100" w:type="dxa"/>
            <w:vAlign w:val="bottom"/>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Programs</w:t>
            </w:r>
          </w:p>
        </w:tc>
        <w:tc>
          <w:tcPr>
            <w:tcW w:w="100" w:type="dxa"/>
            <w:vAlign w:val="bottom"/>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Programs</w:t>
            </w:r>
          </w:p>
        </w:tc>
        <w:tc>
          <w:tcPr>
            <w:tcW w:w="100" w:type="dxa"/>
            <w:vAlign w:val="bottom"/>
          </w:tcPr>
          <w:p>
            <w:pPr>
              <w:spacing w:after="0"/>
              <w:rPr>
                <w:sz w:val="23"/>
                <w:szCs w:val="23"/>
                <w:color w:val="auto"/>
              </w:rPr>
            </w:pPr>
          </w:p>
        </w:tc>
      </w:tr>
      <w:tr>
        <w:trPr>
          <w:trHeight w:val="237"/>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 1, 2024 through April 30, 2024</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74,292</w:t>
            </w:r>
          </w:p>
        </w:tc>
        <w:tc>
          <w:tcPr>
            <w:tcW w:w="100" w:type="dxa"/>
            <w:vAlign w:val="bottom"/>
            <w:shd w:val="clear" w:color="auto" w:fill="CFF0FC"/>
          </w:tcPr>
          <w:p>
            <w:pPr>
              <w:spacing w:after="0"/>
              <w:rPr>
                <w:sz w:val="20"/>
                <w:szCs w:val="20"/>
                <w:color w:val="auto"/>
              </w:rPr>
            </w:pPr>
          </w:p>
        </w:tc>
      </w:tr>
      <w:tr>
        <w:trPr>
          <w:trHeight w:val="243"/>
        </w:trPr>
        <w:tc>
          <w:tcPr>
            <w:tcW w:w="35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May 1, 2024 through May 31, 2024</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74,292</w:t>
            </w:r>
          </w:p>
        </w:tc>
        <w:tc>
          <w:tcPr>
            <w:tcW w:w="100" w:type="dxa"/>
            <w:vAlign w:val="bottom"/>
            <w:shd w:val="clear" w:color="auto" w:fill="CFF0FC"/>
          </w:tcPr>
          <w:p>
            <w:pPr>
              <w:spacing w:after="0"/>
              <w:rPr>
                <w:sz w:val="21"/>
                <w:szCs w:val="21"/>
                <w:color w:val="auto"/>
              </w:rPr>
            </w:pPr>
          </w:p>
        </w:tc>
      </w:tr>
      <w:tr>
        <w:trPr>
          <w:trHeight w:val="243"/>
        </w:trPr>
        <w:tc>
          <w:tcPr>
            <w:tcW w:w="35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June 1, 2024 through June 30, 2024</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74,292</w:t>
            </w:r>
          </w:p>
        </w:tc>
        <w:tc>
          <w:tcPr>
            <w:tcW w:w="100" w:type="dxa"/>
            <w:vAlign w:val="bottom"/>
            <w:shd w:val="clear" w:color="auto" w:fill="CFF0FC"/>
          </w:tcPr>
          <w:p>
            <w:pPr>
              <w:spacing w:after="0"/>
              <w:rPr>
                <w:sz w:val="21"/>
                <w:szCs w:val="21"/>
                <w:color w:val="auto"/>
              </w:rPr>
            </w:pPr>
          </w:p>
        </w:tc>
      </w:tr>
    </w:tbl>
    <w:p>
      <w:pPr>
        <w:spacing w:after="0" w:line="319" w:lineRule="exact"/>
        <w:rPr>
          <w:sz w:val="20"/>
          <w:szCs w:val="20"/>
          <w:color w:val="auto"/>
        </w:rPr>
      </w:pPr>
    </w:p>
    <w:p>
      <w:pPr>
        <w:ind w:left="5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29, 2016, our Board of Directors authorized the repurchase of up to 217,692 shares of our common stock, or 5% of the Company’s shares outstanding as of that date.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 Defaults Upon Senior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 Mine Safety Disclosures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 Other Information</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second quarter of 2024, none of our directors or officers adopted or terminated any contract, instruction or written plan for the purchase or sale of Company securities that was intended to satisfy the affirmative defense conditions of Rule 10b5-1(c) or any “non-Rule 10b5-1 trading arrangement,” as that term is used in SEC regulations.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color w:val="auto"/>
        </w:rPr>
        <w:t>Item 6 – Exhibits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91"/>
        </w:trPr>
        <w:tc>
          <w:tcPr>
            <w:tcW w:w="100" w:type="dxa"/>
            <w:vAlign w:val="bottom"/>
            <w:tcBorders>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r>
        <w:trPr>
          <w:trHeight w:val="196"/>
        </w:trPr>
        <w:tc>
          <w:tcPr>
            <w:tcW w:w="9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20"/>
                <w:szCs w:val="20"/>
                <w:color w:val="auto"/>
              </w:rPr>
              <w:t>31.1</w:t>
            </w:r>
          </w:p>
        </w:tc>
        <w:tc>
          <w:tcPr>
            <w:tcW w:w="620" w:type="dxa"/>
            <w:vAlign w:val="bottom"/>
          </w:tcPr>
          <w:p>
            <w:pPr>
              <w:spacing w:after="0"/>
              <w:rPr>
                <w:sz w:val="17"/>
                <w:szCs w:val="17"/>
                <w:color w:val="auto"/>
              </w:rPr>
            </w:pPr>
          </w:p>
        </w:tc>
        <w:tc>
          <w:tcPr>
            <w:tcW w:w="9420" w:type="dxa"/>
            <w:vAlign w:val="bottom"/>
            <w:gridSpan w:val="5"/>
          </w:tcPr>
          <w:p>
            <w:pPr>
              <w:spacing w:after="0" w:line="196" w:lineRule="exact"/>
              <w:rPr>
                <w:sz w:val="20"/>
                <w:szCs w:val="20"/>
                <w:color w:val="auto"/>
              </w:rPr>
            </w:pPr>
            <w:r>
              <w:rPr>
                <w:rFonts w:ascii="Times New Roman" w:cs="Times New Roman" w:eastAsia="Times New Roman" w:hAnsi="Times New Roman"/>
                <w:sz w:val="20"/>
                <w:szCs w:val="20"/>
                <w:color w:val="0000FF"/>
              </w:rPr>
              <w:t>Rule 13a-14(a)/15d-14(a) Certification of the Chief Executive Officer</w:t>
            </w:r>
          </w:p>
        </w:tc>
      </w:tr>
      <w:tr>
        <w:trPr>
          <w:trHeight w:val="34"/>
        </w:trPr>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458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196"/>
        </w:trPr>
        <w:tc>
          <w:tcPr>
            <w:tcW w:w="9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20"/>
                <w:szCs w:val="20"/>
                <w:color w:val="auto"/>
              </w:rPr>
              <w:t>31.2</w:t>
            </w:r>
          </w:p>
        </w:tc>
        <w:tc>
          <w:tcPr>
            <w:tcW w:w="620" w:type="dxa"/>
            <w:vAlign w:val="bottom"/>
          </w:tcPr>
          <w:p>
            <w:pPr>
              <w:spacing w:after="0"/>
              <w:rPr>
                <w:sz w:val="17"/>
                <w:szCs w:val="17"/>
                <w:color w:val="auto"/>
              </w:rPr>
            </w:pPr>
          </w:p>
        </w:tc>
        <w:tc>
          <w:tcPr>
            <w:tcW w:w="9420" w:type="dxa"/>
            <w:vAlign w:val="bottom"/>
            <w:gridSpan w:val="5"/>
          </w:tcPr>
          <w:p>
            <w:pPr>
              <w:spacing w:after="0" w:line="196" w:lineRule="exact"/>
              <w:rPr>
                <w:sz w:val="20"/>
                <w:szCs w:val="20"/>
                <w:color w:val="auto"/>
              </w:rPr>
            </w:pPr>
            <w:r>
              <w:rPr>
                <w:rFonts w:ascii="Times New Roman" w:cs="Times New Roman" w:eastAsia="Times New Roman" w:hAnsi="Times New Roman"/>
                <w:sz w:val="20"/>
                <w:szCs w:val="20"/>
                <w:color w:val="0000FF"/>
              </w:rPr>
              <w:t>Rule 13a-14(a)/15d-14(a) Certification of the Chief Financial Officer</w:t>
            </w:r>
          </w:p>
        </w:tc>
      </w:tr>
      <w:tr>
        <w:trPr>
          <w:trHeight w:val="34"/>
        </w:trPr>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458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196"/>
        </w:trPr>
        <w:tc>
          <w:tcPr>
            <w:tcW w:w="9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20"/>
                <w:szCs w:val="20"/>
                <w:color w:val="auto"/>
              </w:rPr>
              <w:t>32</w:t>
            </w:r>
          </w:p>
        </w:tc>
        <w:tc>
          <w:tcPr>
            <w:tcW w:w="620" w:type="dxa"/>
            <w:vAlign w:val="bottom"/>
          </w:tcPr>
          <w:p>
            <w:pPr>
              <w:spacing w:after="0"/>
              <w:rPr>
                <w:sz w:val="17"/>
                <w:szCs w:val="17"/>
                <w:color w:val="auto"/>
              </w:rPr>
            </w:pPr>
          </w:p>
        </w:tc>
        <w:tc>
          <w:tcPr>
            <w:tcW w:w="67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20"/>
                <w:szCs w:val="20"/>
                <w:color w:val="0000FF"/>
                <w:w w:val="98"/>
              </w:rPr>
              <w:t>Section 1350 Certification of the Chief Executive Officer and Chief Financial Officer</w:t>
            </w:r>
          </w:p>
        </w:tc>
        <w:tc>
          <w:tcPr>
            <w:tcW w:w="26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6986270" cy="14490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86270" cy="1449070"/>
                    </a:xfrm>
                    <a:prstGeom prst="rect">
                      <a:avLst/>
                    </a:prstGeom>
                    <a:noFill/>
                  </pic:spPr>
                </pic:pic>
              </a:graphicData>
            </a:graphic>
          </wp:anchor>
        </w:drawing>
      </w:r>
    </w:p>
    <w:p>
      <w:pPr>
        <w:spacing w:after="0" w:line="25" w:lineRule="exact"/>
        <w:rPr>
          <w:sz w:val="20"/>
          <w:szCs w:val="20"/>
          <w:color w:val="auto"/>
        </w:rPr>
      </w:pPr>
    </w:p>
    <w:p>
      <w:pPr>
        <w:ind w:left="1600" w:right="320" w:hanging="1481"/>
        <w:spacing w:after="0" w:line="246" w:lineRule="auto"/>
        <w:tabs>
          <w:tab w:leader="none" w:pos="16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Interactive data files pursuant to Rule 405 of Regulation S-T formatted in Inline Extensible Business Reporting Language (iXBRL): (i) the Consolidated Statements of Condition, (ii) the Consolidated Statements of Income (iii) the Consolidated Statements of Comprehensive Income, (iv) the Consolidated Statements of Changes in Shareholders’ Equity, (v) Consolidated Statements of Cash Flows, and (vi) the Notes to the Consolidated Financial Statements tagged as blocks of text.</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258"/>
        </w:trPr>
        <w:tc>
          <w:tcPr>
            <w:tcW w:w="88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w w:val="93"/>
              </w:rPr>
              <w:t>104</w:t>
            </w:r>
          </w:p>
        </w:tc>
        <w:tc>
          <w:tcPr>
            <w:tcW w:w="7000" w:type="dxa"/>
            <w:vAlign w:val="bottom"/>
          </w:tcPr>
          <w:p>
            <w:pPr>
              <w:ind w:left="600"/>
              <w:spacing w:after="0"/>
              <w:rPr>
                <w:sz w:val="20"/>
                <w:szCs w:val="20"/>
                <w:color w:val="auto"/>
              </w:rPr>
            </w:pPr>
            <w:r>
              <w:rPr>
                <w:rFonts w:ascii="Times New Roman" w:cs="Times New Roman" w:eastAsia="Times New Roman" w:hAnsi="Times New Roman"/>
                <w:sz w:val="20"/>
                <w:szCs w:val="20"/>
                <w:color w:val="auto"/>
                <w:w w:val="98"/>
              </w:rPr>
              <w:t>Cover Page Interactive Data File (embedded within the Inline XBRL document).</w:t>
            </w:r>
          </w:p>
        </w:tc>
      </w:tr>
    </w:tbl>
    <w:p>
      <w:pPr>
        <w:spacing w:after="0" w:line="2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b w:val="1"/>
          <w:bCs w:val="1"/>
          <w:u w:val="single" w:color="auto"/>
          <w:color w:val="auto"/>
        </w:rPr>
        <w:t>PATHFINDER BANCORP, INC.</w:t>
      </w:r>
    </w:p>
    <w:p>
      <w:pPr>
        <w:spacing w:after="0" w:line="2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(registrant)</w:t>
      </w:r>
    </w:p>
    <w:p>
      <w:pPr>
        <w:spacing w:after="0" w:line="221" w:lineRule="exact"/>
        <w:rPr>
          <w:sz w:val="20"/>
          <w:szCs w:val="20"/>
          <w:color w:val="auto"/>
        </w:rPr>
      </w:pPr>
    </w:p>
    <w:p>
      <w:pPr>
        <w:ind w:left="100"/>
        <w:spacing w:after="0"/>
        <w:tabs>
          <w:tab w:leader="none" w:pos="2720" w:val="left"/>
        </w:tabs>
        <w:rPr>
          <w:sz w:val="20"/>
          <w:szCs w:val="20"/>
          <w:color w:val="auto"/>
        </w:rPr>
      </w:pPr>
      <w:r>
        <w:rPr>
          <w:rFonts w:ascii="Times New Roman" w:cs="Times New Roman" w:eastAsia="Times New Roman" w:hAnsi="Times New Roman"/>
          <w:sz w:val="20"/>
          <w:szCs w:val="20"/>
          <w:u w:val="single" w:color="auto"/>
          <w:color w:val="auto"/>
        </w:rPr>
        <w:t>August 14, 2024</w:t>
      </w:r>
      <w:r>
        <w:rPr>
          <w:sz w:val="20"/>
          <w:szCs w:val="20"/>
          <w:color w:val="auto"/>
        </w:rPr>
        <w:tab/>
      </w:r>
      <w:r>
        <w:rPr>
          <w:rFonts w:ascii="Times New Roman" w:cs="Times New Roman" w:eastAsia="Times New Roman" w:hAnsi="Times New Roman"/>
          <w:sz w:val="19"/>
          <w:szCs w:val="19"/>
          <w:u w:val="single" w:color="auto"/>
          <w:color w:val="auto"/>
        </w:rPr>
        <w:t>/s/ James A. Dowd</w:t>
      </w:r>
    </w:p>
    <w:p>
      <w:pPr>
        <w:spacing w:after="0" w:line="2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James A. Dowd</w:t>
      </w:r>
    </w:p>
    <w:p>
      <w:pPr>
        <w:spacing w:after="0" w:line="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81" w:lineRule="exact"/>
        <w:rPr>
          <w:sz w:val="20"/>
          <w:szCs w:val="20"/>
          <w:color w:val="auto"/>
        </w:rPr>
      </w:pPr>
    </w:p>
    <w:p>
      <w:pPr>
        <w:ind w:left="100"/>
        <w:spacing w:after="0"/>
        <w:tabs>
          <w:tab w:leader="none" w:pos="2720" w:val="left"/>
        </w:tabs>
        <w:rPr>
          <w:sz w:val="20"/>
          <w:szCs w:val="20"/>
          <w:color w:val="auto"/>
        </w:rPr>
      </w:pPr>
      <w:r>
        <w:rPr>
          <w:rFonts w:ascii="Times New Roman" w:cs="Times New Roman" w:eastAsia="Times New Roman" w:hAnsi="Times New Roman"/>
          <w:sz w:val="20"/>
          <w:szCs w:val="20"/>
          <w:u w:val="single" w:color="auto"/>
          <w:color w:val="auto"/>
        </w:rPr>
        <w:t>August 14, 2024</w:t>
      </w:r>
      <w:r>
        <w:rPr>
          <w:sz w:val="20"/>
          <w:szCs w:val="20"/>
          <w:color w:val="auto"/>
        </w:rPr>
        <w:tab/>
      </w:r>
      <w:r>
        <w:rPr>
          <w:rFonts w:ascii="Times New Roman" w:cs="Times New Roman" w:eastAsia="Times New Roman" w:hAnsi="Times New Roman"/>
          <w:sz w:val="19"/>
          <w:szCs w:val="19"/>
          <w:color w:val="auto"/>
        </w:rPr>
        <w:t>/s/ Justin K. Bigham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1704340</wp:posOffset>
            </wp:positionH>
            <wp:positionV relativeFrom="paragraph">
              <wp:posOffset>-10795</wp:posOffset>
            </wp:positionV>
            <wp:extent cx="10572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spacing w:after="0" w:line="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Justin K. Bigham</w:t>
      </w:r>
    </w:p>
    <w:p>
      <w:pPr>
        <w:spacing w:after="0" w:line="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Senior Vice President, Chief Financial Officer</w:t>
      </w:r>
    </w:p>
    <w:p>
      <w:pPr>
        <w:spacing w:after="0" w:line="200" w:lineRule="exact"/>
        <w:rPr>
          <w:sz w:val="20"/>
          <w:szCs w:val="20"/>
          <w:color w:val="auto"/>
        </w:rPr>
      </w:pPr>
    </w:p>
    <w:p>
      <w:pPr>
        <w:spacing w:after="0" w:line="25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12" w:right="5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EXHIBIT 31.1: Rule 13a-14(a) / 15d-14(a) Certification of the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A. Dowd, certify that:</w:t>
      </w:r>
    </w:p>
    <w:p>
      <w:pPr>
        <w:spacing w:after="0" w:line="225" w:lineRule="exact"/>
        <w:rPr>
          <w:sz w:val="20"/>
          <w:szCs w:val="20"/>
          <w:color w:val="auto"/>
        </w:rPr>
      </w:pPr>
    </w:p>
    <w:p>
      <w:pPr>
        <w:ind w:left="560" w:hanging="365"/>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Pathfinder Bancorp, Inc.;</w:t>
      </w:r>
    </w:p>
    <w:p>
      <w:pPr>
        <w:spacing w:after="0" w:line="225" w:lineRule="exact"/>
        <w:rPr>
          <w:rFonts w:ascii="Times New Roman" w:cs="Times New Roman" w:eastAsia="Times New Roman" w:hAnsi="Times New Roman"/>
          <w:sz w:val="18"/>
          <w:szCs w:val="18"/>
          <w:color w:val="auto"/>
        </w:rPr>
      </w:pPr>
    </w:p>
    <w:p>
      <w:pPr>
        <w:jc w:val="both"/>
        <w:ind w:left="560" w:hanging="365"/>
        <w:spacing w:after="0" w:line="266" w:lineRule="auto"/>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60" w:hanging="365"/>
        <w:spacing w:after="0" w:line="282" w:lineRule="auto"/>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60" w:hanging="365"/>
        <w:spacing w:after="0" w:line="266" w:lineRule="auto"/>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2060" w:hanging="929"/>
        <w:spacing w:after="0" w:line="257" w:lineRule="auto"/>
        <w:tabs>
          <w:tab w:leader="none" w:pos="20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2060" w:hanging="929"/>
        <w:spacing w:after="0" w:line="250" w:lineRule="auto"/>
        <w:tabs>
          <w:tab w:leader="none" w:pos="20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2060" w:hanging="929"/>
        <w:spacing w:after="0" w:line="250" w:lineRule="auto"/>
        <w:tabs>
          <w:tab w:leader="none" w:pos="20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60" w:hanging="929"/>
        <w:spacing w:after="0" w:line="255" w:lineRule="auto"/>
        <w:tabs>
          <w:tab w:leader="none" w:pos="20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jc w:val="both"/>
        <w:ind w:left="2060" w:hanging="929"/>
        <w:spacing w:after="0" w:line="257" w:lineRule="auto"/>
        <w:tabs>
          <w:tab w:leader="none" w:pos="20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60" w:hanging="929"/>
        <w:spacing w:after="0" w:line="260" w:lineRule="auto"/>
        <w:tabs>
          <w:tab w:leader="none" w:pos="20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14, 2024</w:t>
            </w: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A. Dowd</w:t>
            </w:r>
          </w:p>
        </w:tc>
      </w:tr>
      <w:tr>
        <w:trPr>
          <w:trHeight w:val="218"/>
        </w:trPr>
        <w:tc>
          <w:tcPr>
            <w:tcW w:w="2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260" w:type="dxa"/>
            <w:vAlign w:val="bottom"/>
          </w:tcPr>
          <w:p>
            <w:pPr>
              <w:spacing w:after="0"/>
              <w:rPr>
                <w:sz w:val="18"/>
                <w:szCs w:val="18"/>
                <w:color w:val="auto"/>
              </w:rPr>
            </w:pPr>
          </w:p>
        </w:tc>
        <w:tc>
          <w:tcPr>
            <w:tcW w:w="1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A. Dowd</w:t>
            </w:r>
          </w:p>
        </w:tc>
        <w:tc>
          <w:tcPr>
            <w:tcW w:w="4160" w:type="dxa"/>
            <w:vAlign w:val="bottom"/>
          </w:tcPr>
          <w:p>
            <w:pPr>
              <w:spacing w:after="0"/>
              <w:rPr>
                <w:sz w:val="18"/>
                <w:szCs w:val="18"/>
                <w:color w:val="auto"/>
              </w:rPr>
            </w:pPr>
          </w:p>
        </w:tc>
      </w:tr>
      <w:tr>
        <w:trPr>
          <w:trHeight w:val="234"/>
        </w:trPr>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640"/>
        </w:trPr>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EXHIBIT 31.2: Rule 13a-14(a) / 15d-14(a) Certification of the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K. Bigham, certify that:</w:t>
      </w:r>
    </w:p>
    <w:p>
      <w:pPr>
        <w:spacing w:after="0" w:line="225"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Pathfinder Bancorp, Inc.;</w:t>
      </w:r>
    </w:p>
    <w:p>
      <w:pPr>
        <w:spacing w:after="0" w:line="225" w:lineRule="exact"/>
        <w:rPr>
          <w:sz w:val="20"/>
          <w:szCs w:val="20"/>
          <w:color w:val="auto"/>
        </w:rPr>
      </w:pPr>
    </w:p>
    <w:p>
      <w:pPr>
        <w:jc w:val="both"/>
        <w:ind w:left="760" w:hanging="379"/>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2.</w:t>
        <w:tab/>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57"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500" w:hanging="369"/>
        <w:spacing w:after="0" w:line="250"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500" w:hanging="369"/>
        <w:spacing w:after="0" w:line="250"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500" w:hanging="369"/>
        <w:spacing w:after="0" w:line="255"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1500" w:hanging="369"/>
        <w:spacing w:after="0" w:line="261"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00" w:hanging="369"/>
        <w:spacing w:after="0" w:line="260"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w w:val="98"/>
              </w:rPr>
              <w:t>August 14, 2024</w:t>
            </w:r>
          </w:p>
        </w:tc>
        <w:tc>
          <w:tcPr>
            <w:tcW w:w="2120" w:type="dxa"/>
            <w:vAlign w:val="bottom"/>
          </w:tcPr>
          <w:p>
            <w:pPr>
              <w:spacing w:after="0"/>
              <w:rPr>
                <w:sz w:val="18"/>
                <w:szCs w:val="18"/>
                <w:color w:val="auto"/>
              </w:rPr>
            </w:pPr>
          </w:p>
        </w:tc>
        <w:tc>
          <w:tcPr>
            <w:tcW w:w="7820" w:type="dxa"/>
            <w:vAlign w:val="bottom"/>
            <w:gridSpan w:val="3"/>
          </w:tcPr>
          <w:p>
            <w:pPr>
              <w:ind w:left="2140"/>
              <w:spacing w:after="0"/>
              <w:rPr>
                <w:sz w:val="20"/>
                <w:szCs w:val="20"/>
                <w:color w:val="auto"/>
              </w:rPr>
            </w:pPr>
            <w:r>
              <w:rPr>
                <w:rFonts w:ascii="Times New Roman" w:cs="Times New Roman" w:eastAsia="Times New Roman" w:hAnsi="Times New Roman"/>
                <w:sz w:val="18"/>
                <w:szCs w:val="18"/>
                <w:color w:val="auto"/>
              </w:rPr>
              <w:t>/s/ Justin K. Bigham</w:t>
            </w:r>
          </w:p>
        </w:tc>
      </w:tr>
      <w:tr>
        <w:trPr>
          <w:trHeight w:val="20"/>
        </w:trPr>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18"/>
        </w:trPr>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820" w:type="dxa"/>
            <w:vAlign w:val="bottom"/>
            <w:gridSpan w:val="3"/>
          </w:tcPr>
          <w:p>
            <w:pPr>
              <w:ind w:left="2140"/>
              <w:spacing w:after="0"/>
              <w:rPr>
                <w:sz w:val="20"/>
                <w:szCs w:val="20"/>
                <w:color w:val="auto"/>
              </w:rPr>
            </w:pPr>
            <w:r>
              <w:rPr>
                <w:rFonts w:ascii="Times New Roman" w:cs="Times New Roman" w:eastAsia="Times New Roman" w:hAnsi="Times New Roman"/>
                <w:sz w:val="18"/>
                <w:szCs w:val="18"/>
                <w:color w:val="auto"/>
              </w:rPr>
              <w:t>Justin K. Bigham</w:t>
            </w:r>
          </w:p>
        </w:tc>
      </w:tr>
      <w:tr>
        <w:trPr>
          <w:trHeight w:val="234"/>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820" w:type="dxa"/>
            <w:vAlign w:val="bottom"/>
            <w:gridSpan w:val="3"/>
          </w:tcPr>
          <w:p>
            <w:pPr>
              <w:ind w:left="214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1640"/>
        </w:trPr>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EXHIBIT 32 Section 1350 Certification of the Chief Executive Officer and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 18 U.S.C. §1350, as adopted pursuant to §906 of the Sarbanes-Oxley Act of 2002</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Pathfinder Bancorp, Inc. (the “Company”) on Form 10-Q for the period ended June 30, 2024 as filed with the Securities and Exchange Commission (the “Report”), the undersigned hereby certify, pursuant to 18 U.S.C. §1350, as adopted pursuant to §906 of the Sarbanes-Oxley Act of 2002, that:</w:t>
      </w:r>
    </w:p>
    <w:p>
      <w:pPr>
        <w:spacing w:after="0" w:line="176" w:lineRule="exact"/>
        <w:rPr>
          <w:sz w:val="20"/>
          <w:szCs w:val="20"/>
          <w:color w:val="auto"/>
        </w:rPr>
      </w:pPr>
    </w:p>
    <w:p>
      <w:pPr>
        <w:ind w:left="940" w:hanging="745"/>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40" w:right="20" w:hanging="745"/>
        <w:spacing w:after="0" w:line="282"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purpose of this statement is solely to comply with Title 18, Chapter 63, Section 1350 of the United States Code, as amended by Section 906 of the Sarbanes-Oxley Act of 2002.</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14, 2024</w:t>
            </w:r>
          </w:p>
        </w:tc>
        <w:tc>
          <w:tcPr>
            <w:tcW w:w="7640" w:type="dxa"/>
            <w:vAlign w:val="bottom"/>
            <w:gridSpan w:val="4"/>
          </w:tcPr>
          <w:p>
            <w:pPr>
              <w:ind w:left="1960"/>
              <w:spacing w:after="0"/>
              <w:rPr>
                <w:sz w:val="20"/>
                <w:szCs w:val="20"/>
                <w:color w:val="auto"/>
              </w:rPr>
            </w:pPr>
            <w:r>
              <w:rPr>
                <w:rFonts w:ascii="Times New Roman" w:cs="Times New Roman" w:eastAsia="Times New Roman" w:hAnsi="Times New Roman"/>
                <w:sz w:val="18"/>
                <w:szCs w:val="18"/>
                <w:color w:val="auto"/>
              </w:rPr>
              <w:t>/s/ James A. Dowd</w:t>
            </w:r>
          </w:p>
        </w:tc>
      </w:tr>
      <w:tr>
        <w:trPr>
          <w:trHeight w:val="20"/>
        </w:trPr>
        <w:tc>
          <w:tcPr>
            <w:tcW w:w="4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18"/>
        </w:trPr>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640" w:type="dxa"/>
            <w:vAlign w:val="bottom"/>
            <w:gridSpan w:val="4"/>
          </w:tcPr>
          <w:p>
            <w:pPr>
              <w:ind w:left="1960"/>
              <w:spacing w:after="0"/>
              <w:rPr>
                <w:sz w:val="20"/>
                <w:szCs w:val="20"/>
                <w:color w:val="auto"/>
              </w:rPr>
            </w:pPr>
            <w:r>
              <w:rPr>
                <w:rFonts w:ascii="Times New Roman" w:cs="Times New Roman" w:eastAsia="Times New Roman" w:hAnsi="Times New Roman"/>
                <w:sz w:val="18"/>
                <w:szCs w:val="18"/>
                <w:color w:val="auto"/>
              </w:rPr>
              <w:t>James A. Dowd</w:t>
            </w:r>
          </w:p>
        </w:tc>
      </w:tr>
      <w:tr>
        <w:trPr>
          <w:trHeight w:val="234"/>
        </w:trPr>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640" w:type="dxa"/>
            <w:vAlign w:val="bottom"/>
            <w:gridSpan w:val="4"/>
          </w:tcPr>
          <w:p>
            <w:pPr>
              <w:ind w:left="19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18"/>
        </w:trPr>
        <w:tc>
          <w:tcPr>
            <w:tcW w:w="42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14, 2024</w:t>
            </w:r>
          </w:p>
        </w:tc>
        <w:tc>
          <w:tcPr>
            <w:tcW w:w="7640" w:type="dxa"/>
            <w:vAlign w:val="bottom"/>
            <w:gridSpan w:val="4"/>
          </w:tcPr>
          <w:p>
            <w:pPr>
              <w:ind w:left="1960"/>
              <w:spacing w:after="0"/>
              <w:rPr>
                <w:sz w:val="20"/>
                <w:szCs w:val="20"/>
                <w:color w:val="auto"/>
              </w:rPr>
            </w:pPr>
            <w:r>
              <w:rPr>
                <w:rFonts w:ascii="Times New Roman" w:cs="Times New Roman" w:eastAsia="Times New Roman" w:hAnsi="Times New Roman"/>
                <w:sz w:val="18"/>
                <w:szCs w:val="18"/>
                <w:color w:val="auto"/>
              </w:rPr>
              <w:t>/s/ Justin K. Bigham</w:t>
            </w:r>
          </w:p>
        </w:tc>
      </w:tr>
      <w:tr>
        <w:trPr>
          <w:trHeight w:val="20"/>
        </w:trPr>
        <w:tc>
          <w:tcPr>
            <w:tcW w:w="4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18"/>
        </w:trPr>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640" w:type="dxa"/>
            <w:vAlign w:val="bottom"/>
            <w:gridSpan w:val="4"/>
          </w:tcPr>
          <w:p>
            <w:pPr>
              <w:ind w:left="1960"/>
              <w:spacing w:after="0"/>
              <w:rPr>
                <w:sz w:val="20"/>
                <w:szCs w:val="20"/>
                <w:color w:val="auto"/>
              </w:rPr>
            </w:pPr>
            <w:r>
              <w:rPr>
                <w:rFonts w:ascii="Times New Roman" w:cs="Times New Roman" w:eastAsia="Times New Roman" w:hAnsi="Times New Roman"/>
                <w:sz w:val="18"/>
                <w:szCs w:val="18"/>
                <w:color w:val="auto"/>
              </w:rPr>
              <w:t>Justin K. Bigham</w:t>
            </w:r>
          </w:p>
        </w:tc>
      </w:tr>
      <w:tr>
        <w:trPr>
          <w:trHeight w:val="234"/>
        </w:trPr>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640" w:type="dxa"/>
            <w:vAlign w:val="bottom"/>
            <w:gridSpan w:val="4"/>
          </w:tcPr>
          <w:p>
            <w:pPr>
              <w:ind w:left="196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1856"/>
        </w:trPr>
        <w:tc>
          <w:tcPr>
            <w:tcW w:w="4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3"/>
    </w:lvl>
  </w:abstractNum>
  <w:abstractNum w:abstractNumId="3">
    <w:nsid w:val="1190CDE7"/>
    <w:multiLevelType w:val="hybridMultilevel"/>
    <w:lvl w:ilvl="0">
      <w:lvlJc w:val="left"/>
      <w:lvlText w:val="(%1)"/>
      <w:numFmt w:val="decimal"/>
      <w:start w:val="1"/>
    </w:lvl>
    <w:lvl w:ilvl="1">
      <w:lvlJc w:val="left"/>
      <w:lvlText w:val="-"/>
      <w:numFmt w:val="bullet"/>
      <w:start w:val="1"/>
    </w:lvl>
  </w:abstractNum>
  <w:abstractNum w:abstractNumId="4">
    <w:nsid w:val="66EF438D"/>
    <w:multiLevelType w:val="hybridMultilevel"/>
    <w:lvl w:ilvl="0">
      <w:lvlJc w:val="left"/>
      <w:lvlText w:val="(%1)"/>
      <w:numFmt w:val="decimal"/>
      <w:start w:val="2"/>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lvl w:ilvl="1">
      <w:lvlJc w:val="left"/>
      <w:lvlText w:val="-"/>
      <w:numFmt w:val="bullet"/>
      <w:start w:val="1"/>
    </w:lvl>
  </w:abstractNum>
  <w:abstractNum w:abstractNumId="7">
    <w:nsid w:val="109CF92E"/>
    <w:multiLevelType w:val="hybridMultilevel"/>
    <w:lvl w:ilvl="0">
      <w:lvlJc w:val="left"/>
      <w:lvlText w:val="(%1)"/>
      <w:numFmt w:val="decimal"/>
      <w:start w:val="1"/>
    </w:lvl>
    <w:lvl w:ilvl="1">
      <w:lvlJc w:val="left"/>
      <w:lvlText w:val="%2."/>
      <w:numFmt w:val="lowerLetter"/>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lvl w:ilvl="1">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01"/>
    </w:lvl>
  </w:abstractNum>
  <w:abstractNum w:abstractNumId="15">
    <w:nsid w:val="519B500D"/>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3"/>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2024-08-14T15:55:14Z</dcterms:created>
  <dcterms:modified xsi:type="dcterms:W3CDTF">2024-08-14T15:55:14Z</dcterms:modified>
</cp:coreProperties>
</file>